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A89F4E">
      <w:pPr>
        <w:pStyle w:val="16"/>
        <w:keepNext w:val="0"/>
        <w:keepLines w:val="0"/>
        <w:pageBreakBefore w:val="0"/>
        <w:widowControl w:val="0"/>
        <w:kinsoku/>
        <w:wordWrap/>
        <w:overflowPunct/>
        <w:topLinePunct w:val="0"/>
        <w:autoSpaceDE/>
        <w:autoSpaceDN/>
        <w:bidi w:val="0"/>
        <w:adjustRightInd w:val="0"/>
        <w:snapToGrid w:val="0"/>
        <w:spacing w:line="640" w:lineRule="exact"/>
        <w:ind w:left="0" w:firstLine="0" w:firstLineChars="0"/>
        <w:jc w:val="center"/>
        <w:textAlignment w:val="auto"/>
        <w:rPr>
          <w:rFonts w:hint="default"/>
          <w:lang w:val="en-US" w:eastAsia="zh-CN"/>
        </w:rPr>
      </w:pPr>
      <w:r>
        <w:rPr>
          <w:rFonts w:hint="default"/>
          <w:lang w:val="en-US" w:eastAsia="zh-CN"/>
        </w:rPr>
        <w:t>南开区应急管理局2021年度法治政府建设</w:t>
      </w:r>
    </w:p>
    <w:p w14:paraId="1B5FD310">
      <w:pPr>
        <w:pStyle w:val="16"/>
        <w:keepNext w:val="0"/>
        <w:keepLines w:val="0"/>
        <w:pageBreakBefore w:val="0"/>
        <w:widowControl w:val="0"/>
        <w:kinsoku/>
        <w:wordWrap/>
        <w:overflowPunct/>
        <w:topLinePunct w:val="0"/>
        <w:autoSpaceDE/>
        <w:autoSpaceDN/>
        <w:bidi w:val="0"/>
        <w:adjustRightInd w:val="0"/>
        <w:snapToGrid w:val="0"/>
        <w:spacing w:line="640" w:lineRule="exact"/>
        <w:ind w:left="0" w:firstLine="0" w:firstLineChars="0"/>
        <w:jc w:val="center"/>
        <w:textAlignment w:val="auto"/>
        <w:rPr>
          <w:rFonts w:hint="default"/>
          <w:lang w:val="en-US" w:eastAsia="zh-CN"/>
        </w:rPr>
      </w:pPr>
      <w:r>
        <w:rPr>
          <w:rFonts w:hint="default"/>
          <w:lang w:val="en-US" w:eastAsia="zh-CN"/>
        </w:rPr>
        <w:t>情况报告</w:t>
      </w:r>
    </w:p>
    <w:p w14:paraId="517989F4">
      <w:pPr>
        <w:keepNext w:val="0"/>
        <w:keepLines w:val="0"/>
        <w:pageBreakBefore w:val="0"/>
        <w:widowControl w:val="0"/>
        <w:kinsoku/>
        <w:wordWrap/>
        <w:overflowPunct/>
        <w:topLinePunct w:val="0"/>
        <w:autoSpaceDE/>
        <w:autoSpaceDN/>
        <w:bidi w:val="0"/>
        <w:adjustRightInd w:val="0"/>
        <w:snapToGrid w:val="0"/>
        <w:spacing w:line="588" w:lineRule="exact"/>
        <w:ind w:left="0" w:firstLine="680" w:firstLineChars="200"/>
        <w:jc w:val="both"/>
        <w:textAlignment w:val="auto"/>
        <w:rPr>
          <w:rFonts w:hint="default"/>
          <w:lang w:val="en-US" w:eastAsia="zh-CN"/>
        </w:rPr>
      </w:pPr>
    </w:p>
    <w:p w14:paraId="5253A4DF">
      <w:pPr>
        <w:keepNext w:val="0"/>
        <w:keepLines w:val="0"/>
        <w:pageBreakBefore w:val="0"/>
        <w:widowControl w:val="0"/>
        <w:kinsoku/>
        <w:wordWrap/>
        <w:overflowPunct/>
        <w:topLinePunct w:val="0"/>
        <w:autoSpaceDE/>
        <w:autoSpaceDN/>
        <w:bidi w:val="0"/>
        <w:adjustRightInd w:val="0"/>
        <w:snapToGrid w:val="0"/>
        <w:spacing w:line="588" w:lineRule="exact"/>
        <w:ind w:left="0" w:firstLine="680" w:firstLineChars="200"/>
        <w:jc w:val="both"/>
        <w:textAlignment w:val="auto"/>
        <w:rPr>
          <w:rFonts w:hint="eastAsia" w:ascii="仿宋" w:hAnsi="仿宋" w:eastAsia="仿宋" w:cs="仿宋"/>
          <w:sz w:val="34"/>
          <w:szCs w:val="34"/>
          <w:lang w:val="en-US" w:eastAsia="zh-CN"/>
        </w:rPr>
      </w:pPr>
      <w:r>
        <w:rPr>
          <w:rFonts w:hint="eastAsia" w:ascii="仿宋" w:hAnsi="仿宋" w:eastAsia="仿宋" w:cs="仿宋"/>
          <w:sz w:val="34"/>
          <w:szCs w:val="34"/>
          <w:lang w:val="en-US" w:eastAsia="zh-CN"/>
        </w:rPr>
        <w:t>2021年，区应急管理局在区委、区政府的正确领导下，在依法治区办的业务指导下，全面贯彻落实安全生产法律法规和《天津市行政执法监督规定》的要求，不断完善行政执法工作责任制，加强行政执法监督，完善机关内部管理，规范一线执法科室执法行为，以天津市法治政府建设示范指标体系有关标准要求为工作标准，狠抓政策法规落实，确保执法队伍法制意识全面提高，依法行政能力显著增强。现将2021年度法治政府建设情况报告如下：</w:t>
      </w:r>
    </w:p>
    <w:p w14:paraId="14DFB1D5">
      <w:pPr>
        <w:keepNext w:val="0"/>
        <w:keepLines w:val="0"/>
        <w:pageBreakBefore w:val="0"/>
        <w:kinsoku/>
        <w:wordWrap/>
        <w:overflowPunct/>
        <w:topLinePunct w:val="0"/>
        <w:bidi w:val="0"/>
        <w:adjustRightInd w:val="0"/>
        <w:snapToGrid w:val="0"/>
        <w:spacing w:line="588" w:lineRule="exact"/>
        <w:ind w:left="0" w:firstLine="680" w:firstLineChars="200"/>
        <w:jc w:val="both"/>
        <w:textAlignment w:val="auto"/>
        <w:rPr>
          <w:rFonts w:hint="eastAsia" w:ascii="仿宋" w:hAnsi="仿宋" w:eastAsia="仿宋" w:cs="仿宋"/>
          <w:sz w:val="34"/>
          <w:szCs w:val="34"/>
          <w:lang w:eastAsia="zh-CN"/>
        </w:rPr>
      </w:pPr>
      <w:r>
        <w:rPr>
          <w:rFonts w:hint="eastAsia" w:ascii="黑体" w:hAnsi="黑体" w:eastAsia="黑体" w:cs="黑体"/>
          <w:sz w:val="34"/>
          <w:szCs w:val="34"/>
          <w:lang w:eastAsia="zh-CN"/>
        </w:rPr>
        <w:t>一、</w:t>
      </w:r>
      <w:r>
        <w:rPr>
          <w:rFonts w:hint="eastAsia" w:ascii="黑体" w:hAnsi="黑体" w:eastAsia="黑体" w:cs="黑体"/>
          <w:sz w:val="34"/>
          <w:szCs w:val="34"/>
          <w:lang w:val="en-US" w:eastAsia="zh-CN"/>
        </w:rPr>
        <w:t>2021</w:t>
      </w:r>
      <w:r>
        <w:rPr>
          <w:rFonts w:hint="eastAsia" w:ascii="黑体" w:hAnsi="黑体" w:eastAsia="黑体" w:cs="黑体"/>
          <w:sz w:val="34"/>
          <w:szCs w:val="34"/>
          <w:lang w:eastAsia="zh-CN"/>
        </w:rPr>
        <w:t>年推进法治政府建设的主要举措和成效</w:t>
      </w:r>
    </w:p>
    <w:p w14:paraId="3567C8E8">
      <w:pPr>
        <w:pStyle w:val="24"/>
        <w:keepNext w:val="0"/>
        <w:keepLines w:val="0"/>
        <w:pageBreakBefore w:val="0"/>
        <w:numPr>
          <w:ilvl w:val="0"/>
          <w:numId w:val="0"/>
        </w:numPr>
        <w:kinsoku/>
        <w:wordWrap/>
        <w:overflowPunct/>
        <w:topLinePunct w:val="0"/>
        <w:bidi w:val="0"/>
        <w:adjustRightInd w:val="0"/>
        <w:snapToGrid w:val="0"/>
        <w:spacing w:line="588" w:lineRule="exact"/>
        <w:ind w:left="0" w:leftChars="0" w:firstLine="680" w:firstLineChars="200"/>
        <w:jc w:val="both"/>
        <w:textAlignment w:val="auto"/>
        <w:rPr>
          <w:rFonts w:hint="eastAsia" w:ascii="楷体" w:hAnsi="楷体" w:eastAsia="楷体" w:cs="楷体"/>
          <w:b w:val="0"/>
          <w:bCs w:val="0"/>
          <w:color w:val="000000"/>
          <w:sz w:val="34"/>
          <w:szCs w:val="34"/>
        </w:rPr>
      </w:pPr>
      <w:r>
        <w:rPr>
          <w:rFonts w:hint="eastAsia" w:ascii="楷体" w:hAnsi="楷体" w:eastAsia="楷体" w:cs="楷体"/>
          <w:b w:val="0"/>
          <w:bCs w:val="0"/>
          <w:color w:val="000000"/>
          <w:sz w:val="34"/>
          <w:szCs w:val="34"/>
          <w:lang w:eastAsia="zh-CN"/>
        </w:rPr>
        <w:t>（一）</w:t>
      </w:r>
      <w:r>
        <w:rPr>
          <w:rFonts w:hint="eastAsia" w:ascii="楷体" w:hAnsi="楷体" w:eastAsia="楷体" w:cs="楷体"/>
          <w:b w:val="0"/>
          <w:bCs w:val="0"/>
          <w:color w:val="000000"/>
          <w:sz w:val="34"/>
          <w:szCs w:val="34"/>
        </w:rPr>
        <w:t>依法全面履行政府职能</w:t>
      </w:r>
    </w:p>
    <w:p w14:paraId="73750A95">
      <w:pPr>
        <w:keepNext w:val="0"/>
        <w:keepLines w:val="0"/>
        <w:pageBreakBefore w:val="0"/>
        <w:widowControl w:val="0"/>
        <w:kinsoku/>
        <w:wordWrap/>
        <w:overflowPunct/>
        <w:topLinePunct w:val="0"/>
        <w:autoSpaceDE/>
        <w:autoSpaceDN/>
        <w:bidi w:val="0"/>
        <w:adjustRightInd w:val="0"/>
        <w:snapToGrid w:val="0"/>
        <w:spacing w:line="588" w:lineRule="exact"/>
        <w:ind w:left="0" w:firstLine="683" w:firstLineChars="200"/>
        <w:jc w:val="both"/>
        <w:textAlignment w:val="auto"/>
        <w:rPr>
          <w:rFonts w:hint="eastAsia" w:ascii="仿宋" w:hAnsi="仿宋" w:eastAsia="仿宋" w:cs="仿宋"/>
          <w:sz w:val="34"/>
          <w:szCs w:val="34"/>
          <w:lang w:val="en-US" w:eastAsia="zh-CN"/>
        </w:rPr>
      </w:pPr>
      <w:r>
        <w:rPr>
          <w:rFonts w:hint="eastAsia" w:ascii="仿宋" w:hAnsi="仿宋" w:eastAsia="仿宋" w:cs="仿宋"/>
          <w:b/>
          <w:bCs/>
          <w:sz w:val="34"/>
          <w:szCs w:val="34"/>
          <w:lang w:val="en-US" w:eastAsia="zh-CN"/>
        </w:rPr>
        <w:t>1.</w:t>
      </w:r>
      <w:r>
        <w:rPr>
          <w:rFonts w:hint="eastAsia" w:ascii="仿宋" w:hAnsi="仿宋" w:eastAsia="仿宋" w:cs="仿宋"/>
          <w:b/>
          <w:bCs/>
          <w:sz w:val="34"/>
          <w:szCs w:val="34"/>
        </w:rPr>
        <w:t>全面落实“双随机、一公开”监管</w:t>
      </w:r>
      <w:r>
        <w:rPr>
          <w:rFonts w:hint="eastAsia" w:ascii="仿宋" w:hAnsi="仿宋" w:eastAsia="仿宋" w:cs="仿宋"/>
          <w:b/>
          <w:bCs/>
          <w:sz w:val="34"/>
          <w:szCs w:val="34"/>
          <w:lang w:eastAsia="zh-CN"/>
        </w:rPr>
        <w:t>。</w:t>
      </w:r>
      <w:r>
        <w:rPr>
          <w:rFonts w:hint="eastAsia" w:ascii="仿宋" w:hAnsi="仿宋" w:eastAsia="仿宋" w:cs="仿宋"/>
          <w:sz w:val="34"/>
          <w:szCs w:val="34"/>
          <w:lang w:val="en-US" w:eastAsia="zh-CN"/>
        </w:rPr>
        <w:t xml:space="preserve">我局高度重视部门联合检查工作，明确了分管领导和责任科室，要求责任科室严格按照市场监管局要求，积极报送信息、认真参与检查，落实好联合检查工作；牵头区市场监管局、区人社局、区税务局和公积金管理中心等部门对辖区内工业企业安全生产情况进行了双随机检查，共检查9家单位并将检查情况在我局官网公布。通过联合检查进一步提升部门协同执法能力，稳步提升执法能力，杜绝执法检查死角。同时对我局全年“双随机、一公开”抽查计划及检查结果进行了公示。 </w:t>
      </w:r>
    </w:p>
    <w:p w14:paraId="17A140F7">
      <w:pPr>
        <w:keepNext w:val="0"/>
        <w:keepLines w:val="0"/>
        <w:pageBreakBefore w:val="0"/>
        <w:widowControl w:val="0"/>
        <w:kinsoku/>
        <w:wordWrap/>
        <w:overflowPunct/>
        <w:topLinePunct w:val="0"/>
        <w:autoSpaceDE/>
        <w:autoSpaceDN/>
        <w:bidi w:val="0"/>
        <w:adjustRightInd w:val="0"/>
        <w:snapToGrid w:val="0"/>
        <w:spacing w:line="588" w:lineRule="exact"/>
        <w:ind w:left="0" w:firstLine="683" w:firstLineChars="200"/>
        <w:jc w:val="both"/>
        <w:textAlignment w:val="auto"/>
        <w:rPr>
          <w:rFonts w:hint="eastAsia" w:ascii="仿宋" w:hAnsi="仿宋" w:eastAsia="仿宋" w:cs="仿宋"/>
          <w:sz w:val="34"/>
          <w:szCs w:val="34"/>
          <w:lang w:val="en-US" w:eastAsia="zh-CN"/>
        </w:rPr>
      </w:pPr>
      <w:r>
        <w:rPr>
          <w:rStyle w:val="23"/>
          <w:rFonts w:hint="eastAsia" w:ascii="仿宋" w:hAnsi="仿宋" w:eastAsia="仿宋" w:cs="仿宋"/>
          <w:b/>
          <w:bCs w:val="0"/>
          <w:sz w:val="34"/>
          <w:szCs w:val="34"/>
          <w:lang w:val="en-US" w:eastAsia="zh-CN"/>
        </w:rPr>
        <w:t>2.加强信用监管。</w:t>
      </w:r>
      <w:r>
        <w:rPr>
          <w:rFonts w:hint="eastAsia" w:ascii="仿宋" w:hAnsi="仿宋" w:eastAsia="仿宋" w:cs="仿宋"/>
          <w:sz w:val="34"/>
          <w:szCs w:val="34"/>
          <w:lang w:val="en-US" w:eastAsia="zh-CN"/>
        </w:rPr>
        <w:t>我局积极落实国务院《关于建立完善守信联合激励和失信联合惩戒制度加快推进社会诚信建设的指导意见》，依据原国家安监总局印发的《对安全生产领域失信行为开展联合惩戒的实施办法》（安监总办〔2017〕49号）和《天津市安全生产领域失信行为联合惩戒信息管理制度》（津安监管法〔2017〕59号）的规定，每月按时向市应急管理局报送《天津市安全生产领域失信行为联合惩戒的单位及其人员名单》。继续深入贯彻落实《天津市应急管理局转发应急管理部办公厅关于修订〈冶金有色建材机械轻工纺织烟草商贸行业安全监管分类标准（试行）〉的通知（津应急【2019】4号）》要求，明确监管界限并将八大领域生产经营单位纳入失信行为联合惩戒考察范围，对涉嫌失信行为的相关单位绝不姑息，严格执法，做到市场主体“一处违法、处处受限”，2021年我区安全生产领域失信行为联合惩戒单位和人员为零。</w:t>
      </w:r>
    </w:p>
    <w:p w14:paraId="2014B6FE">
      <w:pPr>
        <w:keepNext w:val="0"/>
        <w:keepLines w:val="0"/>
        <w:pageBreakBefore w:val="0"/>
        <w:widowControl w:val="0"/>
        <w:kinsoku/>
        <w:wordWrap/>
        <w:overflowPunct/>
        <w:topLinePunct w:val="0"/>
        <w:autoSpaceDE/>
        <w:autoSpaceDN/>
        <w:bidi w:val="0"/>
        <w:adjustRightInd w:val="0"/>
        <w:snapToGrid w:val="0"/>
        <w:spacing w:line="588" w:lineRule="exact"/>
        <w:ind w:left="0" w:firstLine="683" w:firstLineChars="200"/>
        <w:jc w:val="both"/>
        <w:textAlignment w:val="auto"/>
        <w:rPr>
          <w:rFonts w:hint="eastAsia" w:ascii="仿宋" w:hAnsi="仿宋" w:eastAsia="仿宋" w:cs="仿宋"/>
          <w:sz w:val="34"/>
          <w:szCs w:val="34"/>
          <w:lang w:val="en-US" w:eastAsia="zh-CN"/>
        </w:rPr>
      </w:pPr>
      <w:r>
        <w:rPr>
          <w:rStyle w:val="23"/>
          <w:rFonts w:hint="eastAsia" w:ascii="仿宋" w:hAnsi="仿宋" w:eastAsia="仿宋" w:cs="仿宋"/>
          <w:b/>
          <w:bCs w:val="0"/>
          <w:sz w:val="34"/>
          <w:szCs w:val="34"/>
          <w:lang w:val="en-US" w:eastAsia="zh-CN"/>
        </w:rPr>
        <w:t>3.优化法治营商环境。</w:t>
      </w:r>
      <w:r>
        <w:rPr>
          <w:rFonts w:hint="eastAsia" w:ascii="仿宋" w:hAnsi="仿宋" w:eastAsia="仿宋" w:cs="仿宋"/>
          <w:sz w:val="34"/>
          <w:szCs w:val="34"/>
          <w:lang w:val="en-US" w:eastAsia="zh-CN"/>
        </w:rPr>
        <w:t>我局积极配合做好全区营造法治化营商环境保护民营企业发展工作，行政执法工作减少不必要的行政执法事项，提高服务意识，对发现的隐患以督促整改为主。坚持“护幼容错不赦罪”原则，严格落实《市应急管理局关于印发&lt;天津市安全生产轻微违法违规行为免罚清单（试行）&gt;的通知》要求，对首次发现、情节轻微、没有造成后果和立即整改的违法违规行为实施容错机制，严防执法“一刀切”现象。对立案企业进行行政罚款处罚时严格遵循自由裁量标准，对配合执法工作积极整改的企业进行自由裁量的下限处罚，2021年我局对4</w:t>
      </w:r>
      <w:r>
        <w:rPr>
          <w:rFonts w:hint="eastAsia" w:ascii="仿宋" w:hAnsi="仿宋" w:eastAsia="仿宋" w:cs="仿宋"/>
          <w:sz w:val="34"/>
          <w:szCs w:val="34"/>
          <w:lang w:eastAsia="zh-CN"/>
        </w:rPr>
        <w:t>2</w:t>
      </w:r>
      <w:r>
        <w:rPr>
          <w:rFonts w:hint="eastAsia" w:ascii="仿宋" w:hAnsi="仿宋" w:eastAsia="仿宋" w:cs="仿宋"/>
          <w:sz w:val="34"/>
          <w:szCs w:val="34"/>
          <w:lang w:val="en-US" w:eastAsia="zh-CN"/>
        </w:rPr>
        <w:t>家违规单位和个人下达了行政罚款处罚决定书，没有因处罚裁量标准引起行政诉讼和行政复议。</w:t>
      </w:r>
    </w:p>
    <w:p w14:paraId="7564CAFA">
      <w:pPr>
        <w:keepNext w:val="0"/>
        <w:keepLines w:val="0"/>
        <w:pageBreakBefore w:val="0"/>
        <w:widowControl w:val="0"/>
        <w:kinsoku/>
        <w:wordWrap/>
        <w:overflowPunct/>
        <w:topLinePunct w:val="0"/>
        <w:autoSpaceDE/>
        <w:autoSpaceDN/>
        <w:bidi w:val="0"/>
        <w:adjustRightInd w:val="0"/>
        <w:snapToGrid w:val="0"/>
        <w:spacing w:line="588" w:lineRule="exact"/>
        <w:ind w:left="0" w:firstLine="683" w:firstLineChars="200"/>
        <w:jc w:val="both"/>
        <w:textAlignment w:val="auto"/>
        <w:rPr>
          <w:rFonts w:hint="eastAsia" w:ascii="仿宋" w:hAnsi="仿宋" w:eastAsia="仿宋" w:cs="仿宋"/>
          <w:sz w:val="34"/>
          <w:szCs w:val="34"/>
          <w:lang w:val="en-US" w:eastAsia="zh-CN"/>
        </w:rPr>
      </w:pPr>
      <w:r>
        <w:rPr>
          <w:rStyle w:val="23"/>
          <w:rFonts w:hint="eastAsia" w:ascii="仿宋" w:hAnsi="仿宋" w:eastAsia="仿宋" w:cs="仿宋"/>
          <w:b/>
          <w:bCs w:val="0"/>
          <w:sz w:val="34"/>
          <w:szCs w:val="34"/>
          <w:lang w:val="en-US" w:eastAsia="zh-CN"/>
        </w:rPr>
        <w:t>4.落实“谁执法谁普法”普法责任制。</w:t>
      </w:r>
      <w:r>
        <w:rPr>
          <w:rFonts w:hint="eastAsia" w:ascii="仿宋" w:hAnsi="仿宋" w:eastAsia="仿宋" w:cs="仿宋"/>
          <w:sz w:val="34"/>
          <w:szCs w:val="34"/>
          <w:lang w:val="en-US" w:eastAsia="zh-CN"/>
        </w:rPr>
        <w:t>南开区应急管理局严格落实“谁执法谁普法”普法责任制，一是在执法检查的同时对企业进行普法教育，引导企业依法依规开展安全生产工作。二是利用防灾减灾宣传周、安全生产月等重要节点开展安全宣传，大力开展安全宣传进企业活动。三是结合企业类型、当前安全形势和下一步安全工作内容等方面对企业开展有针对性的培训。2021年8-10月先后对安全生产网格员、危化企业、街道干部及街域内企业共组织开展10场新《安全生产法》宣传培训活动，将新安法知识宣传到基层一线。通过一系列安全宣传工作，提升企业安全管理意识，提高企业安全管理工作水平。</w:t>
      </w:r>
    </w:p>
    <w:p w14:paraId="35AF4A28">
      <w:pPr>
        <w:keepNext w:val="0"/>
        <w:keepLines w:val="0"/>
        <w:pageBreakBefore w:val="0"/>
        <w:widowControl w:val="0"/>
        <w:kinsoku/>
        <w:wordWrap/>
        <w:overflowPunct/>
        <w:topLinePunct w:val="0"/>
        <w:autoSpaceDE/>
        <w:autoSpaceDN/>
        <w:bidi w:val="0"/>
        <w:adjustRightInd w:val="0"/>
        <w:snapToGrid w:val="0"/>
        <w:spacing w:line="588" w:lineRule="exact"/>
        <w:ind w:left="0" w:firstLine="683" w:firstLineChars="200"/>
        <w:jc w:val="both"/>
        <w:textAlignment w:val="auto"/>
        <w:rPr>
          <w:rStyle w:val="23"/>
          <w:rFonts w:hint="eastAsia" w:ascii="仿宋" w:hAnsi="仿宋" w:eastAsia="仿宋" w:cs="仿宋"/>
          <w:b/>
          <w:bCs w:val="0"/>
          <w:sz w:val="34"/>
          <w:szCs w:val="34"/>
          <w:lang w:val="en-US" w:eastAsia="zh-CN"/>
        </w:rPr>
      </w:pPr>
      <w:r>
        <w:rPr>
          <w:rStyle w:val="23"/>
          <w:rFonts w:hint="eastAsia" w:ascii="仿宋" w:hAnsi="仿宋" w:eastAsia="仿宋" w:cs="仿宋"/>
          <w:b/>
          <w:bCs w:val="0"/>
          <w:sz w:val="34"/>
          <w:szCs w:val="34"/>
          <w:lang w:val="en-US" w:eastAsia="zh-CN"/>
        </w:rPr>
        <w:t>5.建立健全安全生产责任和管理制度体系、隐患风险防控体系。</w:t>
      </w:r>
    </w:p>
    <w:p w14:paraId="5B9A74EF">
      <w:pPr>
        <w:keepNext w:val="0"/>
        <w:keepLines w:val="0"/>
        <w:pageBreakBefore w:val="0"/>
        <w:widowControl w:val="0"/>
        <w:kinsoku/>
        <w:wordWrap/>
        <w:overflowPunct/>
        <w:topLinePunct w:val="0"/>
        <w:autoSpaceDE/>
        <w:autoSpaceDN/>
        <w:bidi w:val="0"/>
        <w:adjustRightInd w:val="0"/>
        <w:snapToGrid w:val="0"/>
        <w:spacing w:line="588" w:lineRule="exact"/>
        <w:ind w:left="0" w:firstLine="683" w:firstLineChars="200"/>
        <w:jc w:val="both"/>
        <w:textAlignment w:val="auto"/>
        <w:rPr>
          <w:rFonts w:hint="eastAsia" w:ascii="仿宋" w:hAnsi="仿宋" w:eastAsia="仿宋" w:cs="仿宋"/>
          <w:sz w:val="34"/>
          <w:szCs w:val="34"/>
          <w:lang w:val="en-US" w:eastAsia="zh-CN"/>
        </w:rPr>
      </w:pPr>
      <w:r>
        <w:rPr>
          <w:rFonts w:hint="eastAsia" w:ascii="仿宋" w:hAnsi="仿宋" w:eastAsia="仿宋" w:cs="仿宋"/>
          <w:b/>
          <w:bCs/>
          <w:sz w:val="34"/>
          <w:szCs w:val="34"/>
          <w:lang w:val="en-US" w:eastAsia="zh-CN"/>
        </w:rPr>
        <w:t>一是压实党政领导责任。</w:t>
      </w:r>
      <w:r>
        <w:rPr>
          <w:rFonts w:hint="eastAsia" w:ascii="仿宋" w:hAnsi="仿宋" w:eastAsia="仿宋" w:cs="仿宋"/>
          <w:sz w:val="34"/>
          <w:szCs w:val="34"/>
          <w:lang w:val="en-US" w:eastAsia="zh-CN"/>
        </w:rPr>
        <w:t>区委、区政府高度重视安全生产工作，将安全生产工作纳入党委、行政工作的重要议事日程。通过召开区委常委会、政府常务会、区长办公会等形式，传达学习党中央、国务院和市委、市政府关于安全生产和应急管理的重要指示精神，定期听取安全生产工作情况汇报，研究推动重大安全生产工作。在重大节假日、特殊敏感时期，四大机关领导同志均带队检查安全生产工作。2021年全年，区领导共成立检查组74个，对大型综合体、建筑工地、规上企业、学校、医院、接种点、隔离点、居民小区等地督导检查85次，检查企业/单位138家次。</w:t>
      </w:r>
    </w:p>
    <w:p w14:paraId="015C4911">
      <w:pPr>
        <w:keepNext w:val="0"/>
        <w:keepLines w:val="0"/>
        <w:pageBreakBefore w:val="0"/>
        <w:widowControl w:val="0"/>
        <w:kinsoku/>
        <w:wordWrap/>
        <w:overflowPunct/>
        <w:topLinePunct w:val="0"/>
        <w:autoSpaceDE/>
        <w:autoSpaceDN/>
        <w:bidi w:val="0"/>
        <w:adjustRightInd w:val="0"/>
        <w:snapToGrid w:val="0"/>
        <w:spacing w:line="588" w:lineRule="exact"/>
        <w:ind w:left="0" w:firstLine="683" w:firstLineChars="200"/>
        <w:jc w:val="both"/>
        <w:textAlignment w:val="auto"/>
        <w:rPr>
          <w:rFonts w:hint="eastAsia" w:ascii="仿宋" w:hAnsi="仿宋" w:eastAsia="仿宋" w:cs="仿宋"/>
          <w:sz w:val="34"/>
          <w:szCs w:val="34"/>
          <w:lang w:val="en-US" w:eastAsia="zh-CN"/>
        </w:rPr>
      </w:pPr>
      <w:r>
        <w:rPr>
          <w:rFonts w:hint="eastAsia" w:ascii="仿宋" w:hAnsi="仿宋" w:eastAsia="仿宋" w:cs="仿宋"/>
          <w:b/>
          <w:bCs/>
          <w:sz w:val="34"/>
          <w:szCs w:val="34"/>
          <w:lang w:val="en-US" w:eastAsia="zh-CN"/>
        </w:rPr>
        <w:t>二是压实部门监管责任。</w:t>
      </w:r>
      <w:r>
        <w:rPr>
          <w:rFonts w:hint="eastAsia" w:ascii="仿宋" w:hAnsi="仿宋" w:eastAsia="仿宋" w:cs="仿宋"/>
          <w:sz w:val="34"/>
          <w:szCs w:val="34"/>
          <w:lang w:val="en-US" w:eastAsia="zh-CN"/>
        </w:rPr>
        <w:t>在机构改革后及时印发了《南开区突发事件专项应对工作相关部门和单位主要职责》，依照“三定方案”重新梳理了各部门安全生产等方面的职责并加以明确。严格落实天津市党政领导干部安全生产责任制实施细则，坚持“党政同责、一岗双责、齐抓共管、失职追责”、“三管三必须”和属地管理要求，采取过程评估和年终考核相结合的方式，完成对全区所有政府部门、党群部门和街道的安全生产责任考核。</w:t>
      </w:r>
    </w:p>
    <w:p w14:paraId="7B496805">
      <w:pPr>
        <w:keepNext w:val="0"/>
        <w:keepLines w:val="0"/>
        <w:pageBreakBefore w:val="0"/>
        <w:widowControl w:val="0"/>
        <w:kinsoku/>
        <w:wordWrap/>
        <w:overflowPunct/>
        <w:topLinePunct w:val="0"/>
        <w:autoSpaceDE/>
        <w:autoSpaceDN/>
        <w:bidi w:val="0"/>
        <w:adjustRightInd w:val="0"/>
        <w:snapToGrid w:val="0"/>
        <w:spacing w:line="588" w:lineRule="exact"/>
        <w:ind w:left="0" w:firstLine="683" w:firstLineChars="200"/>
        <w:jc w:val="both"/>
        <w:textAlignment w:val="auto"/>
        <w:rPr>
          <w:rFonts w:hint="eastAsia" w:ascii="仿宋" w:hAnsi="仿宋" w:eastAsia="仿宋" w:cs="仿宋"/>
          <w:sz w:val="34"/>
          <w:szCs w:val="34"/>
          <w:lang w:val="en-US" w:eastAsia="zh-CN"/>
        </w:rPr>
      </w:pPr>
      <w:r>
        <w:rPr>
          <w:rFonts w:hint="eastAsia" w:ascii="仿宋" w:hAnsi="仿宋" w:eastAsia="仿宋" w:cs="仿宋"/>
          <w:b/>
          <w:bCs/>
          <w:sz w:val="34"/>
          <w:szCs w:val="34"/>
          <w:lang w:val="en-US" w:eastAsia="zh-CN"/>
        </w:rPr>
        <w:t>三是常态化开展隐患排查。</w:t>
      </w:r>
      <w:r>
        <w:rPr>
          <w:rFonts w:hint="eastAsia" w:ascii="仿宋" w:hAnsi="仿宋" w:eastAsia="仿宋" w:cs="仿宋"/>
          <w:sz w:val="34"/>
          <w:szCs w:val="34"/>
          <w:lang w:val="en-US" w:eastAsia="zh-CN"/>
        </w:rPr>
        <w:t>强化监管力量建设，提升执法检查水平。采取政府购买服务的方式，为全区12个街道办事处配备了专职派遣制安全协管员，配合街道开展安全生产工作，加强了街道安全检查员队伍建设。2021年度持续推进安全生产专项整治三年行动攻坚阶段工作，1-12月，2个专题和8个专项领域累计检查企业24926家次，出动检查组11219组次，出动检查人员24376人次，共发现隐患8100处，整改隐患8060处，对企业行政处罚502.27万元。</w:t>
      </w:r>
    </w:p>
    <w:p w14:paraId="4FE78AE7">
      <w:pPr>
        <w:keepNext w:val="0"/>
        <w:keepLines w:val="0"/>
        <w:pageBreakBefore w:val="0"/>
        <w:widowControl w:val="0"/>
        <w:kinsoku/>
        <w:wordWrap/>
        <w:overflowPunct/>
        <w:topLinePunct w:val="0"/>
        <w:autoSpaceDE/>
        <w:autoSpaceDN/>
        <w:bidi w:val="0"/>
        <w:adjustRightInd w:val="0"/>
        <w:snapToGrid w:val="0"/>
        <w:spacing w:line="588" w:lineRule="exact"/>
        <w:ind w:left="0" w:firstLine="683" w:firstLineChars="200"/>
        <w:jc w:val="both"/>
        <w:textAlignment w:val="auto"/>
        <w:rPr>
          <w:rFonts w:hint="eastAsia" w:ascii="仿宋" w:hAnsi="仿宋" w:eastAsia="仿宋" w:cs="仿宋"/>
          <w:sz w:val="34"/>
          <w:szCs w:val="34"/>
          <w:lang w:val="en-US" w:eastAsia="zh-CN"/>
        </w:rPr>
      </w:pPr>
      <w:r>
        <w:rPr>
          <w:rStyle w:val="23"/>
          <w:rFonts w:hint="eastAsia" w:ascii="仿宋" w:hAnsi="仿宋" w:eastAsia="仿宋" w:cs="仿宋"/>
          <w:b/>
          <w:bCs w:val="0"/>
          <w:sz w:val="34"/>
          <w:szCs w:val="34"/>
          <w:lang w:val="en-US" w:eastAsia="zh-CN"/>
        </w:rPr>
        <w:t>6.建立健全党政机关法律顾问、公职律师制度，并在依法决策中发挥作用。</w:t>
      </w:r>
      <w:r>
        <w:rPr>
          <w:rFonts w:hint="eastAsia" w:ascii="仿宋" w:hAnsi="仿宋" w:eastAsia="仿宋" w:cs="仿宋"/>
          <w:sz w:val="34"/>
          <w:szCs w:val="34"/>
          <w:lang w:val="en-US" w:eastAsia="zh-CN"/>
        </w:rPr>
        <w:t>按照区司法局要求，区应急管理局每季度报送《法律顾问制度落实情况统计表》和《法律顾问履职情况表》，进一步规范法律顾问的使用。我局现聘请天津洲易律师事务所的律师为法律顾问，2021年以来，我局针对行政诉讼、行政复议、事故调查处理及行政处罚过程中对法律适用和法律条款适用等方面进行咨询共计2</w:t>
      </w:r>
      <w:r>
        <w:rPr>
          <w:rFonts w:hint="eastAsia" w:ascii="仿宋" w:hAnsi="仿宋" w:eastAsia="仿宋" w:cs="仿宋"/>
          <w:sz w:val="34"/>
          <w:szCs w:val="34"/>
          <w:lang w:eastAsia="zh-CN"/>
        </w:rPr>
        <w:t>7</w:t>
      </w:r>
      <w:r>
        <w:rPr>
          <w:rFonts w:hint="eastAsia" w:ascii="仿宋" w:hAnsi="仿宋" w:eastAsia="仿宋" w:cs="仿宋"/>
          <w:sz w:val="34"/>
          <w:szCs w:val="34"/>
          <w:lang w:val="en-US" w:eastAsia="zh-CN"/>
        </w:rPr>
        <w:t>次，确保行政处罚程序合法，对我局的法治建设提供了有益的帮助。2021年9月，我局按要求在机关内部发掘和培养两名符合条件的公职律师，并按要求进行了备案，推动我局公职律师工作稳步推进。</w:t>
      </w:r>
    </w:p>
    <w:p w14:paraId="3ADFC46B">
      <w:pPr>
        <w:keepNext w:val="0"/>
        <w:keepLines w:val="0"/>
        <w:pageBreakBefore w:val="0"/>
        <w:widowControl w:val="0"/>
        <w:kinsoku/>
        <w:wordWrap/>
        <w:overflowPunct/>
        <w:topLinePunct w:val="0"/>
        <w:autoSpaceDE/>
        <w:autoSpaceDN/>
        <w:bidi w:val="0"/>
        <w:adjustRightInd w:val="0"/>
        <w:snapToGrid w:val="0"/>
        <w:spacing w:line="588" w:lineRule="exact"/>
        <w:ind w:left="0" w:firstLine="683" w:firstLineChars="200"/>
        <w:jc w:val="both"/>
        <w:textAlignment w:val="auto"/>
        <w:rPr>
          <w:rFonts w:hint="eastAsia" w:ascii="仿宋" w:hAnsi="仿宋" w:eastAsia="仿宋" w:cs="仿宋"/>
          <w:sz w:val="34"/>
          <w:szCs w:val="34"/>
          <w:lang w:val="en-US" w:eastAsia="zh-CN"/>
        </w:rPr>
      </w:pPr>
      <w:r>
        <w:rPr>
          <w:rStyle w:val="23"/>
          <w:rFonts w:hint="eastAsia" w:ascii="仿宋" w:hAnsi="仿宋" w:eastAsia="仿宋" w:cs="仿宋"/>
          <w:b/>
          <w:bCs w:val="0"/>
          <w:sz w:val="34"/>
          <w:szCs w:val="34"/>
          <w:lang w:val="en-US" w:eastAsia="zh-CN"/>
        </w:rPr>
        <w:t>7.制定完善应急预案，提升突发事件应对能力。</w:t>
      </w:r>
      <w:r>
        <w:rPr>
          <w:rFonts w:hint="eastAsia" w:ascii="仿宋" w:hAnsi="仿宋" w:eastAsia="仿宋" w:cs="仿宋"/>
          <w:sz w:val="34"/>
          <w:szCs w:val="34"/>
          <w:lang w:val="en-US" w:eastAsia="zh-CN"/>
        </w:rPr>
        <w:t>2021年7月制定并印发了《南开区突发事件总体应急预案》（南开政规〔2021〕1 号），为南开区突发事件处置提供了指导，提升南开区面对各类突发事件的应对能力。</w:t>
      </w:r>
    </w:p>
    <w:p w14:paraId="48A35E51">
      <w:pPr>
        <w:keepNext w:val="0"/>
        <w:keepLines w:val="0"/>
        <w:pageBreakBefore w:val="0"/>
        <w:widowControl w:val="0"/>
        <w:kinsoku/>
        <w:wordWrap/>
        <w:overflowPunct/>
        <w:topLinePunct w:val="0"/>
        <w:autoSpaceDE/>
        <w:autoSpaceDN/>
        <w:bidi w:val="0"/>
        <w:adjustRightInd w:val="0"/>
        <w:snapToGrid w:val="0"/>
        <w:spacing w:line="588" w:lineRule="exact"/>
        <w:ind w:left="0" w:firstLine="680" w:firstLineChars="200"/>
        <w:jc w:val="both"/>
        <w:textAlignment w:val="auto"/>
        <w:rPr>
          <w:rFonts w:hint="eastAsia" w:ascii="楷体" w:hAnsi="楷体" w:eastAsia="楷体" w:cs="楷体"/>
          <w:sz w:val="34"/>
          <w:szCs w:val="34"/>
          <w:lang w:val="en-US" w:eastAsia="zh-CN"/>
        </w:rPr>
      </w:pPr>
      <w:r>
        <w:rPr>
          <w:rFonts w:hint="eastAsia" w:ascii="楷体" w:hAnsi="楷体" w:eastAsia="楷体" w:cs="楷体"/>
          <w:sz w:val="34"/>
          <w:szCs w:val="34"/>
          <w:lang w:val="en-US" w:eastAsia="zh-CN"/>
        </w:rPr>
        <w:t>（二）严格落实行政执法“三项制度”，提升行政执法规范化水平</w:t>
      </w:r>
    </w:p>
    <w:p w14:paraId="4243AE47">
      <w:pPr>
        <w:keepNext w:val="0"/>
        <w:keepLines w:val="0"/>
        <w:pageBreakBefore w:val="0"/>
        <w:widowControl w:val="0"/>
        <w:kinsoku/>
        <w:wordWrap/>
        <w:overflowPunct/>
        <w:topLinePunct w:val="0"/>
        <w:autoSpaceDE/>
        <w:autoSpaceDN/>
        <w:bidi w:val="0"/>
        <w:adjustRightInd w:val="0"/>
        <w:snapToGrid w:val="0"/>
        <w:spacing w:line="588" w:lineRule="exact"/>
        <w:ind w:left="0" w:firstLine="683" w:firstLineChars="200"/>
        <w:jc w:val="both"/>
        <w:textAlignment w:val="auto"/>
        <w:rPr>
          <w:rStyle w:val="23"/>
          <w:rFonts w:hint="eastAsia" w:ascii="仿宋" w:hAnsi="仿宋" w:eastAsia="仿宋" w:cs="仿宋"/>
          <w:b/>
          <w:bCs w:val="0"/>
          <w:sz w:val="34"/>
          <w:szCs w:val="34"/>
          <w:lang w:val="en-US" w:eastAsia="zh-CN"/>
        </w:rPr>
      </w:pPr>
      <w:r>
        <w:rPr>
          <w:rStyle w:val="23"/>
          <w:rFonts w:hint="eastAsia" w:ascii="仿宋" w:hAnsi="仿宋" w:eastAsia="仿宋" w:cs="仿宋"/>
          <w:b/>
          <w:bCs w:val="0"/>
          <w:sz w:val="34"/>
          <w:szCs w:val="34"/>
          <w:lang w:val="en-US" w:eastAsia="zh-CN"/>
        </w:rPr>
        <w:t>1.严格落实行政执法公示制度。</w:t>
      </w:r>
    </w:p>
    <w:p w14:paraId="7B7B8F34">
      <w:pPr>
        <w:keepNext w:val="0"/>
        <w:keepLines w:val="0"/>
        <w:pageBreakBefore w:val="0"/>
        <w:widowControl w:val="0"/>
        <w:kinsoku/>
        <w:wordWrap/>
        <w:overflowPunct/>
        <w:topLinePunct w:val="0"/>
        <w:autoSpaceDE/>
        <w:autoSpaceDN/>
        <w:bidi w:val="0"/>
        <w:adjustRightInd w:val="0"/>
        <w:snapToGrid w:val="0"/>
        <w:spacing w:line="588" w:lineRule="exact"/>
        <w:ind w:left="0" w:firstLine="680" w:firstLineChars="200"/>
        <w:jc w:val="both"/>
        <w:textAlignment w:val="auto"/>
        <w:rPr>
          <w:rFonts w:hint="eastAsia" w:ascii="仿宋" w:hAnsi="仿宋" w:eastAsia="仿宋" w:cs="仿宋"/>
          <w:sz w:val="34"/>
          <w:szCs w:val="34"/>
          <w:lang w:val="en-US" w:eastAsia="zh-CN"/>
        </w:rPr>
      </w:pPr>
      <w:r>
        <w:rPr>
          <w:rFonts w:hint="eastAsia" w:ascii="仿宋" w:hAnsi="仿宋" w:eastAsia="仿宋" w:cs="仿宋"/>
          <w:sz w:val="34"/>
          <w:szCs w:val="34"/>
          <w:lang w:val="en-US" w:eastAsia="zh-CN"/>
        </w:rPr>
        <w:t>一是加强事前公开。在南开政务网公开行政许可、行政处罚、行政强制、行政检查及其他类别的权责清单，公开行政执法主体、职权名称、法定依据、实施机构、管理权限、运行流程、责任事项、监督方式等信息。2021年1月因办公地址变更，对权责清单中监督方式进行了调整，修改了部门举报电话、电子邮箱和来信来访地址，便于接受群众监督举报。2021年起每月报送应急局权责清单动态调整月度自查表，便于及时对权责清单进行调整。规范事中公示，行政执法人员从事执法活动，明确要佩戴或者出示执法证件，并就执法活动向被检查对象告知说明，能够以执法文书告知的，均出示了执法文书。二是规范行政执法文书，严格按照《安全生产监管执法手册》（2020版）的要求，使用统一的制式行政执法文书。在执法活动中按规定出具执法文书，告知行政相对人执法事由、执法依据、权利义务等内容。三是加强事后公开，依托南开政务网，行政执法决定应当在作出之日起20个工作日内向社会公开，接受社会监督，全年公示行政罚款处罚案件4</w:t>
      </w:r>
      <w:r>
        <w:rPr>
          <w:rFonts w:hint="eastAsia" w:ascii="仿宋" w:hAnsi="仿宋" w:eastAsia="仿宋" w:cs="仿宋"/>
          <w:sz w:val="34"/>
          <w:szCs w:val="34"/>
          <w:lang w:eastAsia="zh-CN"/>
        </w:rPr>
        <w:t>2</w:t>
      </w:r>
      <w:r>
        <w:rPr>
          <w:rFonts w:hint="eastAsia" w:ascii="仿宋" w:hAnsi="仿宋" w:eastAsia="仿宋" w:cs="仿宋"/>
          <w:sz w:val="34"/>
          <w:szCs w:val="34"/>
          <w:lang w:val="en-US" w:eastAsia="zh-CN"/>
        </w:rPr>
        <w:t>件。</w:t>
      </w:r>
    </w:p>
    <w:p w14:paraId="318D7414">
      <w:pPr>
        <w:keepNext w:val="0"/>
        <w:keepLines w:val="0"/>
        <w:pageBreakBefore w:val="0"/>
        <w:widowControl w:val="0"/>
        <w:kinsoku/>
        <w:wordWrap/>
        <w:overflowPunct/>
        <w:topLinePunct w:val="0"/>
        <w:autoSpaceDE/>
        <w:autoSpaceDN/>
        <w:bidi w:val="0"/>
        <w:adjustRightInd w:val="0"/>
        <w:snapToGrid w:val="0"/>
        <w:spacing w:line="588" w:lineRule="exact"/>
        <w:ind w:left="0" w:firstLine="683" w:firstLineChars="200"/>
        <w:jc w:val="both"/>
        <w:textAlignment w:val="auto"/>
        <w:rPr>
          <w:rFonts w:hint="eastAsia" w:ascii="仿宋" w:hAnsi="仿宋" w:eastAsia="仿宋" w:cs="仿宋"/>
          <w:sz w:val="34"/>
          <w:szCs w:val="34"/>
          <w:lang w:val="en-US" w:eastAsia="zh-CN"/>
        </w:rPr>
      </w:pPr>
      <w:r>
        <w:rPr>
          <w:rStyle w:val="23"/>
          <w:rFonts w:hint="eastAsia" w:ascii="仿宋" w:hAnsi="仿宋" w:eastAsia="仿宋" w:cs="仿宋"/>
          <w:b/>
          <w:bCs w:val="0"/>
          <w:sz w:val="34"/>
          <w:szCs w:val="34"/>
          <w:lang w:val="en-US" w:eastAsia="zh-CN"/>
        </w:rPr>
        <w:t>2.全面执行执法全过程记录。</w:t>
      </w:r>
      <w:r>
        <w:rPr>
          <w:rFonts w:hint="eastAsia" w:ascii="仿宋" w:hAnsi="仿宋" w:eastAsia="仿宋" w:cs="仿宋"/>
          <w:sz w:val="34"/>
          <w:szCs w:val="34"/>
          <w:lang w:val="en-US" w:eastAsia="zh-CN"/>
        </w:rPr>
        <w:t>全局一线执法科室配备20台执法记录仪对现场执法活动、留置送达、公告送达和执法场所进行全过程音像记录，取消纸质执法文书，全面使用执法终端，利用天津市应急执法管理系统开展执法检查。规范音像记录，以执法科室为单位，对音像记录进行编号，编号与执法文书编号的规则一致，注明案件编号、采集时间、采集地点、采集人、证明对象等基本信息。</w:t>
      </w:r>
    </w:p>
    <w:p w14:paraId="0A7A8010">
      <w:pPr>
        <w:keepNext w:val="0"/>
        <w:keepLines w:val="0"/>
        <w:pageBreakBefore w:val="0"/>
        <w:widowControl w:val="0"/>
        <w:kinsoku/>
        <w:wordWrap/>
        <w:overflowPunct/>
        <w:topLinePunct w:val="0"/>
        <w:autoSpaceDE/>
        <w:autoSpaceDN/>
        <w:bidi w:val="0"/>
        <w:adjustRightInd w:val="0"/>
        <w:snapToGrid w:val="0"/>
        <w:spacing w:line="588" w:lineRule="exact"/>
        <w:ind w:left="0" w:firstLine="683" w:firstLineChars="200"/>
        <w:jc w:val="both"/>
        <w:textAlignment w:val="auto"/>
        <w:rPr>
          <w:rFonts w:hint="eastAsia" w:ascii="仿宋" w:hAnsi="仿宋" w:eastAsia="仿宋" w:cs="仿宋"/>
          <w:sz w:val="34"/>
          <w:szCs w:val="34"/>
          <w:lang w:val="en-US" w:eastAsia="zh-CN"/>
        </w:rPr>
      </w:pPr>
      <w:r>
        <w:rPr>
          <w:rStyle w:val="23"/>
          <w:rFonts w:hint="eastAsia" w:ascii="仿宋" w:hAnsi="仿宋" w:eastAsia="仿宋" w:cs="仿宋"/>
          <w:b/>
          <w:bCs w:val="0"/>
          <w:sz w:val="34"/>
          <w:szCs w:val="34"/>
          <w:lang w:val="en-US" w:eastAsia="zh-CN"/>
        </w:rPr>
        <w:t>3.推行重大执法决定法制审核制度。</w:t>
      </w:r>
      <w:r>
        <w:rPr>
          <w:rFonts w:hint="eastAsia" w:ascii="仿宋" w:hAnsi="仿宋" w:eastAsia="仿宋" w:cs="仿宋"/>
          <w:b/>
          <w:bCs/>
          <w:sz w:val="34"/>
          <w:szCs w:val="34"/>
          <w:lang w:val="en-US" w:eastAsia="zh-CN"/>
        </w:rPr>
        <w:t>一是</w:t>
      </w:r>
      <w:r>
        <w:rPr>
          <w:rFonts w:hint="eastAsia" w:ascii="仿宋" w:hAnsi="仿宋" w:eastAsia="仿宋" w:cs="仿宋"/>
          <w:sz w:val="34"/>
          <w:szCs w:val="34"/>
          <w:lang w:val="en-US" w:eastAsia="zh-CN"/>
        </w:rPr>
        <w:t>我局重大执法决定法制审核的工作机构为法制宣传科，按照法制审核人员不少于本单位执法人员总数5%的要求，我局法制宣传科设置两名专职人员负责法制审核工作。</w:t>
      </w:r>
      <w:r>
        <w:rPr>
          <w:rFonts w:hint="eastAsia" w:ascii="仿宋" w:hAnsi="仿宋" w:eastAsia="仿宋" w:cs="仿宋"/>
          <w:b/>
          <w:bCs/>
          <w:sz w:val="34"/>
          <w:szCs w:val="34"/>
          <w:lang w:val="en-US" w:eastAsia="zh-CN"/>
        </w:rPr>
        <w:t>二是</w:t>
      </w:r>
      <w:r>
        <w:rPr>
          <w:rFonts w:hint="eastAsia" w:ascii="仿宋" w:hAnsi="仿宋" w:eastAsia="仿宋" w:cs="仿宋"/>
          <w:sz w:val="34"/>
          <w:szCs w:val="34"/>
          <w:lang w:val="en-US" w:eastAsia="zh-CN"/>
        </w:rPr>
        <w:t>明确审核范围，凡涉及重大公共利益，可能造成重大社会影响或引发社会风险，直接关系行政相对人或第三人重大权益，经过听证程序作出行政执法决定，以及案件情况疑难复杂、涉及多个法律关系的，都要进行法制审核。</w:t>
      </w:r>
      <w:r>
        <w:rPr>
          <w:rFonts w:hint="eastAsia" w:ascii="仿宋" w:hAnsi="仿宋" w:eastAsia="仿宋" w:cs="仿宋"/>
          <w:b/>
          <w:bCs/>
          <w:sz w:val="34"/>
          <w:szCs w:val="34"/>
          <w:lang w:val="en-US" w:eastAsia="zh-CN"/>
        </w:rPr>
        <w:t>三是</w:t>
      </w:r>
      <w:r>
        <w:rPr>
          <w:rFonts w:hint="eastAsia" w:ascii="仿宋" w:hAnsi="仿宋" w:eastAsia="仿宋" w:cs="仿宋"/>
          <w:sz w:val="34"/>
          <w:szCs w:val="34"/>
          <w:lang w:val="en-US" w:eastAsia="zh-CN"/>
        </w:rPr>
        <w:t>明确审核内容，重大执法决定法制审核重点内容：行政执法主体是否合法，行政执法人员是否具备执法资格；行政执法程序是否合法；案件事实是否清楚，证据是否合法充分；适用法律、法规、规章是否准确，裁量基准运用是否适当；执法是否超越本机关法定权限；行政执法文书是否规范、齐备；违法行为是否涉嫌犯罪、需要移送司法机关等。</w:t>
      </w:r>
      <w:r>
        <w:rPr>
          <w:rFonts w:hint="eastAsia" w:ascii="仿宋" w:hAnsi="仿宋" w:eastAsia="仿宋" w:cs="仿宋"/>
          <w:b/>
          <w:bCs/>
          <w:sz w:val="34"/>
          <w:szCs w:val="34"/>
          <w:lang w:val="en-US" w:eastAsia="zh-CN"/>
        </w:rPr>
        <w:t>四是</w:t>
      </w:r>
      <w:r>
        <w:rPr>
          <w:rFonts w:hint="eastAsia" w:ascii="仿宋" w:hAnsi="仿宋" w:eastAsia="仿宋" w:cs="仿宋"/>
          <w:sz w:val="34"/>
          <w:szCs w:val="34"/>
          <w:lang w:val="en-US" w:eastAsia="zh-CN"/>
        </w:rPr>
        <w:t>明确审核责任，我局法制审核是作出重大执法决定的必经程序，没有经过法制审核的，各执法科室不得作出执法决定。2021年法宣科共对4</w:t>
      </w:r>
      <w:r>
        <w:rPr>
          <w:rFonts w:hint="eastAsia" w:ascii="仿宋" w:hAnsi="仿宋" w:eastAsia="仿宋" w:cs="仿宋"/>
          <w:sz w:val="34"/>
          <w:szCs w:val="34"/>
          <w:lang w:eastAsia="zh-CN"/>
        </w:rPr>
        <w:t>2</w:t>
      </w:r>
      <w:r>
        <w:rPr>
          <w:rFonts w:hint="eastAsia" w:ascii="仿宋" w:hAnsi="仿宋" w:eastAsia="仿宋" w:cs="仿宋"/>
          <w:sz w:val="34"/>
          <w:szCs w:val="34"/>
          <w:lang w:val="en-US" w:eastAsia="zh-CN"/>
        </w:rPr>
        <w:t>件安全生产违法案件行政罚款处罚进行了法制审核，确保上述行政处罚案件没有产生行政复议和行政诉讼。</w:t>
      </w:r>
    </w:p>
    <w:p w14:paraId="7770A8D3">
      <w:pPr>
        <w:keepNext w:val="0"/>
        <w:keepLines w:val="0"/>
        <w:pageBreakBefore w:val="0"/>
        <w:widowControl w:val="0"/>
        <w:kinsoku/>
        <w:wordWrap/>
        <w:overflowPunct/>
        <w:topLinePunct w:val="0"/>
        <w:autoSpaceDE/>
        <w:autoSpaceDN/>
        <w:bidi w:val="0"/>
        <w:adjustRightInd w:val="0"/>
        <w:snapToGrid w:val="0"/>
        <w:spacing w:line="588" w:lineRule="exact"/>
        <w:ind w:left="0" w:firstLine="680" w:firstLineChars="200"/>
        <w:jc w:val="both"/>
        <w:textAlignment w:val="auto"/>
        <w:rPr>
          <w:rFonts w:hint="eastAsia" w:ascii="楷体" w:hAnsi="楷体" w:eastAsia="楷体" w:cs="楷体"/>
          <w:sz w:val="34"/>
          <w:szCs w:val="34"/>
          <w:lang w:val="en-US" w:eastAsia="zh-CN"/>
        </w:rPr>
      </w:pPr>
      <w:r>
        <w:rPr>
          <w:rFonts w:hint="eastAsia" w:ascii="楷体" w:hAnsi="楷体" w:eastAsia="楷体" w:cs="楷体"/>
          <w:sz w:val="34"/>
          <w:szCs w:val="34"/>
          <w:lang w:val="en-US" w:eastAsia="zh-CN"/>
        </w:rPr>
        <w:t>（三）加强理论知识培训，提升安全管理能力</w:t>
      </w:r>
    </w:p>
    <w:p w14:paraId="63CEDED4">
      <w:pPr>
        <w:keepNext w:val="0"/>
        <w:keepLines w:val="0"/>
        <w:pageBreakBefore w:val="0"/>
        <w:widowControl w:val="0"/>
        <w:kinsoku/>
        <w:wordWrap/>
        <w:overflowPunct/>
        <w:topLinePunct w:val="0"/>
        <w:autoSpaceDE/>
        <w:autoSpaceDN/>
        <w:bidi w:val="0"/>
        <w:adjustRightInd w:val="0"/>
        <w:snapToGrid w:val="0"/>
        <w:spacing w:line="588" w:lineRule="exact"/>
        <w:ind w:left="0" w:firstLine="683" w:firstLineChars="200"/>
        <w:jc w:val="both"/>
        <w:textAlignment w:val="auto"/>
        <w:rPr>
          <w:rFonts w:hint="eastAsia" w:ascii="仿宋" w:hAnsi="仿宋" w:eastAsia="仿宋" w:cs="仿宋"/>
          <w:sz w:val="34"/>
          <w:szCs w:val="34"/>
          <w:lang w:val="en-US" w:eastAsia="zh-CN"/>
        </w:rPr>
      </w:pPr>
      <w:r>
        <w:rPr>
          <w:rStyle w:val="23"/>
          <w:rFonts w:hint="eastAsia" w:ascii="仿宋" w:hAnsi="仿宋" w:eastAsia="仿宋" w:cs="仿宋"/>
          <w:b/>
          <w:bCs w:val="0"/>
          <w:sz w:val="34"/>
          <w:szCs w:val="34"/>
          <w:lang w:val="en-US" w:eastAsia="zh-CN"/>
        </w:rPr>
        <w:t>1.学习宣传贯彻习近平法治思想。</w:t>
      </w:r>
      <w:r>
        <w:rPr>
          <w:rFonts w:hint="eastAsia" w:ascii="仿宋" w:hAnsi="仿宋" w:eastAsia="仿宋" w:cs="仿宋"/>
          <w:sz w:val="34"/>
          <w:szCs w:val="34"/>
          <w:lang w:val="en-US" w:eastAsia="zh-CN"/>
        </w:rPr>
        <w:t>南开区应急管理局制定了《南开区应急管理局2021年度执法人员法治教育培训计划》，将习近平法治思想纳入到计划当中，组织全体干部学习习近平法治思想。2021年5月20日，区应急管理局组织全体干部参加市应急管理局应急管理大讲堂，聆听“学习贯彻习近平法治思想，全面推进法治天津建设”专题辅导，帮助党员干部进一步领会习近平法治思想的丰富内涵和核心要义。</w:t>
      </w:r>
    </w:p>
    <w:p w14:paraId="5FA6B57B">
      <w:pPr>
        <w:keepNext w:val="0"/>
        <w:keepLines w:val="0"/>
        <w:pageBreakBefore w:val="0"/>
        <w:widowControl w:val="0"/>
        <w:kinsoku/>
        <w:wordWrap/>
        <w:overflowPunct/>
        <w:topLinePunct w:val="0"/>
        <w:autoSpaceDE/>
        <w:autoSpaceDN/>
        <w:bidi w:val="0"/>
        <w:adjustRightInd w:val="0"/>
        <w:snapToGrid w:val="0"/>
        <w:spacing w:line="588" w:lineRule="exact"/>
        <w:ind w:left="0" w:firstLine="683" w:firstLineChars="200"/>
        <w:jc w:val="both"/>
        <w:textAlignment w:val="auto"/>
        <w:rPr>
          <w:rFonts w:hint="eastAsia" w:ascii="仿宋" w:hAnsi="仿宋" w:eastAsia="仿宋" w:cs="仿宋"/>
          <w:sz w:val="34"/>
          <w:szCs w:val="34"/>
          <w:lang w:val="en-US" w:eastAsia="zh-CN"/>
        </w:rPr>
      </w:pPr>
      <w:r>
        <w:rPr>
          <w:rStyle w:val="23"/>
          <w:rFonts w:hint="eastAsia" w:ascii="仿宋" w:hAnsi="仿宋" w:eastAsia="仿宋" w:cs="仿宋"/>
          <w:b/>
          <w:bCs w:val="0"/>
          <w:sz w:val="34"/>
          <w:szCs w:val="34"/>
          <w:lang w:val="en-US" w:eastAsia="zh-CN"/>
        </w:rPr>
        <w:t>2.加强执法人员培训，提升执法能力。</w:t>
      </w:r>
      <w:r>
        <w:rPr>
          <w:rFonts w:hint="eastAsia" w:ascii="仿宋" w:hAnsi="仿宋" w:eastAsia="仿宋" w:cs="仿宋"/>
          <w:sz w:val="34"/>
          <w:szCs w:val="34"/>
          <w:lang w:val="en-US" w:eastAsia="zh-CN"/>
        </w:rPr>
        <w:t>2021年，为了强化安全生产执法人员培训工作，区应急管理局组织一线执法科室干部积极参加由市应急局组织的工贸、危化、自然灾害防治、突发事件应急指挥处置、应急宣传、应急管理“十四五”规划等专业技能业务培训班。为做好新《安全生产法》宣传工作，区安委办联合区委宣传部、区委组织部组织全区科级以上干部1800人开展新《安全生产法》网上培训和考试。通过上述一系列有针对性的培训，不断提升我局行政执法能力和全区安全管理水平。</w:t>
      </w:r>
    </w:p>
    <w:p w14:paraId="1DE85C6C">
      <w:pPr>
        <w:pStyle w:val="25"/>
        <w:keepNext w:val="0"/>
        <w:keepLines w:val="0"/>
        <w:pageBreakBefore w:val="0"/>
        <w:widowControl w:val="0"/>
        <w:kinsoku/>
        <w:wordWrap/>
        <w:overflowPunct/>
        <w:topLinePunct w:val="0"/>
        <w:autoSpaceDE w:val="0"/>
        <w:autoSpaceDN w:val="0"/>
        <w:bidi w:val="0"/>
        <w:adjustRightInd w:val="0"/>
        <w:snapToGrid w:val="0"/>
        <w:spacing w:line="588" w:lineRule="exact"/>
        <w:ind w:left="0" w:firstLine="680" w:firstLineChars="200"/>
        <w:jc w:val="both"/>
        <w:textAlignment w:val="auto"/>
        <w:rPr>
          <w:rFonts w:hint="eastAsia" w:ascii="黑体" w:hAnsi="黑体" w:eastAsia="黑体" w:cs="黑体"/>
          <w:b w:val="0"/>
          <w:bCs/>
          <w:color w:val="auto"/>
          <w:kern w:val="2"/>
          <w:sz w:val="34"/>
          <w:szCs w:val="34"/>
          <w:highlight w:val="none"/>
          <w:lang w:val="en-US" w:eastAsia="zh-CN" w:bidi="ar-SA"/>
        </w:rPr>
      </w:pPr>
      <w:r>
        <w:rPr>
          <w:rFonts w:hint="eastAsia" w:ascii="黑体" w:hAnsi="黑体" w:eastAsia="黑体" w:cs="黑体"/>
          <w:b w:val="0"/>
          <w:bCs/>
          <w:color w:val="auto"/>
          <w:kern w:val="2"/>
          <w:sz w:val="34"/>
          <w:szCs w:val="34"/>
          <w:highlight w:val="none"/>
          <w:lang w:val="en-US" w:eastAsia="zh-CN" w:bidi="ar-SA"/>
        </w:rPr>
        <w:t>二、2021年推进法治政府建设存在的不足和原因</w:t>
      </w:r>
    </w:p>
    <w:p w14:paraId="1BFE4510">
      <w:pPr>
        <w:pStyle w:val="25"/>
        <w:keepNext w:val="0"/>
        <w:keepLines w:val="0"/>
        <w:pageBreakBefore w:val="0"/>
        <w:widowControl w:val="0"/>
        <w:kinsoku/>
        <w:wordWrap/>
        <w:overflowPunct/>
        <w:topLinePunct w:val="0"/>
        <w:autoSpaceDE w:val="0"/>
        <w:autoSpaceDN w:val="0"/>
        <w:bidi w:val="0"/>
        <w:adjustRightInd w:val="0"/>
        <w:snapToGrid w:val="0"/>
        <w:spacing w:line="588" w:lineRule="exact"/>
        <w:ind w:left="0" w:firstLine="712" w:firstLineChars="200"/>
        <w:jc w:val="both"/>
        <w:textAlignment w:val="auto"/>
        <w:rPr>
          <w:rFonts w:hint="default" w:ascii="仿宋" w:hAnsi="仿宋" w:eastAsia="仿宋" w:cs="Arial"/>
          <w:spacing w:val="8"/>
          <w:kern w:val="0"/>
          <w:sz w:val="34"/>
          <w:szCs w:val="34"/>
          <w:lang w:val="en" w:eastAsia="zh-CN"/>
        </w:rPr>
      </w:pPr>
      <w:r>
        <w:rPr>
          <w:rFonts w:hint="eastAsia" w:ascii="仿宋" w:hAnsi="仿宋" w:eastAsia="仿宋" w:cs="Arial"/>
          <w:spacing w:val="8"/>
          <w:kern w:val="0"/>
          <w:sz w:val="34"/>
          <w:szCs w:val="34"/>
          <w:lang w:val="en-US" w:eastAsia="zh-CN"/>
        </w:rPr>
        <w:t>一是由于经费短缺、准备不充分等原因，法治宣传培训活动发放宣传品数量有限、形式单一、内容枯燥，没能很好地吸引广大人民群众积极参与。二是由于我局刚刚发掘两名公职律师，对公职律师的职能和工作方式还处于摸索之中，对公职律师使用上还没有形成一套全面可行的思路，公职律师作用发挥还不够到位。</w:t>
      </w:r>
    </w:p>
    <w:p w14:paraId="5A4C1E48">
      <w:pPr>
        <w:keepNext w:val="0"/>
        <w:keepLines w:val="0"/>
        <w:pageBreakBefore w:val="0"/>
        <w:widowControl/>
        <w:suppressLineNumbers w:val="0"/>
        <w:kinsoku/>
        <w:wordWrap/>
        <w:overflowPunct/>
        <w:topLinePunct w:val="0"/>
        <w:bidi w:val="0"/>
        <w:adjustRightInd w:val="0"/>
        <w:snapToGrid w:val="0"/>
        <w:spacing w:line="588" w:lineRule="exact"/>
        <w:ind w:left="0" w:firstLine="680" w:firstLineChars="200"/>
        <w:jc w:val="both"/>
        <w:textAlignment w:val="auto"/>
        <w:rPr>
          <w:rFonts w:hint="eastAsia" w:ascii="黑体" w:hAnsi="黑体" w:eastAsia="黑体" w:cs="黑体"/>
          <w:b w:val="0"/>
          <w:bCs/>
          <w:color w:val="auto"/>
          <w:kern w:val="2"/>
          <w:sz w:val="34"/>
          <w:szCs w:val="34"/>
          <w:highlight w:val="none"/>
          <w:lang w:val="en-US" w:eastAsia="zh-CN" w:bidi="ar-SA"/>
        </w:rPr>
      </w:pPr>
      <w:r>
        <w:rPr>
          <w:rFonts w:hint="eastAsia" w:ascii="黑体" w:hAnsi="黑体" w:eastAsia="黑体" w:cs="黑体"/>
          <w:b w:val="0"/>
          <w:bCs/>
          <w:color w:val="auto"/>
          <w:kern w:val="2"/>
          <w:sz w:val="34"/>
          <w:szCs w:val="34"/>
          <w:highlight w:val="none"/>
          <w:lang w:val="en-US" w:eastAsia="zh-CN" w:bidi="ar-SA"/>
        </w:rPr>
        <w:t>三、2021年南开区应急管理局主要负责人履行推进法治政府建设第一责任人职责、加强法治政府建设有关情况</w:t>
      </w:r>
    </w:p>
    <w:p w14:paraId="12C6D525">
      <w:pPr>
        <w:pStyle w:val="25"/>
        <w:keepNext w:val="0"/>
        <w:keepLines w:val="0"/>
        <w:pageBreakBefore w:val="0"/>
        <w:widowControl w:val="0"/>
        <w:kinsoku/>
        <w:wordWrap/>
        <w:overflowPunct/>
        <w:topLinePunct w:val="0"/>
        <w:autoSpaceDE w:val="0"/>
        <w:autoSpaceDN w:val="0"/>
        <w:bidi w:val="0"/>
        <w:adjustRightInd w:val="0"/>
        <w:snapToGrid w:val="0"/>
        <w:spacing w:line="588" w:lineRule="exact"/>
        <w:ind w:left="0" w:firstLine="712" w:firstLineChars="200"/>
        <w:jc w:val="both"/>
        <w:textAlignment w:val="auto"/>
        <w:rPr>
          <w:rFonts w:hint="default" w:ascii="仿宋" w:hAnsi="仿宋" w:eastAsia="仿宋" w:cs="Arial"/>
          <w:spacing w:val="8"/>
          <w:kern w:val="0"/>
          <w:sz w:val="34"/>
          <w:szCs w:val="34"/>
          <w:lang w:val="en-US" w:eastAsia="zh-CN"/>
        </w:rPr>
      </w:pPr>
      <w:r>
        <w:rPr>
          <w:rFonts w:hint="eastAsia" w:ascii="仿宋" w:hAnsi="仿宋" w:eastAsia="仿宋" w:cs="Arial"/>
          <w:spacing w:val="8"/>
          <w:kern w:val="0"/>
          <w:sz w:val="34"/>
          <w:szCs w:val="34"/>
          <w:lang w:val="en-US" w:eastAsia="zh-CN"/>
        </w:rPr>
        <w:t>大力加强习近平法治思想学习，在学懂弄通做实上下功夫，法治思想相关内容纳入“三会一课”学习8次，组织开展理论学习中心组专题学习6次，及时传达学习贯彻习近平全面依法治国新理念新思想新战略。2021年1月，区应急管理局理论学习中心组传达学习了习近平总书记</w:t>
      </w:r>
      <w:bookmarkStart w:id="0" w:name="_GoBack"/>
      <w:bookmarkEnd w:id="0"/>
      <w:r>
        <w:rPr>
          <w:rFonts w:hint="eastAsia" w:ascii="仿宋" w:hAnsi="仿宋" w:eastAsia="仿宋" w:cs="Arial"/>
          <w:spacing w:val="8"/>
          <w:kern w:val="0"/>
          <w:sz w:val="34"/>
          <w:szCs w:val="34"/>
          <w:lang w:val="en-US" w:eastAsia="zh-CN"/>
        </w:rPr>
        <w:t>在中央全面依法治国工作会议上发表重要讲话精神，并对相关工作作了安排部署。2021年8月，区应急管理局理论学习中心组传达学习我区法治政府建设工作推进会精神，安排部署相关工作。通过召开理论中心组专题学习，提升领导班子对习近平法治思想和法治政府建设的认识，部署推动法治政府建设等工作，确保各项工作落实到位。</w:t>
      </w:r>
    </w:p>
    <w:p w14:paraId="2A43B9C4">
      <w:pPr>
        <w:keepNext w:val="0"/>
        <w:keepLines w:val="0"/>
        <w:pageBreakBefore w:val="0"/>
        <w:widowControl w:val="0"/>
        <w:kinsoku/>
        <w:wordWrap/>
        <w:overflowPunct/>
        <w:topLinePunct w:val="0"/>
        <w:autoSpaceDE/>
        <w:autoSpaceDN/>
        <w:bidi w:val="0"/>
        <w:adjustRightInd w:val="0"/>
        <w:snapToGrid w:val="0"/>
        <w:spacing w:before="0" w:after="0" w:line="588" w:lineRule="exact"/>
        <w:ind w:left="0" w:leftChars="0" w:right="0" w:rightChars="0" w:firstLine="680" w:firstLineChars="200"/>
        <w:jc w:val="both"/>
        <w:textAlignment w:val="auto"/>
        <w:outlineLvl w:val="9"/>
        <w:rPr>
          <w:rFonts w:hint="eastAsia" w:ascii="仿宋" w:hAnsi="仿宋" w:eastAsia="仿宋" w:cs="仿宋"/>
          <w:color w:val="auto"/>
          <w:sz w:val="34"/>
          <w:szCs w:val="34"/>
        </w:rPr>
      </w:pPr>
      <w:r>
        <w:rPr>
          <w:rFonts w:hint="eastAsia" w:ascii="黑体" w:hAnsi="黑体" w:eastAsia="黑体" w:cs="黑体"/>
          <w:spacing w:val="0"/>
          <w:sz w:val="34"/>
          <w:szCs w:val="34"/>
          <w:lang w:val="en-US" w:eastAsia="zh-CN"/>
        </w:rPr>
        <w:t>四、</w:t>
      </w:r>
      <w:r>
        <w:rPr>
          <w:rFonts w:hint="eastAsia" w:ascii="Times New Roman" w:hAnsi="仿宋" w:eastAsia="仿宋" w:cs="Times New Roman"/>
          <w:b w:val="0"/>
          <w:bCs/>
          <w:color w:val="auto"/>
          <w:kern w:val="0"/>
          <w:sz w:val="34"/>
          <w:szCs w:val="34"/>
          <w:highlight w:val="none"/>
          <w:lang w:val="en-US" w:eastAsia="zh-CN"/>
        </w:rPr>
        <w:t>2022</w:t>
      </w:r>
      <w:r>
        <w:rPr>
          <w:rFonts w:hint="eastAsia" w:ascii="黑体" w:hAnsi="黑体" w:eastAsia="黑体" w:cs="黑体"/>
          <w:spacing w:val="0"/>
          <w:sz w:val="34"/>
          <w:szCs w:val="34"/>
          <w:lang w:val="en-US" w:eastAsia="zh-CN"/>
        </w:rPr>
        <w:t>年推进法治政府建设的主要安排</w:t>
      </w:r>
    </w:p>
    <w:p w14:paraId="51DCEA06">
      <w:pPr>
        <w:keepNext w:val="0"/>
        <w:keepLines w:val="0"/>
        <w:pageBreakBefore w:val="0"/>
        <w:widowControl w:val="0"/>
        <w:kinsoku/>
        <w:wordWrap/>
        <w:overflowPunct/>
        <w:topLinePunct w:val="0"/>
        <w:autoSpaceDE/>
        <w:autoSpaceDN/>
        <w:bidi w:val="0"/>
        <w:adjustRightInd w:val="0"/>
        <w:snapToGrid w:val="0"/>
        <w:spacing w:line="588" w:lineRule="exact"/>
        <w:ind w:left="0" w:firstLine="680" w:firstLineChars="200"/>
        <w:jc w:val="both"/>
        <w:textAlignment w:val="auto"/>
        <w:rPr>
          <w:rFonts w:hint="eastAsia" w:ascii="仿宋" w:hAnsi="仿宋" w:eastAsia="仿宋" w:cs="仿宋"/>
          <w:sz w:val="34"/>
          <w:szCs w:val="34"/>
          <w:lang w:val="en-US" w:eastAsia="zh-CN"/>
        </w:rPr>
      </w:pPr>
      <w:r>
        <w:rPr>
          <w:rFonts w:hint="eastAsia" w:ascii="仿宋" w:hAnsi="仿宋" w:eastAsia="仿宋" w:cs="仿宋"/>
          <w:color w:val="000000"/>
          <w:sz w:val="34"/>
          <w:szCs w:val="34"/>
          <w:lang w:val="en-US" w:eastAsia="zh-CN"/>
        </w:rPr>
        <w:t>2022年</w:t>
      </w:r>
      <w:r>
        <w:rPr>
          <w:rFonts w:hint="eastAsia" w:ascii="仿宋" w:hAnsi="仿宋" w:eastAsia="仿宋" w:cs="仿宋"/>
          <w:sz w:val="34"/>
          <w:szCs w:val="34"/>
          <w:lang w:val="en-US" w:eastAsia="zh-CN"/>
        </w:rPr>
        <w:t>，我局将加大对执法人员的业务培训力度，定期举行案审会，要求各执法人员对执法工作进行自查互查，以提高行政执法能力。严格按照年度执法计划对企业进行执法检查，在执法过程中严格落实行政执法“三项制度”，提升行政执法规范化水平，全方位提高执法检查工作的专业性、全面性、细致性。进一步推行执法责任制，细化责任，落实到人，坚决杜绝“好人主义”现象，坚决执行“铁面、铁规、铁腕、铁心”要求，按照有权必有责、用权受监督的原则，构建决策科学、执行坚决、监督有力的权力运行体系，强化对执法权力的监督制约，明确执法责任。进一步完善执法责任追究机制，全面落实错案追究制度，确保执法过程中任何一个环节出现执法问题，都能够被及时发现、及时纠正、及时追究。</w:t>
      </w:r>
    </w:p>
    <w:p w14:paraId="5B976DF6">
      <w:pPr>
        <w:keepNext w:val="0"/>
        <w:keepLines w:val="0"/>
        <w:pageBreakBefore w:val="0"/>
        <w:widowControl w:val="0"/>
        <w:kinsoku/>
        <w:wordWrap/>
        <w:overflowPunct/>
        <w:topLinePunct w:val="0"/>
        <w:autoSpaceDE/>
        <w:autoSpaceDN/>
        <w:bidi w:val="0"/>
        <w:adjustRightInd w:val="0"/>
        <w:snapToGrid w:val="0"/>
        <w:spacing w:line="588" w:lineRule="exact"/>
        <w:ind w:left="0" w:firstLine="680" w:firstLineChars="200"/>
        <w:jc w:val="both"/>
        <w:textAlignment w:val="auto"/>
        <w:rPr>
          <w:rFonts w:hint="eastAsia" w:ascii="仿宋" w:hAnsi="仿宋" w:eastAsia="仿宋" w:cs="仿宋"/>
          <w:sz w:val="34"/>
          <w:szCs w:val="34"/>
          <w:lang w:val="en-US" w:eastAsia="zh-CN"/>
        </w:rPr>
      </w:pPr>
    </w:p>
    <w:p w14:paraId="691DCE87">
      <w:pPr>
        <w:keepNext w:val="0"/>
        <w:keepLines w:val="0"/>
        <w:pageBreakBefore w:val="0"/>
        <w:widowControl w:val="0"/>
        <w:kinsoku/>
        <w:wordWrap/>
        <w:overflowPunct/>
        <w:topLinePunct w:val="0"/>
        <w:autoSpaceDE/>
        <w:autoSpaceDN/>
        <w:bidi w:val="0"/>
        <w:adjustRightInd w:val="0"/>
        <w:snapToGrid w:val="0"/>
        <w:spacing w:line="588" w:lineRule="exact"/>
        <w:ind w:left="0" w:firstLine="680" w:firstLineChars="200"/>
        <w:jc w:val="both"/>
        <w:textAlignment w:val="auto"/>
        <w:rPr>
          <w:rFonts w:hint="eastAsia" w:ascii="仿宋" w:hAnsi="仿宋" w:eastAsia="仿宋" w:cs="仿宋"/>
          <w:sz w:val="34"/>
          <w:szCs w:val="34"/>
          <w:lang w:val="en-US" w:eastAsia="zh-CN"/>
        </w:rPr>
      </w:pPr>
    </w:p>
    <w:p w14:paraId="186FB8EF">
      <w:pPr>
        <w:keepNext w:val="0"/>
        <w:keepLines w:val="0"/>
        <w:pageBreakBefore w:val="0"/>
        <w:widowControl w:val="0"/>
        <w:kinsoku/>
        <w:wordWrap/>
        <w:overflowPunct/>
        <w:topLinePunct w:val="0"/>
        <w:autoSpaceDE/>
        <w:autoSpaceDN/>
        <w:bidi w:val="0"/>
        <w:adjustRightInd w:val="0"/>
        <w:snapToGrid w:val="0"/>
        <w:spacing w:line="588" w:lineRule="exact"/>
        <w:ind w:left="0" w:firstLine="680" w:firstLineChars="200"/>
        <w:jc w:val="right"/>
        <w:textAlignment w:val="auto"/>
        <w:rPr>
          <w:rFonts w:hint="eastAsia" w:ascii="仿宋" w:hAnsi="仿宋" w:eastAsia="仿宋" w:cs="仿宋"/>
          <w:sz w:val="34"/>
          <w:szCs w:val="34"/>
          <w:lang w:val="en-US" w:eastAsia="zh-CN"/>
        </w:rPr>
      </w:pPr>
      <w:r>
        <w:rPr>
          <w:rFonts w:hint="eastAsia" w:ascii="仿宋" w:hAnsi="仿宋" w:eastAsia="仿宋" w:cs="仿宋"/>
          <w:sz w:val="34"/>
          <w:szCs w:val="34"/>
          <w:lang w:val="en-US" w:eastAsia="zh-CN"/>
        </w:rPr>
        <w:t>南开区应急管理局</w:t>
      </w:r>
    </w:p>
    <w:p w14:paraId="56C6E41C">
      <w:pPr>
        <w:keepNext w:val="0"/>
        <w:keepLines w:val="0"/>
        <w:pageBreakBefore w:val="0"/>
        <w:widowControl w:val="0"/>
        <w:kinsoku/>
        <w:wordWrap/>
        <w:overflowPunct/>
        <w:topLinePunct w:val="0"/>
        <w:autoSpaceDE/>
        <w:autoSpaceDN/>
        <w:bidi w:val="0"/>
        <w:adjustRightInd w:val="0"/>
        <w:snapToGrid w:val="0"/>
        <w:spacing w:line="588" w:lineRule="exact"/>
        <w:ind w:left="0" w:firstLine="680" w:firstLineChars="200"/>
        <w:jc w:val="right"/>
        <w:textAlignment w:val="auto"/>
        <w:rPr>
          <w:rFonts w:hint="eastAsia" w:ascii="仿宋" w:hAnsi="仿宋" w:eastAsia="仿宋" w:cs="仿宋"/>
          <w:sz w:val="34"/>
          <w:szCs w:val="34"/>
          <w:lang w:val="en-US" w:eastAsia="zh-CN"/>
        </w:rPr>
      </w:pPr>
      <w:r>
        <w:rPr>
          <w:rFonts w:hint="eastAsia" w:ascii="仿宋" w:hAnsi="仿宋" w:eastAsia="仿宋" w:cs="仿宋"/>
          <w:sz w:val="34"/>
          <w:szCs w:val="34"/>
          <w:lang w:val="en-US" w:eastAsia="zh-CN"/>
        </w:rPr>
        <w:t xml:space="preserve">  202</w:t>
      </w:r>
      <w:r>
        <w:rPr>
          <w:rFonts w:hint="eastAsia" w:ascii="仿宋" w:hAnsi="仿宋" w:eastAsia="仿宋" w:cs="仿宋"/>
          <w:sz w:val="34"/>
          <w:szCs w:val="34"/>
          <w:lang w:eastAsia="zh-CN"/>
        </w:rPr>
        <w:t>2</w:t>
      </w:r>
      <w:r>
        <w:rPr>
          <w:rFonts w:hint="eastAsia" w:ascii="仿宋" w:hAnsi="仿宋" w:eastAsia="仿宋" w:cs="仿宋"/>
          <w:sz w:val="34"/>
          <w:szCs w:val="34"/>
          <w:lang w:val="en-US" w:eastAsia="zh-CN"/>
        </w:rPr>
        <w:t>年1月1</w:t>
      </w:r>
      <w:r>
        <w:rPr>
          <w:rFonts w:hint="eastAsia" w:ascii="仿宋" w:hAnsi="仿宋" w:eastAsia="仿宋" w:cs="仿宋"/>
          <w:sz w:val="34"/>
          <w:szCs w:val="34"/>
          <w:lang w:eastAsia="zh-CN"/>
        </w:rPr>
        <w:t>4</w:t>
      </w:r>
      <w:r>
        <w:rPr>
          <w:rFonts w:hint="eastAsia" w:ascii="仿宋" w:hAnsi="仿宋" w:eastAsia="仿宋" w:cs="仿宋"/>
          <w:sz w:val="34"/>
          <w:szCs w:val="34"/>
          <w:lang w:val="en-US" w:eastAsia="zh-CN"/>
        </w:rPr>
        <w:t>日</w:t>
      </w:r>
    </w:p>
    <w:p w14:paraId="754FE9AF">
      <w:pPr>
        <w:keepNext w:val="0"/>
        <w:keepLines w:val="0"/>
        <w:pageBreakBefore w:val="0"/>
        <w:widowControl w:val="0"/>
        <w:kinsoku/>
        <w:wordWrap/>
        <w:overflowPunct/>
        <w:topLinePunct w:val="0"/>
        <w:autoSpaceDE/>
        <w:autoSpaceDN/>
        <w:bidi w:val="0"/>
        <w:adjustRightInd w:val="0"/>
        <w:snapToGrid w:val="0"/>
        <w:spacing w:line="588" w:lineRule="exact"/>
        <w:ind w:left="0" w:firstLine="680" w:firstLineChars="200"/>
        <w:jc w:val="both"/>
        <w:textAlignment w:val="auto"/>
        <w:rPr>
          <w:rFonts w:hint="eastAsia" w:ascii="仿宋" w:hAnsi="仿宋" w:eastAsia="仿宋" w:cs="仿宋"/>
          <w:sz w:val="34"/>
          <w:szCs w:val="34"/>
          <w:lang w:val="en-US" w:eastAsia="zh-CN"/>
        </w:rPr>
      </w:pPr>
    </w:p>
    <w:sectPr>
      <w:pgSz w:w="11906" w:h="16838"/>
      <w:pgMar w:top="2041" w:right="1559" w:bottom="1701" w:left="1559"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73B5"/>
    <w:rsid w:val="0017554D"/>
    <w:rsid w:val="003873B5"/>
    <w:rsid w:val="00510704"/>
    <w:rsid w:val="00562237"/>
    <w:rsid w:val="00E70697"/>
    <w:rsid w:val="00EF7B22"/>
    <w:rsid w:val="17FE4E6E"/>
    <w:rsid w:val="247D6F43"/>
    <w:rsid w:val="3D7A2B69"/>
    <w:rsid w:val="3F7B271E"/>
    <w:rsid w:val="45FD380A"/>
    <w:rsid w:val="5F9B74AE"/>
    <w:rsid w:val="5FFB1F90"/>
    <w:rsid w:val="69B664F6"/>
    <w:rsid w:val="69FB3C6F"/>
    <w:rsid w:val="74F562E4"/>
    <w:rsid w:val="75F42E12"/>
    <w:rsid w:val="76733BBA"/>
    <w:rsid w:val="77FF2C10"/>
    <w:rsid w:val="7BFBE13C"/>
    <w:rsid w:val="7DBFC9EB"/>
    <w:rsid w:val="7FEED0C1"/>
    <w:rsid w:val="A7FE059D"/>
    <w:rsid w:val="AE6E725B"/>
    <w:rsid w:val="BDFD6FE0"/>
    <w:rsid w:val="CEDC8003"/>
    <w:rsid w:val="DC37BB7E"/>
    <w:rsid w:val="DF3FC87A"/>
    <w:rsid w:val="E8BD906F"/>
    <w:rsid w:val="EFDE62DE"/>
    <w:rsid w:val="F0EF8BB7"/>
    <w:rsid w:val="F3FF7AC6"/>
    <w:rsid w:val="F78063E1"/>
    <w:rsid w:val="F7FB20AA"/>
    <w:rsid w:val="FB7FEC6B"/>
    <w:rsid w:val="FC77B00E"/>
    <w:rsid w:val="FE1F683D"/>
    <w:rsid w:val="FE7A3567"/>
    <w:rsid w:val="FEFB8462"/>
    <w:rsid w:val="FFFD788C"/>
    <w:rsid w:val="FFFFE5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unhideWhenUsed="0" w:uiPriority="22" w:semiHidden="0" w:name="Strong"/>
    <w:lsdException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88" w:lineRule="exact"/>
      <w:jc w:val="both"/>
    </w:pPr>
    <w:rPr>
      <w:rFonts w:ascii="仿宋_GB2312" w:eastAsia="仿宋_GB2312" w:hAnsiTheme="minorHAnsi" w:cstheme="minorBidi"/>
      <w:kern w:val="2"/>
      <w:sz w:val="34"/>
      <w:szCs w:val="34"/>
      <w:lang w:val="en-US" w:eastAsia="zh-CN" w:bidi="ar-SA"/>
    </w:rPr>
  </w:style>
  <w:style w:type="paragraph" w:styleId="5">
    <w:name w:val="heading 2"/>
    <w:basedOn w:val="1"/>
    <w:next w:val="1"/>
    <w:link w:val="23"/>
    <w:semiHidden/>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4"/>
    <w:qFormat/>
    <w:uiPriority w:val="0"/>
    <w:pPr>
      <w:spacing w:after="0"/>
      <w:ind w:left="0" w:leftChars="0" w:firstLine="420" w:firstLineChars="200"/>
    </w:pPr>
    <w:rPr>
      <w:sz w:val="30"/>
      <w:szCs w:val="24"/>
    </w:rPr>
  </w:style>
  <w:style w:type="paragraph" w:styleId="3">
    <w:name w:val="Body Text Indent"/>
    <w:basedOn w:val="1"/>
    <w:qFormat/>
    <w:uiPriority w:val="99"/>
    <w:pPr>
      <w:ind w:firstLine="600"/>
    </w:pPr>
    <w:rPr>
      <w:sz w:val="30"/>
    </w:rPr>
  </w:style>
  <w:style w:type="paragraph" w:styleId="4">
    <w:name w:val="Date"/>
    <w:basedOn w:val="1"/>
    <w:next w:val="1"/>
    <w:qFormat/>
    <w:uiPriority w:val="0"/>
    <w:pPr>
      <w:ind w:left="100" w:leftChars="2500"/>
    </w:pPr>
  </w:style>
  <w:style w:type="paragraph" w:styleId="6">
    <w:name w:val="footer"/>
    <w:basedOn w:val="1"/>
    <w:link w:val="22"/>
    <w:semiHidden/>
    <w:unhideWhenUsed/>
    <w:qFormat/>
    <w:uiPriority w:val="99"/>
    <w:pPr>
      <w:tabs>
        <w:tab w:val="center" w:pos="4153"/>
        <w:tab w:val="right" w:pos="8306"/>
      </w:tabs>
      <w:snapToGrid w:val="0"/>
      <w:spacing w:line="240" w:lineRule="atLeast"/>
      <w:jc w:val="left"/>
    </w:pPr>
    <w:rPr>
      <w:sz w:val="18"/>
      <w:szCs w:val="18"/>
    </w:rPr>
  </w:style>
  <w:style w:type="paragraph" w:styleId="7">
    <w:name w:val="header"/>
    <w:basedOn w:val="1"/>
    <w:link w:val="21"/>
    <w:semiHidden/>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character" w:customStyle="1" w:styleId="10">
    <w:name w:val="Intense Reference"/>
    <w:basedOn w:val="9"/>
    <w:qFormat/>
    <w:uiPriority w:val="32"/>
    <w:rPr>
      <w:b/>
      <w:bCs/>
      <w:smallCaps/>
      <w:color w:val="C0504D" w:themeColor="accent2"/>
      <w:spacing w:val="5"/>
      <w:u w:val="single"/>
      <w14:textFill>
        <w14:solidFill>
          <w14:schemeClr w14:val="accent2"/>
        </w14:solidFill>
      </w14:textFill>
    </w:rPr>
  </w:style>
  <w:style w:type="paragraph" w:customStyle="1" w:styleId="11">
    <w:name w:val="标题3"/>
    <w:basedOn w:val="1"/>
    <w:link w:val="13"/>
    <w:qFormat/>
    <w:uiPriority w:val="0"/>
  </w:style>
  <w:style w:type="paragraph" w:customStyle="1" w:styleId="12">
    <w:name w:val="标题2"/>
    <w:basedOn w:val="11"/>
    <w:link w:val="15"/>
    <w:qFormat/>
    <w:uiPriority w:val="0"/>
    <w:rPr>
      <w:rFonts w:ascii="楷体_GB2312" w:eastAsia="楷体_GB2312"/>
    </w:rPr>
  </w:style>
  <w:style w:type="character" w:customStyle="1" w:styleId="13">
    <w:name w:val="标题3 Char"/>
    <w:basedOn w:val="9"/>
    <w:link w:val="11"/>
    <w:qFormat/>
    <w:uiPriority w:val="0"/>
    <w:rPr>
      <w:rFonts w:ascii="仿宋_GB2312" w:eastAsia="仿宋_GB2312"/>
      <w:sz w:val="34"/>
      <w:szCs w:val="34"/>
    </w:rPr>
  </w:style>
  <w:style w:type="paragraph" w:customStyle="1" w:styleId="14">
    <w:name w:val="标题1"/>
    <w:basedOn w:val="12"/>
    <w:link w:val="17"/>
    <w:qFormat/>
    <w:uiPriority w:val="0"/>
    <w:rPr>
      <w:rFonts w:ascii="黑体" w:hAnsi="黑体" w:eastAsia="黑体"/>
    </w:rPr>
  </w:style>
  <w:style w:type="character" w:customStyle="1" w:styleId="15">
    <w:name w:val="标题2 Char"/>
    <w:basedOn w:val="13"/>
    <w:link w:val="12"/>
    <w:qFormat/>
    <w:uiPriority w:val="0"/>
    <w:rPr>
      <w:rFonts w:ascii="楷体_GB2312" w:eastAsia="楷体_GB2312"/>
    </w:rPr>
  </w:style>
  <w:style w:type="paragraph" w:customStyle="1" w:styleId="16">
    <w:name w:val="主标题"/>
    <w:basedOn w:val="14"/>
    <w:link w:val="19"/>
    <w:qFormat/>
    <w:uiPriority w:val="0"/>
    <w:pPr>
      <w:jc w:val="center"/>
    </w:pPr>
    <w:rPr>
      <w:rFonts w:ascii="方正小标宋简体" w:eastAsia="方正小标宋简体"/>
      <w:sz w:val="44"/>
      <w:szCs w:val="44"/>
    </w:rPr>
  </w:style>
  <w:style w:type="character" w:customStyle="1" w:styleId="17">
    <w:name w:val="标题1 Char"/>
    <w:basedOn w:val="15"/>
    <w:link w:val="14"/>
    <w:qFormat/>
    <w:uiPriority w:val="0"/>
    <w:rPr>
      <w:rFonts w:ascii="黑体" w:hAnsi="黑体" w:eastAsia="黑体"/>
    </w:rPr>
  </w:style>
  <w:style w:type="paragraph" w:customStyle="1" w:styleId="18">
    <w:name w:val="副标题2"/>
    <w:basedOn w:val="16"/>
    <w:link w:val="20"/>
    <w:qFormat/>
    <w:uiPriority w:val="0"/>
    <w:rPr>
      <w:rFonts w:ascii="楷体_GB2312" w:eastAsia="楷体_GB2312"/>
      <w:sz w:val="34"/>
      <w:szCs w:val="34"/>
    </w:rPr>
  </w:style>
  <w:style w:type="character" w:customStyle="1" w:styleId="19">
    <w:name w:val="主标题 Char"/>
    <w:basedOn w:val="17"/>
    <w:link w:val="16"/>
    <w:qFormat/>
    <w:uiPriority w:val="0"/>
    <w:rPr>
      <w:rFonts w:ascii="方正小标宋简体" w:eastAsia="方正小标宋简体"/>
      <w:sz w:val="44"/>
      <w:szCs w:val="44"/>
    </w:rPr>
  </w:style>
  <w:style w:type="character" w:customStyle="1" w:styleId="20">
    <w:name w:val="副标题2 Char"/>
    <w:basedOn w:val="19"/>
    <w:link w:val="18"/>
    <w:qFormat/>
    <w:uiPriority w:val="0"/>
    <w:rPr>
      <w:rFonts w:ascii="楷体_GB2312" w:eastAsia="楷体_GB2312"/>
      <w:sz w:val="34"/>
      <w:szCs w:val="34"/>
    </w:rPr>
  </w:style>
  <w:style w:type="character" w:customStyle="1" w:styleId="21">
    <w:name w:val="页眉 Char"/>
    <w:basedOn w:val="9"/>
    <w:link w:val="7"/>
    <w:semiHidden/>
    <w:qFormat/>
    <w:uiPriority w:val="99"/>
    <w:rPr>
      <w:rFonts w:ascii="仿宋_GB2312" w:eastAsia="仿宋_GB2312"/>
      <w:sz w:val="18"/>
      <w:szCs w:val="18"/>
    </w:rPr>
  </w:style>
  <w:style w:type="character" w:customStyle="1" w:styleId="22">
    <w:name w:val="页脚 Char"/>
    <w:basedOn w:val="9"/>
    <w:link w:val="6"/>
    <w:semiHidden/>
    <w:qFormat/>
    <w:uiPriority w:val="99"/>
    <w:rPr>
      <w:rFonts w:ascii="仿宋_GB2312" w:eastAsia="仿宋_GB2312"/>
      <w:sz w:val="18"/>
      <w:szCs w:val="18"/>
    </w:rPr>
  </w:style>
  <w:style w:type="character" w:customStyle="1" w:styleId="23">
    <w:name w:val="标题 2 Char"/>
    <w:link w:val="5"/>
    <w:qFormat/>
    <w:uiPriority w:val="0"/>
    <w:rPr>
      <w:rFonts w:ascii="Arial" w:hAnsi="Arial" w:eastAsia="黑体"/>
      <w:b/>
      <w:sz w:val="32"/>
    </w:rPr>
  </w:style>
  <w:style w:type="paragraph" w:customStyle="1" w:styleId="24">
    <w:name w:val="列出段落1"/>
    <w:basedOn w:val="1"/>
    <w:qFormat/>
    <w:uiPriority w:val="34"/>
    <w:pPr>
      <w:ind w:firstLine="420" w:firstLineChars="200"/>
    </w:pPr>
  </w:style>
  <w:style w:type="paragraph" w:customStyle="1" w:styleId="25">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10</Pages>
  <Words>4725</Words>
  <Characters>4876</Characters>
  <Lines>1</Lines>
  <Paragraphs>1</Paragraphs>
  <TotalTime>19</TotalTime>
  <ScaleCrop>false</ScaleCrop>
  <LinksUpToDate>false</LinksUpToDate>
  <CharactersWithSpaces>4880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2019-08-31T00:23:00Z</dcterms:created>
  <dc:creator>l</dc:creator>
  <cp:lastModifiedBy>L·Dark</cp:lastModifiedBy>
  <cp:lastPrinted>2023-07-13T17:09:00Z</cp:lastPrinted>
  <dcterms:modified xsi:type="dcterms:W3CDTF">2025-03-10T00:51:30Z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eyJoZGlkIjoiYzZlZDdiMmU2MzJhZWY3MjZhNDZjNzQ3MGRjZjcyOTAiLCJ1c2VySWQiOiIzNTE3ODM0OTYifQ==</vt:lpwstr>
  </property>
  <property fmtid="{D5CDD505-2E9C-101B-9397-08002B2CF9AE}" pid="4" name="ICV">
    <vt:lpwstr>89D442DC50FD44C5B4D813F215754A74_13</vt:lpwstr>
  </property>
</Properties>
</file>