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rPr>
          <w:rFonts w:asciiTheme="minorEastAsia" w:hAnsiTheme="minorEastAsia" w:cstheme="minorEastAsia"/>
          <w:color w:val="000000"/>
          <w:sz w:val="22"/>
          <w:szCs w:val="22"/>
        </w:rPr>
      </w:pPr>
    </w:p>
    <w:p>
      <w:pPr>
        <w:spacing w:line="600" w:lineRule="auto"/>
        <w:rPr>
          <w:rFonts w:asciiTheme="minorEastAsia" w:hAnsiTheme="minorEastAsia" w:cstheme="minorEastAsia"/>
          <w:color w:val="000000"/>
          <w:sz w:val="22"/>
          <w:szCs w:val="22"/>
        </w:rPr>
      </w:pPr>
    </w:p>
    <w:p>
      <w:pPr>
        <w:spacing w:line="600" w:lineRule="auto"/>
        <w:rPr>
          <w:rFonts w:asciiTheme="minorEastAsia" w:hAnsiTheme="minorEastAsia" w:cstheme="minorEastAsia"/>
          <w:color w:val="000000"/>
          <w:sz w:val="22"/>
          <w:szCs w:val="22"/>
        </w:rPr>
      </w:pPr>
    </w:p>
    <w:p>
      <w:pPr>
        <w:widowControl/>
        <w:jc w:val="center"/>
        <w:rPr>
          <w:rFonts w:ascii="Fz_S_BiaoSong_Jt" w:eastAsia="Fz_S_BiaoSong_Jt"/>
          <w:sz w:val="48"/>
          <w:szCs w:val="48"/>
        </w:rPr>
      </w:pPr>
      <w:r>
        <w:rPr>
          <w:rFonts w:ascii="Fz_S_BiaoSong_Jt" w:eastAsia="Fz_S_BiaoSong_Jt"/>
          <w:sz w:val="48"/>
          <w:szCs w:val="48"/>
        </w:rPr>
        <w:t>天津市南开区文化馆</w:t>
      </w:r>
    </w:p>
    <w:p>
      <w:pPr>
        <w:widowControl/>
        <w:jc w:val="center"/>
        <w:rPr>
          <w:rFonts w:ascii="Times New Roman" w:eastAsia="Fz_S_BiaoSong_Jt"/>
          <w:sz w:val="48"/>
          <w:szCs w:val="48"/>
        </w:rPr>
      </w:pPr>
      <w:r>
        <w:rPr>
          <w:rFonts w:ascii="Times New Roman" w:eastAsia="Fz_S_BiaoSong_Jt"/>
          <w:sz w:val="48"/>
          <w:szCs w:val="48"/>
        </w:rPr>
        <w:t>2024年度部门决算</w:t>
      </w:r>
    </w:p>
    <w:p>
      <w:pPr>
        <w:spacing w:line="600" w:lineRule="auto"/>
        <w:rPr>
          <w:rFonts w:asciiTheme="minorEastAsia" w:hAnsiTheme="minorEastAsia" w:cstheme="minorEastAsia"/>
          <w:color w:val="000000"/>
          <w:sz w:val="22"/>
          <w:szCs w:val="22"/>
        </w:rPr>
      </w:pPr>
    </w:p>
    <w:p>
      <w:pPr>
        <w:spacing w:line="600" w:lineRule="auto"/>
        <w:rPr>
          <w:rFonts w:asciiTheme="minorEastAsia" w:hAnsiTheme="minorEastAsia" w:cstheme="minorEastAsia"/>
          <w:color w:val="000000"/>
          <w:sz w:val="22"/>
          <w:szCs w:val="22"/>
        </w:rPr>
      </w:pPr>
    </w:p>
    <w:p>
      <w:pPr>
        <w:spacing w:line="600" w:lineRule="auto"/>
        <w:rPr>
          <w:rFonts w:asciiTheme="minorEastAsia" w:hAnsiTheme="minorEastAsia" w:cstheme="minorEastAsia"/>
          <w:color w:val="000000"/>
          <w:sz w:val="22"/>
          <w:szCs w:val="22"/>
        </w:rPr>
      </w:pPr>
    </w:p>
    <w:p>
      <w:pP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br w:type="page"/>
      </w:r>
    </w:p>
    <w:p>
      <w:pPr>
        <w:widowControl/>
        <w:jc w:val="center"/>
        <w:outlineLvl w:val="0"/>
        <w:rPr>
          <w:rFonts w:ascii="宋体" w:eastAsia="黑体"/>
          <w:sz w:val="44"/>
          <w:szCs w:val="44"/>
        </w:rPr>
      </w:pPr>
      <w:r>
        <w:rPr>
          <w:rFonts w:ascii="宋体" w:eastAsia="黑体"/>
          <w:sz w:val="44"/>
          <w:szCs w:val="44"/>
        </w:rPr>
        <w:t>目  录</w:t>
      </w:r>
    </w:p>
    <w:p>
      <w:pPr>
        <w:widowControl/>
        <w:jc w:val="left"/>
        <w:rPr>
          <w:rFonts w:ascii="黑体" w:eastAsia="黑体"/>
          <w:sz w:val="30"/>
          <w:szCs w:val="30"/>
        </w:rPr>
      </w:pPr>
      <w:r>
        <w:rPr>
          <w:rFonts w:ascii="黑体" w:eastAsia="黑体"/>
          <w:sz w:val="30"/>
          <w:szCs w:val="30"/>
        </w:rPr>
        <w:t>第一部分   概况</w:t>
      </w:r>
    </w:p>
    <w:p>
      <w:pPr>
        <w:widowControl/>
        <w:ind w:firstLine="600" w:firstLineChars="200"/>
        <w:jc w:val="left"/>
        <w:rPr>
          <w:rFonts w:ascii="宋体" w:eastAsia="仿宋_GB2312"/>
          <w:sz w:val="30"/>
          <w:szCs w:val="30"/>
        </w:rPr>
      </w:pPr>
      <w:r>
        <w:rPr>
          <w:rFonts w:ascii="宋体" w:eastAsia="仿宋_GB2312"/>
          <w:sz w:val="30"/>
          <w:szCs w:val="30"/>
        </w:rPr>
        <w:t>一、主要职责</w:t>
      </w:r>
    </w:p>
    <w:p>
      <w:pPr>
        <w:widowControl/>
        <w:ind w:firstLine="600" w:firstLineChars="200"/>
        <w:jc w:val="left"/>
        <w:rPr>
          <w:rFonts w:ascii="宋体" w:eastAsia="仿宋_GB2312"/>
          <w:sz w:val="30"/>
          <w:szCs w:val="30"/>
        </w:rPr>
      </w:pPr>
      <w:r>
        <w:rPr>
          <w:rFonts w:ascii="宋体" w:eastAsia="仿宋_GB2312"/>
          <w:sz w:val="30"/>
          <w:szCs w:val="30"/>
        </w:rPr>
        <w:t>二、机构设置</w:t>
      </w:r>
    </w:p>
    <w:p>
      <w:pPr>
        <w:widowControl/>
        <w:jc w:val="left"/>
        <w:rPr>
          <w:rFonts w:ascii="黑体" w:eastAsia="黑体"/>
          <w:sz w:val="30"/>
          <w:szCs w:val="30"/>
        </w:rPr>
      </w:pPr>
      <w:r>
        <w:rPr>
          <w:rFonts w:ascii="黑体" w:eastAsia="黑体"/>
          <w:sz w:val="30"/>
          <w:szCs w:val="30"/>
        </w:rPr>
        <w:t>第二部分   2024年度部门决算报表</w:t>
      </w:r>
    </w:p>
    <w:p>
      <w:pPr>
        <w:widowControl/>
        <w:ind w:firstLine="600" w:firstLineChars="200"/>
        <w:jc w:val="left"/>
        <w:rPr>
          <w:rFonts w:ascii="宋体" w:eastAsia="仿宋_GB2312"/>
          <w:sz w:val="30"/>
          <w:szCs w:val="30"/>
        </w:rPr>
      </w:pPr>
      <w:r>
        <w:rPr>
          <w:rFonts w:ascii="宋体" w:eastAsia="仿宋_GB2312"/>
          <w:sz w:val="30"/>
          <w:szCs w:val="30"/>
        </w:rPr>
        <w:t>一、收入支出决算总表</w:t>
      </w:r>
    </w:p>
    <w:p>
      <w:pPr>
        <w:widowControl/>
        <w:ind w:firstLine="600" w:firstLineChars="200"/>
        <w:jc w:val="left"/>
        <w:rPr>
          <w:rFonts w:ascii="宋体" w:eastAsia="仿宋_GB2312"/>
          <w:sz w:val="30"/>
          <w:szCs w:val="30"/>
        </w:rPr>
      </w:pPr>
      <w:r>
        <w:rPr>
          <w:rFonts w:ascii="宋体" w:eastAsia="仿宋_GB2312"/>
          <w:sz w:val="30"/>
          <w:szCs w:val="30"/>
        </w:rPr>
        <w:t>二、收入决算表（按功能分类列示）</w:t>
      </w:r>
    </w:p>
    <w:p>
      <w:pPr>
        <w:widowControl/>
        <w:ind w:firstLine="600" w:firstLineChars="200"/>
        <w:jc w:val="left"/>
        <w:rPr>
          <w:rFonts w:ascii="宋体" w:eastAsia="仿宋_GB2312"/>
          <w:sz w:val="30"/>
          <w:szCs w:val="30"/>
        </w:rPr>
      </w:pPr>
      <w:r>
        <w:rPr>
          <w:rFonts w:ascii="宋体" w:eastAsia="仿宋_GB2312"/>
          <w:sz w:val="30"/>
          <w:szCs w:val="30"/>
        </w:rPr>
        <w:t>三、收入决算表（按单位列示）</w:t>
      </w:r>
    </w:p>
    <w:p>
      <w:pPr>
        <w:widowControl/>
        <w:ind w:firstLine="600" w:firstLineChars="200"/>
        <w:jc w:val="left"/>
        <w:rPr>
          <w:rFonts w:ascii="宋体" w:eastAsia="仿宋_GB2312"/>
          <w:sz w:val="30"/>
          <w:szCs w:val="30"/>
        </w:rPr>
      </w:pPr>
      <w:r>
        <w:rPr>
          <w:rFonts w:ascii="宋体" w:eastAsia="仿宋_GB2312"/>
          <w:sz w:val="30"/>
          <w:szCs w:val="30"/>
        </w:rPr>
        <w:t>四、支出决算表</w:t>
      </w:r>
    </w:p>
    <w:p>
      <w:pPr>
        <w:widowControl/>
        <w:ind w:firstLine="600" w:firstLineChars="200"/>
        <w:jc w:val="left"/>
        <w:rPr>
          <w:rFonts w:ascii="宋体" w:eastAsia="仿宋_GB2312"/>
          <w:sz w:val="30"/>
          <w:szCs w:val="30"/>
        </w:rPr>
      </w:pPr>
      <w:r>
        <w:rPr>
          <w:rFonts w:ascii="宋体" w:eastAsia="仿宋_GB2312"/>
          <w:sz w:val="30"/>
          <w:szCs w:val="30"/>
        </w:rPr>
        <w:t>五、财政拨款收入支出决算总表</w:t>
      </w:r>
    </w:p>
    <w:p>
      <w:pPr>
        <w:widowControl/>
        <w:ind w:firstLine="600" w:firstLineChars="200"/>
        <w:jc w:val="left"/>
        <w:rPr>
          <w:rFonts w:ascii="宋体" w:eastAsia="仿宋_GB2312"/>
          <w:sz w:val="30"/>
          <w:szCs w:val="30"/>
        </w:rPr>
      </w:pPr>
      <w:r>
        <w:rPr>
          <w:rFonts w:ascii="宋体" w:eastAsia="仿宋_GB2312"/>
          <w:sz w:val="30"/>
          <w:szCs w:val="30"/>
        </w:rPr>
        <w:t>六、一般公共预算财政拨款支出决算表</w:t>
      </w:r>
    </w:p>
    <w:p>
      <w:pPr>
        <w:widowControl/>
        <w:ind w:firstLine="600" w:firstLineChars="200"/>
        <w:jc w:val="left"/>
        <w:rPr>
          <w:rFonts w:ascii="宋体" w:eastAsia="仿宋_GB2312"/>
          <w:sz w:val="30"/>
          <w:szCs w:val="30"/>
        </w:rPr>
      </w:pPr>
      <w:r>
        <w:rPr>
          <w:rFonts w:ascii="宋体" w:eastAsia="仿宋_GB2312"/>
          <w:sz w:val="30"/>
          <w:szCs w:val="30"/>
        </w:rPr>
        <w:t>七、一般公共预算财政拨款基本支出决算明细表</w:t>
      </w:r>
    </w:p>
    <w:p>
      <w:pPr>
        <w:widowControl/>
        <w:ind w:firstLine="600" w:firstLineChars="200"/>
        <w:jc w:val="left"/>
        <w:rPr>
          <w:rFonts w:ascii="宋体" w:eastAsia="仿宋_GB2312"/>
          <w:sz w:val="30"/>
          <w:szCs w:val="30"/>
        </w:rPr>
      </w:pPr>
      <w:r>
        <w:rPr>
          <w:rFonts w:ascii="宋体" w:eastAsia="仿宋_GB2312"/>
          <w:sz w:val="30"/>
          <w:szCs w:val="30"/>
        </w:rPr>
        <w:t>八、政府性基金预算财政拨款收入支出决算表</w:t>
      </w:r>
    </w:p>
    <w:p>
      <w:pPr>
        <w:widowControl/>
        <w:ind w:firstLine="600" w:firstLineChars="200"/>
        <w:jc w:val="left"/>
        <w:rPr>
          <w:rFonts w:ascii="宋体" w:eastAsia="仿宋_GB2312"/>
          <w:sz w:val="30"/>
          <w:szCs w:val="30"/>
        </w:rPr>
      </w:pPr>
      <w:r>
        <w:rPr>
          <w:rFonts w:ascii="宋体" w:eastAsia="仿宋_GB2312"/>
          <w:sz w:val="30"/>
          <w:szCs w:val="30"/>
        </w:rPr>
        <w:t>九、国有资本经营预算财政拨款支出决算表</w:t>
      </w:r>
    </w:p>
    <w:p>
      <w:pPr>
        <w:widowControl/>
        <w:ind w:firstLine="600" w:firstLineChars="200"/>
        <w:jc w:val="left"/>
        <w:rPr>
          <w:rFonts w:ascii="宋体" w:eastAsia="仿宋_GB2312"/>
          <w:sz w:val="30"/>
          <w:szCs w:val="30"/>
        </w:rPr>
      </w:pPr>
      <w:r>
        <w:rPr>
          <w:rFonts w:ascii="宋体" w:eastAsia="仿宋_GB2312"/>
          <w:sz w:val="30"/>
          <w:szCs w:val="30"/>
        </w:rPr>
        <w:t>十、财政拨款“三公”经费支出决算表</w:t>
      </w:r>
    </w:p>
    <w:p>
      <w:pPr>
        <w:widowControl/>
        <w:ind w:firstLine="600" w:firstLineChars="200"/>
        <w:jc w:val="left"/>
        <w:rPr>
          <w:rFonts w:ascii="宋体" w:eastAsia="仿宋_GB2312"/>
          <w:sz w:val="30"/>
          <w:szCs w:val="30"/>
        </w:rPr>
      </w:pPr>
      <w:r>
        <w:rPr>
          <w:rFonts w:ascii="宋体" w:eastAsia="仿宋_GB2312"/>
          <w:sz w:val="30"/>
          <w:szCs w:val="30"/>
        </w:rPr>
        <w:t>十一、项目支出决算表</w:t>
      </w:r>
    </w:p>
    <w:p>
      <w:pPr>
        <w:widowControl/>
        <w:jc w:val="left"/>
        <w:rPr>
          <w:rFonts w:ascii="黑体" w:eastAsia="黑体"/>
          <w:sz w:val="30"/>
          <w:szCs w:val="30"/>
        </w:rPr>
      </w:pPr>
      <w:r>
        <w:rPr>
          <w:rFonts w:ascii="黑体" w:eastAsia="黑体"/>
          <w:sz w:val="30"/>
          <w:szCs w:val="30"/>
        </w:rPr>
        <w:t>第三部分   2024年度部门决算情况说明</w:t>
      </w:r>
    </w:p>
    <w:p>
      <w:pPr>
        <w:widowControl/>
        <w:ind w:firstLine="600" w:firstLineChars="200"/>
        <w:jc w:val="left"/>
        <w:rPr>
          <w:rFonts w:ascii="宋体" w:eastAsia="仿宋_GB2312"/>
          <w:sz w:val="30"/>
          <w:szCs w:val="30"/>
        </w:rPr>
      </w:pPr>
      <w:r>
        <w:rPr>
          <w:rFonts w:ascii="宋体" w:eastAsia="仿宋_GB2312"/>
          <w:sz w:val="30"/>
          <w:szCs w:val="30"/>
        </w:rPr>
        <w:t>一、收支决算总体情况说明</w:t>
      </w:r>
    </w:p>
    <w:p>
      <w:pPr>
        <w:widowControl/>
        <w:ind w:firstLine="600" w:firstLineChars="200"/>
        <w:jc w:val="left"/>
        <w:rPr>
          <w:rFonts w:ascii="宋体" w:eastAsia="仿宋_GB2312"/>
          <w:sz w:val="30"/>
          <w:szCs w:val="30"/>
        </w:rPr>
      </w:pPr>
      <w:r>
        <w:rPr>
          <w:rFonts w:ascii="宋体" w:eastAsia="仿宋_GB2312"/>
          <w:sz w:val="30"/>
          <w:szCs w:val="30"/>
        </w:rPr>
        <w:t>二、收入决算情况说明</w:t>
      </w:r>
    </w:p>
    <w:p>
      <w:pPr>
        <w:widowControl/>
        <w:ind w:firstLine="600" w:firstLineChars="200"/>
        <w:jc w:val="left"/>
        <w:rPr>
          <w:rFonts w:ascii="宋体" w:eastAsia="仿宋_GB2312"/>
          <w:sz w:val="30"/>
          <w:szCs w:val="30"/>
        </w:rPr>
      </w:pPr>
      <w:r>
        <w:rPr>
          <w:rFonts w:ascii="宋体" w:eastAsia="仿宋_GB2312"/>
          <w:sz w:val="30"/>
          <w:szCs w:val="30"/>
        </w:rPr>
        <w:t>三、支出决算情况说明</w:t>
      </w:r>
    </w:p>
    <w:p>
      <w:pPr>
        <w:widowControl/>
        <w:ind w:firstLine="600" w:firstLineChars="200"/>
        <w:jc w:val="left"/>
        <w:rPr>
          <w:rFonts w:ascii="宋体" w:eastAsia="仿宋_GB2312"/>
          <w:sz w:val="30"/>
          <w:szCs w:val="30"/>
        </w:rPr>
      </w:pPr>
      <w:r>
        <w:rPr>
          <w:rFonts w:ascii="宋体" w:eastAsia="仿宋_GB2312"/>
          <w:sz w:val="30"/>
          <w:szCs w:val="30"/>
        </w:rPr>
        <w:t>四、财政拨款收支决算总体情况说明</w:t>
      </w:r>
    </w:p>
    <w:p>
      <w:pPr>
        <w:widowControl/>
        <w:ind w:firstLine="600" w:firstLineChars="200"/>
        <w:jc w:val="left"/>
        <w:rPr>
          <w:rFonts w:ascii="宋体" w:eastAsia="仿宋_GB2312"/>
          <w:sz w:val="30"/>
          <w:szCs w:val="30"/>
        </w:rPr>
      </w:pPr>
      <w:r>
        <w:rPr>
          <w:rFonts w:ascii="宋体" w:eastAsia="仿宋_GB2312"/>
          <w:sz w:val="30"/>
          <w:szCs w:val="30"/>
        </w:rPr>
        <w:t>五、一般公共预算财政拨款支出决算情况说明</w:t>
      </w:r>
    </w:p>
    <w:p>
      <w:pPr>
        <w:widowControl/>
        <w:ind w:firstLine="600" w:firstLineChars="200"/>
        <w:jc w:val="left"/>
        <w:rPr>
          <w:rFonts w:ascii="宋体" w:eastAsia="仿宋_GB2312"/>
          <w:sz w:val="30"/>
          <w:szCs w:val="30"/>
        </w:rPr>
      </w:pPr>
      <w:r>
        <w:rPr>
          <w:rFonts w:ascii="宋体" w:eastAsia="仿宋_GB2312"/>
          <w:sz w:val="30"/>
          <w:szCs w:val="30"/>
        </w:rPr>
        <w:t>六、一般公共预算财政拨款基本支出决算情况说明</w:t>
      </w:r>
    </w:p>
    <w:p>
      <w:pPr>
        <w:widowControl/>
        <w:ind w:firstLine="600" w:firstLineChars="200"/>
        <w:jc w:val="left"/>
        <w:rPr>
          <w:rFonts w:ascii="宋体" w:eastAsia="仿宋_GB2312"/>
          <w:sz w:val="30"/>
          <w:szCs w:val="30"/>
        </w:rPr>
      </w:pPr>
      <w:r>
        <w:rPr>
          <w:rFonts w:ascii="宋体" w:eastAsia="仿宋_GB2312"/>
          <w:sz w:val="30"/>
          <w:szCs w:val="30"/>
        </w:rPr>
        <w:t>七、政府性基金预算财政拨款收支决算情况说明</w:t>
      </w:r>
    </w:p>
    <w:p>
      <w:pPr>
        <w:widowControl/>
        <w:ind w:firstLine="600" w:firstLineChars="200"/>
        <w:jc w:val="left"/>
        <w:rPr>
          <w:rFonts w:ascii="宋体" w:eastAsia="仿宋_GB2312"/>
          <w:sz w:val="30"/>
          <w:szCs w:val="30"/>
        </w:rPr>
      </w:pPr>
      <w:r>
        <w:rPr>
          <w:rFonts w:ascii="宋体" w:eastAsia="仿宋_GB2312"/>
          <w:sz w:val="30"/>
          <w:szCs w:val="30"/>
        </w:rPr>
        <w:t>八、国有资本经营预算财政拨款收支决算情况说明</w:t>
      </w:r>
    </w:p>
    <w:p>
      <w:pPr>
        <w:widowControl/>
        <w:ind w:firstLine="600" w:firstLineChars="200"/>
        <w:jc w:val="left"/>
        <w:rPr>
          <w:rFonts w:ascii="宋体" w:eastAsia="仿宋_GB2312"/>
          <w:sz w:val="30"/>
          <w:szCs w:val="30"/>
        </w:rPr>
      </w:pPr>
      <w:r>
        <w:rPr>
          <w:rFonts w:ascii="宋体" w:eastAsia="仿宋_GB2312"/>
          <w:sz w:val="30"/>
          <w:szCs w:val="30"/>
        </w:rPr>
        <w:t>九、财政拨款“三公”经费支出决算情况说明</w:t>
      </w:r>
    </w:p>
    <w:p>
      <w:pPr>
        <w:widowControl/>
        <w:ind w:firstLine="600" w:firstLineChars="200"/>
        <w:jc w:val="left"/>
        <w:rPr>
          <w:rFonts w:ascii="宋体" w:eastAsia="仿宋_GB2312"/>
          <w:sz w:val="30"/>
          <w:szCs w:val="30"/>
        </w:rPr>
      </w:pPr>
      <w:r>
        <w:rPr>
          <w:rFonts w:ascii="宋体" w:eastAsia="仿宋_GB2312"/>
          <w:sz w:val="30"/>
          <w:szCs w:val="30"/>
        </w:rPr>
        <w:t>十、机关运行经费支出情况说明</w:t>
      </w:r>
    </w:p>
    <w:p>
      <w:pPr>
        <w:widowControl/>
        <w:ind w:firstLine="600" w:firstLineChars="200"/>
        <w:jc w:val="left"/>
        <w:rPr>
          <w:rFonts w:ascii="宋体" w:eastAsia="仿宋_GB2312"/>
          <w:sz w:val="30"/>
          <w:szCs w:val="30"/>
        </w:rPr>
      </w:pPr>
      <w:r>
        <w:rPr>
          <w:rFonts w:ascii="宋体" w:eastAsia="仿宋_GB2312"/>
          <w:sz w:val="30"/>
          <w:szCs w:val="30"/>
        </w:rPr>
        <w:t>十一、政府采购支出情况说明</w:t>
      </w:r>
    </w:p>
    <w:p>
      <w:pPr>
        <w:widowControl/>
        <w:ind w:firstLine="600" w:firstLineChars="200"/>
        <w:jc w:val="left"/>
        <w:rPr>
          <w:rFonts w:ascii="宋体" w:eastAsia="仿宋_GB2312"/>
          <w:sz w:val="30"/>
          <w:szCs w:val="30"/>
        </w:rPr>
      </w:pPr>
      <w:r>
        <w:rPr>
          <w:rFonts w:ascii="宋体" w:eastAsia="仿宋_GB2312"/>
          <w:sz w:val="30"/>
          <w:szCs w:val="30"/>
        </w:rPr>
        <w:t>十二、国有资产占有使用情况说明</w:t>
      </w:r>
    </w:p>
    <w:p>
      <w:pPr>
        <w:widowControl/>
        <w:ind w:firstLine="600" w:firstLineChars="200"/>
        <w:jc w:val="left"/>
        <w:rPr>
          <w:rFonts w:ascii="宋体" w:eastAsia="仿宋_GB2312"/>
          <w:sz w:val="30"/>
          <w:szCs w:val="30"/>
        </w:rPr>
      </w:pPr>
      <w:r>
        <w:rPr>
          <w:rFonts w:ascii="宋体" w:eastAsia="仿宋_GB2312"/>
          <w:sz w:val="30"/>
          <w:szCs w:val="30"/>
        </w:rPr>
        <w:t>十三、预算绩效情况说明</w:t>
      </w:r>
    </w:p>
    <w:p>
      <w:pPr>
        <w:widowControl/>
        <w:ind w:firstLine="600" w:firstLineChars="200"/>
        <w:jc w:val="left"/>
        <w:rPr>
          <w:rFonts w:ascii="宋体" w:eastAsia="仿宋_GB2312"/>
          <w:sz w:val="30"/>
          <w:szCs w:val="30"/>
        </w:rPr>
      </w:pPr>
      <w:r>
        <w:rPr>
          <w:rFonts w:ascii="宋体" w:eastAsia="仿宋_GB2312"/>
          <w:sz w:val="30"/>
          <w:szCs w:val="30"/>
        </w:rPr>
        <w:t>十四、教育、医疗卫生、社会保障和就业、住房保障、涉农补贴等民生支出情况说明</w:t>
      </w:r>
    </w:p>
    <w:p>
      <w:pPr>
        <w:widowControl/>
        <w:jc w:val="left"/>
        <w:rPr>
          <w:rFonts w:ascii="黑体" w:eastAsia="黑体"/>
          <w:sz w:val="30"/>
          <w:szCs w:val="30"/>
        </w:rPr>
      </w:pPr>
      <w:r>
        <w:rPr>
          <w:rFonts w:ascii="黑体" w:eastAsia="黑体"/>
          <w:sz w:val="30"/>
          <w:szCs w:val="30"/>
        </w:rPr>
        <w:t>第四部分   名词解释</w:t>
      </w:r>
    </w:p>
    <w:p>
      <w:pPr>
        <w:rPr>
          <w:rFonts w:asciiTheme="minorEastAsia" w:hAnsiTheme="minorEastAsia" w:cstheme="minorEastAsia"/>
          <w:sz w:val="22"/>
          <w:szCs w:val="22"/>
          <w:highlight w:val="yellow"/>
        </w:rPr>
      </w:pPr>
    </w:p>
    <w:p>
      <w:pPr>
        <w:snapToGrid w:val="0"/>
        <w:jc w:val="left"/>
        <w:rPr>
          <w:rFonts w:asciiTheme="minorEastAsia" w:hAnsiTheme="minorEastAsia" w:cstheme="minorEastAsia"/>
          <w:color w:val="000000" w:themeColor="text1"/>
          <w:sz w:val="22"/>
          <w:szCs w:val="22"/>
        </w:rPr>
      </w:pPr>
    </w:p>
    <w:p>
      <w:pPr>
        <w:snapToGrid w:val="0"/>
        <w:jc w:val="left"/>
        <w:rPr>
          <w:rFonts w:asciiTheme="minorEastAsia" w:hAnsiTheme="minorEastAsia" w:cstheme="minorEastAsia"/>
          <w:color w:val="000000" w:themeColor="text1"/>
          <w:sz w:val="22"/>
          <w:szCs w:val="22"/>
        </w:rPr>
        <w:sectPr>
          <w:footerReference r:id="rId3" w:type="default"/>
          <w:pgSz w:w="11906" w:h="16838"/>
          <w:pgMar w:top="1531" w:right="1984" w:bottom="1531" w:left="2098" w:header="851" w:footer="992" w:gutter="0"/>
          <w:cols w:space="720" w:num="1"/>
          <w:docGrid w:type="lines" w:linePitch="312" w:charSpace="0"/>
        </w:sectPr>
      </w:pPr>
    </w:p>
    <w:p>
      <w:pPr>
        <w:widowControl/>
        <w:jc w:val="center"/>
        <w:outlineLvl w:val="0"/>
        <w:rPr>
          <w:rFonts w:ascii="黑体" w:eastAsia="黑体"/>
          <w:sz w:val="44"/>
          <w:szCs w:val="44"/>
        </w:rPr>
      </w:pPr>
      <w:r>
        <w:rPr>
          <w:rFonts w:ascii="黑体" w:eastAsia="黑体"/>
          <w:sz w:val="44"/>
          <w:szCs w:val="44"/>
        </w:rPr>
        <w:t>第一部分  概况</w:t>
      </w:r>
    </w:p>
    <w:p>
      <w:pPr>
        <w:widowControl/>
        <w:ind w:firstLine="600" w:firstLineChars="200"/>
        <w:jc w:val="left"/>
        <w:outlineLvl w:val="1"/>
        <w:rPr>
          <w:rFonts w:ascii="宋体" w:eastAsia="黑体"/>
          <w:sz w:val="30"/>
          <w:szCs w:val="30"/>
        </w:rPr>
      </w:pPr>
      <w:r>
        <w:rPr>
          <w:rFonts w:ascii="宋体" w:eastAsia="黑体"/>
          <w:sz w:val="30"/>
          <w:szCs w:val="30"/>
        </w:rPr>
        <w:t>一、主要职责</w:t>
      </w:r>
    </w:p>
    <w:p>
      <w:pPr>
        <w:widowControl/>
        <w:ind w:firstLine="600" w:firstLineChars="200"/>
        <w:jc w:val="left"/>
        <w:rPr>
          <w:rFonts w:hint="eastAsia" w:ascii="Times New Roman" w:eastAsia="仿宋_GB2312"/>
          <w:sz w:val="30"/>
          <w:szCs w:val="30"/>
        </w:rPr>
      </w:pPr>
      <w:r>
        <w:rPr>
          <w:rFonts w:hint="eastAsia" w:ascii="Times New Roman" w:eastAsia="仿宋_GB2312"/>
          <w:sz w:val="30"/>
          <w:szCs w:val="30"/>
        </w:rPr>
        <w:t>组织群众文化活动，繁荣群众文化事业。文艺演出，组织美术摄影展览，影视录像放映，文体比赛组织，科技知识培训，文艺合作培训，南开区各街文化室业务指导，群众文艺理论研究，文化交流团队组织，文化交流作品选送，民族民间文化艺术交流演出。</w:t>
      </w:r>
    </w:p>
    <w:p>
      <w:pPr>
        <w:widowControl/>
        <w:ind w:firstLine="600" w:firstLineChars="200"/>
        <w:jc w:val="left"/>
        <w:outlineLvl w:val="1"/>
        <w:rPr>
          <w:rFonts w:ascii="宋体" w:eastAsia="黑体"/>
          <w:sz w:val="30"/>
          <w:szCs w:val="30"/>
        </w:rPr>
      </w:pPr>
      <w:r>
        <w:rPr>
          <w:rFonts w:ascii="宋体" w:eastAsia="黑体"/>
          <w:sz w:val="30"/>
          <w:szCs w:val="30"/>
        </w:rPr>
        <w:t>二、机构设置</w:t>
      </w:r>
    </w:p>
    <w:p>
      <w:pPr>
        <w:widowControl/>
        <w:ind w:firstLine="600" w:firstLineChars="200"/>
        <w:jc w:val="left"/>
        <w:rPr>
          <w:rFonts w:hint="eastAsia" w:ascii="Times New Roman" w:eastAsia="仿宋_GB2312"/>
          <w:sz w:val="30"/>
          <w:szCs w:val="30"/>
          <w:lang w:eastAsia="zh-CN"/>
        </w:rPr>
        <w:sectPr>
          <w:headerReference r:id="rId4" w:type="default"/>
          <w:footerReference r:id="rId5" w:type="default"/>
          <w:pgSz w:w="11906" w:h="16838"/>
          <w:pgMar w:top="1531" w:right="1984" w:bottom="1531" w:left="2098" w:header="851" w:footer="992" w:gutter="0"/>
          <w:pgNumType w:fmt="decimal" w:start="1"/>
          <w:cols w:space="720" w:num="1"/>
          <w:docGrid w:type="lines" w:linePitch="312" w:charSpace="0"/>
        </w:sectPr>
      </w:pPr>
      <w:r>
        <w:rPr>
          <w:rFonts w:ascii="Times New Roman" w:eastAsia="仿宋_GB2312"/>
          <w:sz w:val="30"/>
          <w:szCs w:val="30"/>
        </w:rPr>
        <w:t>天津市南开区文化馆内设</w:t>
      </w:r>
      <w:r>
        <w:rPr>
          <w:rFonts w:hint="eastAsia" w:ascii="Times New Roman" w:eastAsia="仿宋_GB2312"/>
          <w:sz w:val="30"/>
          <w:szCs w:val="30"/>
        </w:rPr>
        <w:t>4</w:t>
      </w:r>
      <w:r>
        <w:rPr>
          <w:rFonts w:ascii="Times New Roman" w:eastAsia="仿宋_GB2312"/>
          <w:sz w:val="30"/>
          <w:szCs w:val="30"/>
        </w:rPr>
        <w:t>个职能部</w:t>
      </w:r>
      <w:r>
        <w:rPr>
          <w:rFonts w:hint="eastAsia" w:ascii="Times New Roman" w:eastAsia="仿宋_GB2312"/>
          <w:sz w:val="30"/>
          <w:szCs w:val="30"/>
        </w:rPr>
        <w:t>室</w:t>
      </w:r>
      <w:r>
        <w:rPr>
          <w:rFonts w:ascii="Times New Roman" w:eastAsia="仿宋_GB2312"/>
          <w:sz w:val="30"/>
          <w:szCs w:val="30"/>
        </w:rPr>
        <w:t>。纳入天津市南开区文化馆2024年度部门决算编制范围的单位包括：</w:t>
      </w:r>
      <w:r>
        <w:rPr>
          <w:rFonts w:hint="eastAsia" w:ascii="Times New Roman" w:eastAsia="仿宋_GB2312"/>
          <w:sz w:val="30"/>
          <w:szCs w:val="30"/>
        </w:rPr>
        <w:t>天津市南开区文化馆</w:t>
      </w:r>
      <w:r>
        <w:rPr>
          <w:rFonts w:hint="eastAsia" w:ascii="Times New Roman" w:eastAsia="仿宋_GB2312"/>
          <w:sz w:val="30"/>
          <w:szCs w:val="30"/>
          <w:lang w:eastAsia="zh-CN"/>
        </w:rPr>
        <w:t>。</w:t>
      </w:r>
    </w:p>
    <w:p>
      <w:pPr>
        <w:widowControl/>
        <w:jc w:val="center"/>
        <w:outlineLvl w:val="0"/>
        <w:rPr>
          <w:rFonts w:ascii="黑体" w:eastAsia="黑体"/>
          <w:sz w:val="44"/>
          <w:szCs w:val="44"/>
        </w:rPr>
      </w:pPr>
      <w:r>
        <w:rPr>
          <w:rFonts w:ascii="黑体" w:eastAsia="黑体"/>
          <w:sz w:val="44"/>
          <w:szCs w:val="44"/>
        </w:rPr>
        <w:t>第二部分  2024年度部门决算报表</w:t>
      </w:r>
    </w:p>
    <w:p>
      <w:pPr>
        <w:pStyle w:val="28"/>
        <w:widowControl/>
        <w:rPr>
          <w:rFonts w:ascii="仿宋" w:hAnsi="仿宋" w:eastAsia="仿宋" w:cs="仿宋"/>
          <w:b/>
          <w:bCs/>
        </w:rPr>
      </w:pPr>
      <w:r>
        <w:rPr>
          <w:rFonts w:hint="eastAsia" w:ascii="仿宋" w:hAnsi="仿宋" w:eastAsia="仿宋" w:cs="仿宋"/>
          <w:b/>
          <w:bCs/>
        </w:rPr>
        <w:t>一、收入支出决算总表</w:t>
      </w:r>
    </w:p>
    <w:tbl>
      <w:tblPr>
        <w:tblStyle w:val="11"/>
        <w:tblW w:w="13989" w:type="dxa"/>
        <w:tblInd w:w="0" w:type="dxa"/>
        <w:tblLayout w:type="fixed"/>
        <w:tblCellMar>
          <w:top w:w="0" w:type="dxa"/>
          <w:left w:w="108" w:type="dxa"/>
          <w:bottom w:w="0" w:type="dxa"/>
          <w:right w:w="108" w:type="dxa"/>
        </w:tblCellMar>
      </w:tblPr>
      <w:tblGrid>
        <w:gridCol w:w="4697"/>
        <w:gridCol w:w="2650"/>
        <w:gridCol w:w="3598"/>
        <w:gridCol w:w="3044"/>
      </w:tblGrid>
      <w:tr>
        <w:tblPrEx>
          <w:tblCellMar>
            <w:top w:w="0" w:type="dxa"/>
            <w:left w:w="108" w:type="dxa"/>
            <w:bottom w:w="0" w:type="dxa"/>
            <w:right w:w="108" w:type="dxa"/>
          </w:tblCellMar>
        </w:tblPrEx>
        <w:trPr>
          <w:trHeight w:val="320" w:hRule="atLeast"/>
        </w:trPr>
        <w:tc>
          <w:tcPr>
            <w:tcW w:w="10945" w:type="dxa"/>
            <w:gridSpan w:val="3"/>
            <w:tcBorders>
              <w:top w:val="nil"/>
              <w:left w:val="nil"/>
              <w:bottom w:val="nil"/>
              <w:right w:val="nil"/>
            </w:tcBorders>
            <w:shd w:val="clear" w:color="auto" w:fill="auto"/>
            <w:noWrap/>
            <w:vAlign w:val="bottom"/>
          </w:tcPr>
          <w:p>
            <w:pPr>
              <w:widowControl/>
              <w:jc w:val="lef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部门（单位）：天津市南开区文化馆 </w:t>
            </w:r>
          </w:p>
        </w:tc>
        <w:tc>
          <w:tcPr>
            <w:tcW w:w="3044" w:type="dxa"/>
            <w:tcBorders>
              <w:top w:val="nil"/>
              <w:left w:val="nil"/>
              <w:bottom w:val="nil"/>
              <w:right w:val="nil"/>
            </w:tcBorders>
            <w:shd w:val="clear" w:color="auto" w:fill="auto"/>
            <w:noWrap/>
            <w:vAlign w:val="bottom"/>
          </w:tcPr>
          <w:p>
            <w:pPr>
              <w:widowControl/>
              <w:jc w:val="right"/>
              <w:textAlignment w:val="bottom"/>
              <w:rPr>
                <w:rFonts w:asciiTheme="minorEastAsia" w:hAnsiTheme="minorEastAsia" w:cstheme="minorEastAsia"/>
                <w:color w:val="000000"/>
                <w:sz w:val="22"/>
                <w:szCs w:val="22"/>
              </w:rPr>
            </w:pPr>
            <w:r>
              <w:rPr>
                <w:rStyle w:val="27"/>
                <w:rFonts w:hint="default" w:asciiTheme="minorEastAsia" w:hAnsiTheme="minorEastAsia" w:eastAsiaTheme="minorEastAsia" w:cstheme="minorEastAsia"/>
                <w:sz w:val="22"/>
                <w:szCs w:val="22"/>
              </w:rPr>
              <w:t>单位：元</w:t>
            </w:r>
          </w:p>
        </w:tc>
      </w:tr>
      <w:tr>
        <w:tblPrEx>
          <w:tblCellMar>
            <w:top w:w="0" w:type="dxa"/>
            <w:left w:w="108" w:type="dxa"/>
            <w:bottom w:w="0" w:type="dxa"/>
            <w:right w:w="108" w:type="dxa"/>
          </w:tblCellMar>
        </w:tblPrEx>
        <w:trPr>
          <w:trHeight w:val="308" w:hRule="atLeast"/>
        </w:trPr>
        <w:tc>
          <w:tcPr>
            <w:tcW w:w="4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收入</w:t>
            </w:r>
          </w:p>
        </w:tc>
        <w:tc>
          <w:tcPr>
            <w:tcW w:w="2650"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3598" w:type="dxa"/>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支出</w:t>
            </w:r>
          </w:p>
        </w:tc>
        <w:tc>
          <w:tcPr>
            <w:tcW w:w="3044"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    目</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金额</w:t>
            </w:r>
          </w:p>
        </w:tc>
        <w:tc>
          <w:tcPr>
            <w:tcW w:w="359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    目</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金额</w:t>
            </w: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一、一般公共预算财政拨款收入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10,020,737.11</w:t>
            </w: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一、一般公共服务支出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二、政府性基金预算财政拨款收入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二、公共安全支出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三、国有资本经营预算财政拨款收入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三、教育支出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四、财政专户管理资金</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四、科学技术支出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五、事业收入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五、文化旅游体育与传媒支出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9,255,202.24</w:t>
            </w: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六、事业单位经营收入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六、社会保障和就业支出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540,371.04</w:t>
            </w: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七、上级补助收入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七、卫生健康支出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225,156.52</w:t>
            </w: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八、附属单位上缴收入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八、节能环保支出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九、其他收入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九、城乡社区支出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十、农林水支出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十一、交通运输支出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十二、资源勘探工业信息等支出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十三、商业服务业等支出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十四、金融支出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十五、援助其他地区支出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十六、自然资源海洋气象等支出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十七、住房保障支出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十八、粮油物资储备支出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十九、国有资本经营预算支出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二十、灾害防治及应急管理支出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二十一、其他支出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二十二、债务付息支出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二十三、抗疫特别国债安排的支出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本年收入合计</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10,020,737.11</w:t>
            </w:r>
          </w:p>
        </w:tc>
        <w:tc>
          <w:tcPr>
            <w:tcW w:w="359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本年支出合计</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10,020,729.80</w:t>
            </w: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十、使用非财政拨款结余</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二十四、结余分配</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十一、年初结转和结余</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二十五、年末结转和结余</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7.31</w:t>
            </w: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其中：财政拨款结转和结余</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3044"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其他结转和结余</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3044"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收入总计</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10,020,737.11</w:t>
            </w:r>
          </w:p>
        </w:tc>
        <w:tc>
          <w:tcPr>
            <w:tcW w:w="359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支出总计</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10,020,737.11</w:t>
            </w:r>
          </w:p>
        </w:tc>
      </w:tr>
      <w:tr>
        <w:tblPrEx>
          <w:tblCellMar>
            <w:top w:w="0" w:type="dxa"/>
            <w:left w:w="108" w:type="dxa"/>
            <w:bottom w:w="0" w:type="dxa"/>
            <w:right w:w="108" w:type="dxa"/>
          </w:tblCellMar>
        </w:tblPrEx>
        <w:trPr>
          <w:trHeight w:val="308" w:hRule="atLeast"/>
        </w:trPr>
        <w:tc>
          <w:tcPr>
            <w:tcW w:w="13989" w:type="dxa"/>
            <w:gridSpan w:val="4"/>
            <w:tcBorders>
              <w:top w:val="nil"/>
              <w:left w:val="nil"/>
              <w:bottom w:val="nil"/>
              <w:right w:val="nil"/>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注：本表反映本年度的总收支和年末结转结余情况。财政专户管理资金是指教育收费；事业收入不含教育收费。</w:t>
            </w:r>
          </w:p>
        </w:tc>
      </w:tr>
    </w:tbl>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rPr>
          <w:rFonts w:ascii="仿宋" w:hAnsi="仿宋" w:eastAsia="仿宋" w:cs="仿宋"/>
          <w:b/>
          <w:bCs/>
        </w:rPr>
      </w:pPr>
      <w:r>
        <w:rPr>
          <w:rFonts w:hint="eastAsia" w:ascii="仿宋" w:hAnsi="仿宋" w:eastAsia="仿宋" w:cs="仿宋"/>
          <w:b/>
          <w:bCs/>
        </w:rPr>
        <w:t>二、收入决算表(按功能分类列示)</w:t>
      </w:r>
    </w:p>
    <w:tbl>
      <w:tblPr>
        <w:tblStyle w:val="11"/>
        <w:tblW w:w="13989" w:type="dxa"/>
        <w:tblInd w:w="0" w:type="dxa"/>
        <w:tblLayout w:type="fixed"/>
        <w:tblCellMar>
          <w:top w:w="0" w:type="dxa"/>
          <w:left w:w="108" w:type="dxa"/>
          <w:bottom w:w="0" w:type="dxa"/>
          <w:right w:w="108" w:type="dxa"/>
        </w:tblCellMar>
      </w:tblPr>
      <w:tblGrid>
        <w:gridCol w:w="1026"/>
        <w:gridCol w:w="2887"/>
        <w:gridCol w:w="1385"/>
        <w:gridCol w:w="1248"/>
        <w:gridCol w:w="1298"/>
        <w:gridCol w:w="1237"/>
        <w:gridCol w:w="1175"/>
        <w:gridCol w:w="1245"/>
        <w:gridCol w:w="1223"/>
        <w:gridCol w:w="1265"/>
      </w:tblGrid>
      <w:tr>
        <w:tblPrEx>
          <w:tblCellMar>
            <w:top w:w="0" w:type="dxa"/>
            <w:left w:w="108" w:type="dxa"/>
            <w:bottom w:w="0" w:type="dxa"/>
            <w:right w:w="108" w:type="dxa"/>
          </w:tblCellMar>
        </w:tblPrEx>
        <w:trPr>
          <w:trHeight w:val="320" w:hRule="atLeast"/>
        </w:trPr>
        <w:tc>
          <w:tcPr>
            <w:tcW w:w="12724" w:type="dxa"/>
            <w:gridSpan w:val="9"/>
            <w:tcBorders>
              <w:top w:val="nil"/>
              <w:left w:val="nil"/>
              <w:bottom w:val="nil"/>
              <w:right w:val="nil"/>
            </w:tcBorders>
            <w:shd w:val="clear" w:color="auto" w:fill="auto"/>
            <w:noWrap/>
            <w:vAlign w:val="bottom"/>
          </w:tcPr>
          <w:p>
            <w:pPr>
              <w:widowControl/>
              <w:jc w:val="lef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部门（单位）：天津市南开区文化馆 </w:t>
            </w:r>
          </w:p>
        </w:tc>
        <w:tc>
          <w:tcPr>
            <w:tcW w:w="1265" w:type="dxa"/>
            <w:tcBorders>
              <w:top w:val="nil"/>
              <w:left w:val="nil"/>
              <w:bottom w:val="nil"/>
              <w:right w:val="nil"/>
            </w:tcBorders>
            <w:shd w:val="clear" w:color="auto" w:fill="auto"/>
            <w:noWrap/>
            <w:vAlign w:val="bottom"/>
          </w:tcPr>
          <w:p>
            <w:pPr>
              <w:widowControl/>
              <w:jc w:val="lef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单位：元</w:t>
            </w:r>
          </w:p>
        </w:tc>
      </w:tr>
      <w:tr>
        <w:tblPrEx>
          <w:tblCellMar>
            <w:top w:w="0" w:type="dxa"/>
            <w:left w:w="108" w:type="dxa"/>
            <w:bottom w:w="0" w:type="dxa"/>
            <w:right w:w="108" w:type="dxa"/>
          </w:tblCellMar>
        </w:tblPrEx>
        <w:trPr>
          <w:trHeight w:val="308" w:hRule="atLeast"/>
        </w:trPr>
        <w:tc>
          <w:tcPr>
            <w:tcW w:w="39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项      目</w:t>
            </w:r>
          </w:p>
        </w:tc>
        <w:tc>
          <w:tcPr>
            <w:tcW w:w="1385"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本年收入合计</w:t>
            </w:r>
          </w:p>
        </w:tc>
        <w:tc>
          <w:tcPr>
            <w:tcW w:w="1248"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财政拨款收入</w:t>
            </w:r>
          </w:p>
        </w:tc>
        <w:tc>
          <w:tcPr>
            <w:tcW w:w="1298"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上级补助收入</w:t>
            </w:r>
          </w:p>
        </w:tc>
        <w:tc>
          <w:tcPr>
            <w:tcW w:w="2412" w:type="dxa"/>
            <w:gridSpan w:val="2"/>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事业收入</w:t>
            </w:r>
          </w:p>
        </w:tc>
        <w:tc>
          <w:tcPr>
            <w:tcW w:w="1245"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经营收入</w:t>
            </w:r>
          </w:p>
        </w:tc>
        <w:tc>
          <w:tcPr>
            <w:tcW w:w="1223"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附属单位上缴收入</w:t>
            </w:r>
          </w:p>
        </w:tc>
        <w:tc>
          <w:tcPr>
            <w:tcW w:w="1265"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其他收入</w:t>
            </w:r>
          </w:p>
        </w:tc>
      </w:tr>
      <w:tr>
        <w:tblPrEx>
          <w:tblCellMar>
            <w:top w:w="0" w:type="dxa"/>
            <w:left w:w="108" w:type="dxa"/>
            <w:bottom w:w="0" w:type="dxa"/>
            <w:right w:w="108" w:type="dxa"/>
          </w:tblCellMar>
        </w:tblPrEx>
        <w:trPr>
          <w:trHeight w:val="308" w:hRule="atLeast"/>
        </w:trPr>
        <w:tc>
          <w:tcPr>
            <w:tcW w:w="1026"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科目编码</w:t>
            </w:r>
          </w:p>
        </w:tc>
        <w:tc>
          <w:tcPr>
            <w:tcW w:w="288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科目名称</w:t>
            </w:r>
          </w:p>
        </w:tc>
        <w:tc>
          <w:tcPr>
            <w:tcW w:w="1385"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15"/>
                <w:szCs w:val="15"/>
              </w:rPr>
            </w:pPr>
          </w:p>
        </w:tc>
        <w:tc>
          <w:tcPr>
            <w:tcW w:w="124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15"/>
                <w:szCs w:val="15"/>
              </w:rPr>
            </w:pPr>
          </w:p>
        </w:tc>
        <w:tc>
          <w:tcPr>
            <w:tcW w:w="129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15"/>
                <w:szCs w:val="15"/>
              </w:rPr>
            </w:pPr>
          </w:p>
        </w:tc>
        <w:tc>
          <w:tcPr>
            <w:tcW w:w="123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小计</w:t>
            </w:r>
          </w:p>
        </w:tc>
        <w:tc>
          <w:tcPr>
            <w:tcW w:w="117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其中：教育收费</w:t>
            </w:r>
          </w:p>
        </w:tc>
        <w:tc>
          <w:tcPr>
            <w:tcW w:w="1245"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15"/>
                <w:szCs w:val="15"/>
              </w:rPr>
            </w:pPr>
          </w:p>
        </w:tc>
        <w:tc>
          <w:tcPr>
            <w:tcW w:w="1223"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15"/>
                <w:szCs w:val="15"/>
              </w:rPr>
            </w:pPr>
          </w:p>
        </w:tc>
        <w:tc>
          <w:tcPr>
            <w:tcW w:w="1265"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880" w:hRule="atLeast"/>
        </w:trPr>
        <w:tc>
          <w:tcPr>
            <w:tcW w:w="3913" w:type="dxa"/>
            <w:gridSpan w:val="2"/>
            <w:tcBorders>
              <w:top w:val="nil"/>
              <w:left w:val="single" w:color="000000" w:sz="4" w:space="0"/>
              <w:bottom w:val="nil"/>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合计</w:t>
            </w:r>
          </w:p>
        </w:tc>
        <w:tc>
          <w:tcPr>
            <w:tcW w:w="1385" w:type="dxa"/>
            <w:tcBorders>
              <w:top w:val="nil"/>
              <w:left w:val="nil"/>
              <w:bottom w:val="nil"/>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10,020,737.11</w:t>
            </w:r>
          </w:p>
        </w:tc>
        <w:tc>
          <w:tcPr>
            <w:tcW w:w="1248" w:type="dxa"/>
            <w:tcBorders>
              <w:top w:val="nil"/>
              <w:left w:val="nil"/>
              <w:bottom w:val="nil"/>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10,020,737.11</w:t>
            </w:r>
          </w:p>
        </w:tc>
        <w:tc>
          <w:tcPr>
            <w:tcW w:w="1298" w:type="dxa"/>
            <w:tcBorders>
              <w:top w:val="nil"/>
              <w:left w:val="nil"/>
              <w:bottom w:val="nil"/>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37" w:type="dxa"/>
            <w:tcBorders>
              <w:top w:val="nil"/>
              <w:left w:val="nil"/>
              <w:bottom w:val="nil"/>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175" w:type="dxa"/>
            <w:tcBorders>
              <w:top w:val="nil"/>
              <w:left w:val="nil"/>
              <w:bottom w:val="nil"/>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45" w:type="dxa"/>
            <w:tcBorders>
              <w:top w:val="nil"/>
              <w:left w:val="nil"/>
              <w:bottom w:val="nil"/>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23" w:type="dxa"/>
            <w:tcBorders>
              <w:top w:val="nil"/>
              <w:left w:val="nil"/>
              <w:bottom w:val="nil"/>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65" w:type="dxa"/>
            <w:tcBorders>
              <w:top w:val="nil"/>
              <w:left w:val="nil"/>
              <w:bottom w:val="nil"/>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207</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文化旅游体育与传媒支出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9,255,209.55</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9,255,209.55</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20701</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文化和旅游</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7,858,722.39</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7,858,722.39</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2070109</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群众文化</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7,858,722.39</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7,858,722.39</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20702</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文物</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1,396,487.16</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1,396,487.16</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2070204</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文物保护</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1,396,487.16</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1,396,487.16</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208</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社会保障和就业支出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540,371.04</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540,371.04</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20805</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行政事业单位养老支出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540,371.04</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540,371.04</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2080505</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机关事业单位基本养老保险缴费支出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360,247.36</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360,247.36</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2080506</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机关事业单位职业年金缴费支出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180,123.68</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180,123.68</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210</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卫生健康支出</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225,156.52</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225,156.52</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21011</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行政事业单位医疗</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225,156.52</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225,156.52</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2101102</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事业单位医疗</w:t>
            </w: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225,156.52</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225,156.52</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308" w:hRule="atLeast"/>
        </w:trPr>
        <w:tc>
          <w:tcPr>
            <w:tcW w:w="13989" w:type="dxa"/>
            <w:gridSpan w:val="10"/>
            <w:tcBorders>
              <w:top w:val="nil"/>
              <w:left w:val="nil"/>
              <w:bottom w:val="nil"/>
              <w:right w:val="nil"/>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注：本表反映本年度取得的各项收入情况。</w:t>
            </w:r>
          </w:p>
        </w:tc>
      </w:tr>
    </w:tbl>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rPr>
          <w:rFonts w:ascii="仿宋" w:hAnsi="仿宋" w:eastAsia="仿宋" w:cs="仿宋"/>
          <w:b/>
          <w:bCs/>
        </w:rPr>
      </w:pPr>
      <w:r>
        <w:rPr>
          <w:rFonts w:hint="eastAsia" w:ascii="仿宋" w:hAnsi="仿宋" w:eastAsia="仿宋" w:cs="仿宋"/>
          <w:b/>
          <w:bCs/>
        </w:rPr>
        <w:t>三、收入决算表(按单位列示)</w:t>
      </w:r>
    </w:p>
    <w:tbl>
      <w:tblPr>
        <w:tblStyle w:val="11"/>
        <w:tblW w:w="13992" w:type="dxa"/>
        <w:tblInd w:w="0" w:type="dxa"/>
        <w:tblLayout w:type="fixed"/>
        <w:tblCellMar>
          <w:top w:w="0" w:type="dxa"/>
          <w:left w:w="108" w:type="dxa"/>
          <w:bottom w:w="0" w:type="dxa"/>
          <w:right w:w="108" w:type="dxa"/>
        </w:tblCellMar>
      </w:tblPr>
      <w:tblGrid>
        <w:gridCol w:w="526"/>
        <w:gridCol w:w="1049"/>
        <w:gridCol w:w="548"/>
        <w:gridCol w:w="613"/>
        <w:gridCol w:w="649"/>
        <w:gridCol w:w="610"/>
        <w:gridCol w:w="660"/>
        <w:gridCol w:w="711"/>
        <w:gridCol w:w="658"/>
        <w:gridCol w:w="686"/>
        <w:gridCol w:w="649"/>
        <w:gridCol w:w="660"/>
        <w:gridCol w:w="353"/>
        <w:gridCol w:w="263"/>
        <w:gridCol w:w="624"/>
        <w:gridCol w:w="700"/>
        <w:gridCol w:w="711"/>
        <w:gridCol w:w="686"/>
        <w:gridCol w:w="714"/>
        <w:gridCol w:w="635"/>
        <w:gridCol w:w="635"/>
        <w:gridCol w:w="652"/>
      </w:tblGrid>
      <w:tr>
        <w:tblPrEx>
          <w:tblCellMar>
            <w:top w:w="0" w:type="dxa"/>
            <w:left w:w="108" w:type="dxa"/>
            <w:bottom w:w="0" w:type="dxa"/>
            <w:right w:w="108" w:type="dxa"/>
          </w:tblCellMar>
        </w:tblPrEx>
        <w:trPr>
          <w:trHeight w:val="320" w:hRule="atLeast"/>
        </w:trPr>
        <w:tc>
          <w:tcPr>
            <w:tcW w:w="6024" w:type="dxa"/>
            <w:gridSpan w:val="9"/>
            <w:tcBorders>
              <w:top w:val="nil"/>
              <w:left w:val="nil"/>
              <w:bottom w:val="nil"/>
              <w:right w:val="nil"/>
            </w:tcBorders>
            <w:shd w:val="clear" w:color="auto" w:fill="auto"/>
            <w:noWrap/>
            <w:vAlign w:val="bottom"/>
          </w:tcPr>
          <w:p>
            <w:pPr>
              <w:widowControl/>
              <w:jc w:val="left"/>
              <w:textAlignment w:val="bottom"/>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 xml:space="preserve">部门（单位）：天津市南开区文化馆 </w:t>
            </w:r>
          </w:p>
        </w:tc>
        <w:tc>
          <w:tcPr>
            <w:tcW w:w="686"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649"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660"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353"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887" w:type="dxa"/>
            <w:gridSpan w:val="2"/>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700"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711"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686"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714"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635"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1287" w:type="dxa"/>
            <w:gridSpan w:val="2"/>
            <w:tcBorders>
              <w:top w:val="nil"/>
              <w:left w:val="nil"/>
              <w:bottom w:val="nil"/>
              <w:right w:val="nil"/>
            </w:tcBorders>
            <w:shd w:val="clear" w:color="auto" w:fill="auto"/>
            <w:noWrap/>
            <w:vAlign w:val="bottom"/>
          </w:tcPr>
          <w:p>
            <w:pPr>
              <w:widowControl/>
              <w:jc w:val="left"/>
              <w:textAlignment w:val="bottom"/>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单位：元</w:t>
            </w:r>
          </w:p>
        </w:tc>
      </w:tr>
      <w:tr>
        <w:tblPrEx>
          <w:tblCellMar>
            <w:top w:w="0" w:type="dxa"/>
            <w:left w:w="108" w:type="dxa"/>
            <w:bottom w:w="0" w:type="dxa"/>
            <w:right w:w="108" w:type="dxa"/>
          </w:tblCellMar>
        </w:tblPrEx>
        <w:trPr>
          <w:trHeight w:val="308" w:hRule="atLeast"/>
        </w:trPr>
        <w:tc>
          <w:tcPr>
            <w:tcW w:w="5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部门（单位）代码</w:t>
            </w:r>
          </w:p>
        </w:tc>
        <w:tc>
          <w:tcPr>
            <w:tcW w:w="1049"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部门（单位）名称</w:t>
            </w:r>
          </w:p>
        </w:tc>
        <w:tc>
          <w:tcPr>
            <w:tcW w:w="548"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合计</w:t>
            </w:r>
          </w:p>
        </w:tc>
        <w:tc>
          <w:tcPr>
            <w:tcW w:w="6512"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本年收入</w:t>
            </w:r>
          </w:p>
        </w:tc>
        <w:tc>
          <w:tcPr>
            <w:tcW w:w="5357"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上年结转和结余</w:t>
            </w:r>
          </w:p>
        </w:tc>
      </w:tr>
      <w:tr>
        <w:tblPrEx>
          <w:tblCellMar>
            <w:top w:w="0" w:type="dxa"/>
            <w:left w:w="108" w:type="dxa"/>
            <w:bottom w:w="0" w:type="dxa"/>
            <w:right w:w="108" w:type="dxa"/>
          </w:tblCellMar>
        </w:tblPrEx>
        <w:trPr>
          <w:trHeight w:val="308" w:hRule="atLeast"/>
        </w:trPr>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1049"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548"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13"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小计</w:t>
            </w:r>
          </w:p>
        </w:tc>
        <w:tc>
          <w:tcPr>
            <w:tcW w:w="649"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一般公共预算</w:t>
            </w:r>
          </w:p>
        </w:tc>
        <w:tc>
          <w:tcPr>
            <w:tcW w:w="610"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政府性基金预算</w:t>
            </w:r>
          </w:p>
        </w:tc>
        <w:tc>
          <w:tcPr>
            <w:tcW w:w="660"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国有资本经营预算</w:t>
            </w:r>
          </w:p>
        </w:tc>
        <w:tc>
          <w:tcPr>
            <w:tcW w:w="711"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财政专户管理资金</w:t>
            </w:r>
          </w:p>
        </w:tc>
        <w:tc>
          <w:tcPr>
            <w:tcW w:w="658"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事业收入</w:t>
            </w:r>
          </w:p>
        </w:tc>
        <w:tc>
          <w:tcPr>
            <w:tcW w:w="686"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事业单位经营收入</w:t>
            </w:r>
          </w:p>
        </w:tc>
        <w:tc>
          <w:tcPr>
            <w:tcW w:w="649"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上级补助收入</w:t>
            </w:r>
          </w:p>
        </w:tc>
        <w:tc>
          <w:tcPr>
            <w:tcW w:w="660"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附属单位上缴收入</w:t>
            </w:r>
          </w:p>
        </w:tc>
        <w:tc>
          <w:tcPr>
            <w:tcW w:w="616" w:type="dxa"/>
            <w:gridSpan w:val="2"/>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其他收入</w:t>
            </w:r>
          </w:p>
        </w:tc>
        <w:tc>
          <w:tcPr>
            <w:tcW w:w="624"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小计</w:t>
            </w:r>
          </w:p>
        </w:tc>
        <w:tc>
          <w:tcPr>
            <w:tcW w:w="2811" w:type="dxa"/>
            <w:gridSpan w:val="4"/>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财政拨款结转结余</w:t>
            </w:r>
          </w:p>
        </w:tc>
        <w:tc>
          <w:tcPr>
            <w:tcW w:w="1922" w:type="dxa"/>
            <w:gridSpan w:val="3"/>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非财政拨款结转结余</w:t>
            </w:r>
          </w:p>
        </w:tc>
      </w:tr>
      <w:tr>
        <w:tblPrEx>
          <w:tblCellMar>
            <w:top w:w="0" w:type="dxa"/>
            <w:left w:w="108" w:type="dxa"/>
            <w:bottom w:w="0" w:type="dxa"/>
            <w:right w:w="108" w:type="dxa"/>
          </w:tblCellMar>
        </w:tblPrEx>
        <w:trPr>
          <w:trHeight w:val="780" w:hRule="atLeast"/>
        </w:trPr>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1049"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548"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13"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49"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10"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60"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711"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58"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86"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49"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60"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16" w:type="dxa"/>
            <w:gridSpan w:val="2"/>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24"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7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小计</w:t>
            </w:r>
          </w:p>
        </w:tc>
        <w:tc>
          <w:tcPr>
            <w:tcW w:w="711"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一般公共预算</w:t>
            </w:r>
          </w:p>
        </w:tc>
        <w:tc>
          <w:tcPr>
            <w:tcW w:w="686"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政府性基金预算</w:t>
            </w:r>
          </w:p>
        </w:tc>
        <w:tc>
          <w:tcPr>
            <w:tcW w:w="71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国有资本经营预算</w:t>
            </w:r>
          </w:p>
        </w:tc>
        <w:tc>
          <w:tcPr>
            <w:tcW w:w="6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小计</w:t>
            </w:r>
          </w:p>
        </w:tc>
        <w:tc>
          <w:tcPr>
            <w:tcW w:w="6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财政专户管理资金</w:t>
            </w:r>
          </w:p>
        </w:tc>
        <w:tc>
          <w:tcPr>
            <w:tcW w:w="65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单位资金</w:t>
            </w:r>
          </w:p>
        </w:tc>
      </w:tr>
      <w:tr>
        <w:tblPrEx>
          <w:tblCellMar>
            <w:top w:w="0" w:type="dxa"/>
            <w:left w:w="108" w:type="dxa"/>
            <w:bottom w:w="0" w:type="dxa"/>
            <w:right w:w="108" w:type="dxa"/>
          </w:tblCellMar>
        </w:tblPrEx>
        <w:trPr>
          <w:trHeight w:val="936" w:hRule="atLeast"/>
        </w:trPr>
        <w:tc>
          <w:tcPr>
            <w:tcW w:w="1575" w:type="dxa"/>
            <w:gridSpan w:val="2"/>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合计</w:t>
            </w:r>
          </w:p>
        </w:tc>
        <w:tc>
          <w:tcPr>
            <w:tcW w:w="54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10,020,737.11</w:t>
            </w:r>
          </w:p>
        </w:tc>
        <w:tc>
          <w:tcPr>
            <w:tcW w:w="61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10,020,737.11</w:t>
            </w:r>
          </w:p>
        </w:tc>
        <w:tc>
          <w:tcPr>
            <w:tcW w:w="64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10,020,737.11</w:t>
            </w:r>
          </w:p>
        </w:tc>
        <w:tc>
          <w:tcPr>
            <w:tcW w:w="61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11"/>
                <w:szCs w:val="11"/>
              </w:rPr>
            </w:pPr>
          </w:p>
        </w:tc>
        <w:tc>
          <w:tcPr>
            <w:tcW w:w="6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11"/>
                <w:szCs w:val="11"/>
              </w:rPr>
            </w:pPr>
          </w:p>
        </w:tc>
        <w:tc>
          <w:tcPr>
            <w:tcW w:w="71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11"/>
                <w:szCs w:val="11"/>
              </w:rPr>
            </w:pPr>
          </w:p>
        </w:tc>
        <w:tc>
          <w:tcPr>
            <w:tcW w:w="658"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11"/>
                <w:szCs w:val="11"/>
              </w:rPr>
            </w:pPr>
          </w:p>
        </w:tc>
        <w:tc>
          <w:tcPr>
            <w:tcW w:w="68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11"/>
                <w:szCs w:val="11"/>
              </w:rPr>
            </w:pPr>
          </w:p>
        </w:tc>
        <w:tc>
          <w:tcPr>
            <w:tcW w:w="64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11"/>
                <w:szCs w:val="11"/>
              </w:rPr>
            </w:pPr>
          </w:p>
        </w:tc>
        <w:tc>
          <w:tcPr>
            <w:tcW w:w="6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11"/>
                <w:szCs w:val="11"/>
              </w:rPr>
            </w:pPr>
          </w:p>
        </w:tc>
        <w:tc>
          <w:tcPr>
            <w:tcW w:w="616" w:type="dxa"/>
            <w:gridSpan w:val="2"/>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11"/>
                <w:szCs w:val="11"/>
              </w:rPr>
            </w:pPr>
          </w:p>
        </w:tc>
        <w:tc>
          <w:tcPr>
            <w:tcW w:w="62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11"/>
                <w:szCs w:val="11"/>
              </w:rPr>
            </w:pPr>
          </w:p>
        </w:tc>
        <w:tc>
          <w:tcPr>
            <w:tcW w:w="70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11"/>
                <w:szCs w:val="11"/>
              </w:rPr>
            </w:pPr>
          </w:p>
        </w:tc>
        <w:tc>
          <w:tcPr>
            <w:tcW w:w="71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11"/>
                <w:szCs w:val="11"/>
              </w:rPr>
            </w:pPr>
          </w:p>
        </w:tc>
        <w:tc>
          <w:tcPr>
            <w:tcW w:w="68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11"/>
                <w:szCs w:val="11"/>
              </w:rPr>
            </w:pPr>
          </w:p>
        </w:tc>
        <w:tc>
          <w:tcPr>
            <w:tcW w:w="71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11"/>
                <w:szCs w:val="11"/>
              </w:rPr>
            </w:pPr>
          </w:p>
        </w:tc>
        <w:tc>
          <w:tcPr>
            <w:tcW w:w="6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11"/>
                <w:szCs w:val="11"/>
              </w:rPr>
            </w:pPr>
          </w:p>
        </w:tc>
        <w:tc>
          <w:tcPr>
            <w:tcW w:w="6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11"/>
                <w:szCs w:val="11"/>
              </w:rPr>
            </w:pPr>
          </w:p>
        </w:tc>
        <w:tc>
          <w:tcPr>
            <w:tcW w:w="652"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11"/>
                <w:szCs w:val="11"/>
              </w:rPr>
            </w:pPr>
          </w:p>
        </w:tc>
      </w:tr>
      <w:tr>
        <w:tblPrEx>
          <w:tblCellMar>
            <w:top w:w="0" w:type="dxa"/>
            <w:left w:w="108" w:type="dxa"/>
            <w:bottom w:w="0" w:type="dxa"/>
            <w:right w:w="108" w:type="dxa"/>
          </w:tblCellMar>
        </w:tblPrEx>
        <w:trPr>
          <w:trHeight w:val="860" w:hRule="atLeast"/>
        </w:trPr>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363201</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天津市南开区文化馆</w:t>
            </w:r>
          </w:p>
        </w:tc>
        <w:tc>
          <w:tcPr>
            <w:tcW w:w="5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10,020,737.11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10,020,737.11</w:t>
            </w:r>
          </w:p>
        </w:tc>
        <w:tc>
          <w:tcPr>
            <w:tcW w:w="6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10,020,737.11</w:t>
            </w: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1"/>
                <w:szCs w:val="1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1"/>
                <w:szCs w:val="11"/>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1"/>
                <w:szCs w:val="11"/>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1"/>
                <w:szCs w:val="11"/>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1"/>
                <w:szCs w:val="11"/>
              </w:rPr>
            </w:pPr>
          </w:p>
        </w:tc>
        <w:tc>
          <w:tcPr>
            <w:tcW w:w="64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1"/>
                <w:szCs w:val="11"/>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1"/>
                <w:szCs w:val="11"/>
              </w:rPr>
            </w:pPr>
          </w:p>
        </w:tc>
        <w:tc>
          <w:tcPr>
            <w:tcW w:w="6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1"/>
                <w:szCs w:val="11"/>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1"/>
                <w:szCs w:val="11"/>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1"/>
                <w:szCs w:val="11"/>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1"/>
                <w:szCs w:val="11"/>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1"/>
                <w:szCs w:val="11"/>
              </w:rPr>
            </w:pP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1"/>
                <w:szCs w:val="11"/>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1"/>
                <w:szCs w:val="11"/>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1"/>
                <w:szCs w:val="11"/>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11"/>
                <w:szCs w:val="11"/>
              </w:rPr>
            </w:pPr>
          </w:p>
        </w:tc>
      </w:tr>
      <w:tr>
        <w:tblPrEx>
          <w:tblCellMar>
            <w:top w:w="0" w:type="dxa"/>
            <w:left w:w="108" w:type="dxa"/>
            <w:bottom w:w="0" w:type="dxa"/>
            <w:right w:w="108" w:type="dxa"/>
          </w:tblCellMar>
        </w:tblPrEx>
        <w:trPr>
          <w:trHeight w:val="308" w:hRule="atLeast"/>
        </w:trPr>
        <w:tc>
          <w:tcPr>
            <w:tcW w:w="13992" w:type="dxa"/>
            <w:gridSpan w:val="22"/>
            <w:tcBorders>
              <w:top w:val="nil"/>
              <w:left w:val="nil"/>
              <w:bottom w:val="nil"/>
              <w:right w:val="nil"/>
            </w:tcBorders>
            <w:shd w:val="clear" w:color="auto" w:fill="auto"/>
            <w:noWrap/>
            <w:vAlign w:val="center"/>
          </w:tcPr>
          <w:p>
            <w:pPr>
              <w:widowControl/>
              <w:jc w:val="left"/>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注：本表反映本年度取得的各项收入情况。财政专户管理资金是指教育收费；事业收入不含教育收费。</w:t>
            </w:r>
          </w:p>
        </w:tc>
      </w:tr>
    </w:tbl>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rPr>
          <w:rFonts w:ascii="仿宋" w:hAnsi="仿宋" w:eastAsia="仿宋" w:cs="仿宋"/>
          <w:b/>
          <w:bCs/>
        </w:rPr>
      </w:pPr>
      <w:r>
        <w:rPr>
          <w:rFonts w:hint="eastAsia" w:ascii="仿宋" w:hAnsi="仿宋" w:eastAsia="仿宋" w:cs="仿宋"/>
          <w:b/>
          <w:bCs/>
        </w:rPr>
        <w:t xml:space="preserve">四、支出决算表 </w:t>
      </w:r>
    </w:p>
    <w:tbl>
      <w:tblPr>
        <w:tblStyle w:val="11"/>
        <w:tblW w:w="13989" w:type="dxa"/>
        <w:tblInd w:w="0" w:type="dxa"/>
        <w:tblLayout w:type="fixed"/>
        <w:tblCellMar>
          <w:top w:w="0" w:type="dxa"/>
          <w:left w:w="108" w:type="dxa"/>
          <w:bottom w:w="0" w:type="dxa"/>
          <w:right w:w="108" w:type="dxa"/>
        </w:tblCellMar>
      </w:tblPr>
      <w:tblGrid>
        <w:gridCol w:w="1323"/>
        <w:gridCol w:w="2188"/>
        <w:gridCol w:w="1844"/>
        <w:gridCol w:w="1799"/>
        <w:gridCol w:w="1799"/>
        <w:gridCol w:w="1813"/>
        <w:gridCol w:w="1634"/>
        <w:gridCol w:w="1589"/>
      </w:tblGrid>
      <w:tr>
        <w:tblPrEx>
          <w:tblCellMar>
            <w:top w:w="0" w:type="dxa"/>
            <w:left w:w="108" w:type="dxa"/>
            <w:bottom w:w="0" w:type="dxa"/>
            <w:right w:w="108" w:type="dxa"/>
          </w:tblCellMar>
        </w:tblPrEx>
        <w:trPr>
          <w:trHeight w:val="320" w:hRule="atLeast"/>
        </w:trPr>
        <w:tc>
          <w:tcPr>
            <w:tcW w:w="12400" w:type="dxa"/>
            <w:gridSpan w:val="7"/>
            <w:tcBorders>
              <w:top w:val="nil"/>
              <w:left w:val="nil"/>
              <w:bottom w:val="nil"/>
              <w:right w:val="nil"/>
            </w:tcBorders>
            <w:shd w:val="clear" w:color="auto" w:fill="auto"/>
            <w:noWrap/>
            <w:vAlign w:val="bottom"/>
          </w:tcPr>
          <w:p>
            <w:pPr>
              <w:widowControl/>
              <w:jc w:val="lef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部门（单位）：天津市南开区文化馆 </w:t>
            </w:r>
          </w:p>
        </w:tc>
        <w:tc>
          <w:tcPr>
            <w:tcW w:w="1589" w:type="dxa"/>
            <w:tcBorders>
              <w:top w:val="nil"/>
              <w:left w:val="nil"/>
              <w:bottom w:val="nil"/>
              <w:right w:val="nil"/>
            </w:tcBorders>
            <w:shd w:val="clear" w:color="auto" w:fill="auto"/>
            <w:noWrap/>
            <w:vAlign w:val="bottom"/>
          </w:tcPr>
          <w:p>
            <w:pPr>
              <w:widowControl/>
              <w:jc w:val="righ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单位：元</w:t>
            </w:r>
          </w:p>
        </w:tc>
      </w:tr>
      <w:tr>
        <w:tblPrEx>
          <w:tblCellMar>
            <w:top w:w="0" w:type="dxa"/>
            <w:left w:w="108" w:type="dxa"/>
            <w:bottom w:w="0" w:type="dxa"/>
            <w:right w:w="108" w:type="dxa"/>
          </w:tblCellMar>
        </w:tblPrEx>
        <w:trPr>
          <w:trHeight w:val="308" w:hRule="atLeast"/>
        </w:trPr>
        <w:tc>
          <w:tcPr>
            <w:tcW w:w="35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支出功能分类科目</w:t>
            </w:r>
          </w:p>
        </w:tc>
        <w:tc>
          <w:tcPr>
            <w:tcW w:w="1844"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本年支出合计</w:t>
            </w:r>
          </w:p>
        </w:tc>
        <w:tc>
          <w:tcPr>
            <w:tcW w:w="1799"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基本支出</w:t>
            </w:r>
          </w:p>
        </w:tc>
        <w:tc>
          <w:tcPr>
            <w:tcW w:w="1799"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项目支出</w:t>
            </w:r>
          </w:p>
        </w:tc>
        <w:tc>
          <w:tcPr>
            <w:tcW w:w="1813"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上缴上级支出</w:t>
            </w:r>
          </w:p>
        </w:tc>
        <w:tc>
          <w:tcPr>
            <w:tcW w:w="1634"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经营支出</w:t>
            </w:r>
          </w:p>
        </w:tc>
        <w:tc>
          <w:tcPr>
            <w:tcW w:w="1589"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对附属单位补助支出</w:t>
            </w:r>
          </w:p>
        </w:tc>
      </w:tr>
      <w:tr>
        <w:tblPrEx>
          <w:tblCellMar>
            <w:top w:w="0" w:type="dxa"/>
            <w:left w:w="108" w:type="dxa"/>
            <w:bottom w:w="0" w:type="dxa"/>
            <w:right w:w="108" w:type="dxa"/>
          </w:tblCellMar>
        </w:tblPrEx>
        <w:trPr>
          <w:trHeight w:val="308" w:hRule="atLeast"/>
        </w:trPr>
        <w:tc>
          <w:tcPr>
            <w:tcW w:w="1323" w:type="dxa"/>
            <w:tcBorders>
              <w:top w:val="nil"/>
              <w:left w:val="single" w:color="000000" w:sz="4" w:space="0"/>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2188"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w:t>
            </w:r>
          </w:p>
        </w:tc>
        <w:tc>
          <w:tcPr>
            <w:tcW w:w="1844"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1799"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1799"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1813"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1634"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1589"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700" w:hRule="atLeast"/>
        </w:trPr>
        <w:tc>
          <w:tcPr>
            <w:tcW w:w="35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10,020,729.80</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6,429,244.30</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3,591,485.50</w:t>
            </w: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文化旅游体育与传媒支出</w:t>
            </w:r>
          </w:p>
        </w:tc>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9,255,202.24</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5,663,716.74</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3,591,485.50</w:t>
            </w: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文化和旅游</w:t>
            </w:r>
          </w:p>
        </w:tc>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7,858,715.08</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5,663,716.74</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2,194,998.34</w:t>
            </w: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2070109</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群众文化</w:t>
            </w:r>
          </w:p>
        </w:tc>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7,858,715.08</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5,663,716.74</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2,194,998.34</w:t>
            </w: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20702</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文物</w:t>
            </w:r>
          </w:p>
        </w:tc>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1,396,487.16</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1,396,487.16</w:t>
            </w: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2070204</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文物保护</w:t>
            </w:r>
          </w:p>
        </w:tc>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1,396,487.16</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1,396,487.16</w:t>
            </w: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社会保障和就业支出</w:t>
            </w:r>
          </w:p>
        </w:tc>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540,371.04</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540,371.04</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20805</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行政事业单位养老支出</w:t>
            </w:r>
          </w:p>
        </w:tc>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540,371.04</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540,371.04</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2080505</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机关事业单位基本养老保险缴费支出</w:t>
            </w:r>
          </w:p>
        </w:tc>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360,247.36</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360,247.36</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2080506</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机关事业单位职业年金缴费支出</w:t>
            </w:r>
          </w:p>
        </w:tc>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180,123.68</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180,123.68</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210</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卫生健康支出</w:t>
            </w:r>
          </w:p>
        </w:tc>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225,156.52</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225,156.52</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21011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行政事业单位医疗</w:t>
            </w:r>
          </w:p>
        </w:tc>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225,156.52</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225,156.52</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2101102</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事业单位医疗</w:t>
            </w:r>
          </w:p>
        </w:tc>
        <w:tc>
          <w:tcPr>
            <w:tcW w:w="18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225,156.52</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225,156.52</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989" w:type="dxa"/>
            <w:gridSpan w:val="8"/>
            <w:tcBorders>
              <w:top w:val="nil"/>
              <w:left w:val="nil"/>
              <w:bottom w:val="nil"/>
              <w:right w:val="nil"/>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注：本表反映本年度各项支出情况。</w:t>
            </w:r>
          </w:p>
        </w:tc>
      </w:tr>
    </w:tbl>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rPr>
          <w:rFonts w:ascii="仿宋" w:hAnsi="仿宋" w:eastAsia="仿宋" w:cs="仿宋"/>
          <w:b/>
          <w:bCs/>
        </w:rPr>
      </w:pPr>
      <w:r>
        <w:rPr>
          <w:rFonts w:hint="eastAsia" w:ascii="仿宋" w:hAnsi="仿宋" w:eastAsia="仿宋" w:cs="仿宋"/>
          <w:b/>
          <w:bCs/>
        </w:rPr>
        <w:t>五、财政拨款收入支出决算总表</w:t>
      </w:r>
    </w:p>
    <w:tbl>
      <w:tblPr>
        <w:tblStyle w:val="11"/>
        <w:tblW w:w="13992" w:type="dxa"/>
        <w:tblInd w:w="0" w:type="dxa"/>
        <w:tblLayout w:type="fixed"/>
        <w:tblCellMar>
          <w:top w:w="0" w:type="dxa"/>
          <w:left w:w="108" w:type="dxa"/>
          <w:bottom w:w="0" w:type="dxa"/>
          <w:right w:w="108" w:type="dxa"/>
        </w:tblCellMar>
      </w:tblPr>
      <w:tblGrid>
        <w:gridCol w:w="2314"/>
        <w:gridCol w:w="1883"/>
        <w:gridCol w:w="2348"/>
        <w:gridCol w:w="1850"/>
        <w:gridCol w:w="1791"/>
        <w:gridCol w:w="1830"/>
        <w:gridCol w:w="1976"/>
      </w:tblGrid>
      <w:tr>
        <w:tblPrEx>
          <w:tblCellMar>
            <w:top w:w="0" w:type="dxa"/>
            <w:left w:w="108" w:type="dxa"/>
            <w:bottom w:w="0" w:type="dxa"/>
            <w:right w:w="108" w:type="dxa"/>
          </w:tblCellMar>
        </w:tblPrEx>
        <w:trPr>
          <w:trHeight w:val="320" w:hRule="atLeast"/>
        </w:trPr>
        <w:tc>
          <w:tcPr>
            <w:tcW w:w="12016" w:type="dxa"/>
            <w:gridSpan w:val="6"/>
            <w:tcBorders>
              <w:top w:val="nil"/>
              <w:left w:val="nil"/>
              <w:bottom w:val="nil"/>
              <w:right w:val="nil"/>
            </w:tcBorders>
            <w:shd w:val="clear" w:color="auto" w:fill="auto"/>
            <w:noWrap/>
            <w:vAlign w:val="bottom"/>
          </w:tcPr>
          <w:p>
            <w:pPr>
              <w:widowControl/>
              <w:jc w:val="lef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部门（单位）：天津市南开区文化馆 </w:t>
            </w:r>
          </w:p>
        </w:tc>
        <w:tc>
          <w:tcPr>
            <w:tcW w:w="1976" w:type="dxa"/>
            <w:tcBorders>
              <w:top w:val="nil"/>
              <w:left w:val="nil"/>
              <w:bottom w:val="nil"/>
              <w:right w:val="nil"/>
            </w:tcBorders>
            <w:shd w:val="clear" w:color="auto" w:fill="auto"/>
            <w:noWrap/>
            <w:vAlign w:val="bottom"/>
          </w:tcPr>
          <w:p>
            <w:pPr>
              <w:widowControl/>
              <w:jc w:val="righ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单位：元</w:t>
            </w:r>
          </w:p>
        </w:tc>
      </w:tr>
      <w:tr>
        <w:tblPrEx>
          <w:tblCellMar>
            <w:top w:w="0" w:type="dxa"/>
            <w:left w:w="108" w:type="dxa"/>
            <w:bottom w:w="0" w:type="dxa"/>
            <w:right w:w="108" w:type="dxa"/>
          </w:tblCellMar>
        </w:tblPrEx>
        <w:trPr>
          <w:trHeight w:val="308" w:hRule="atLeast"/>
        </w:trPr>
        <w:tc>
          <w:tcPr>
            <w:tcW w:w="419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收入</w:t>
            </w:r>
          </w:p>
        </w:tc>
        <w:tc>
          <w:tcPr>
            <w:tcW w:w="9795" w:type="dxa"/>
            <w:gridSpan w:val="5"/>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支出</w:t>
            </w: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    目</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金额</w:t>
            </w:r>
          </w:p>
        </w:tc>
        <w:tc>
          <w:tcPr>
            <w:tcW w:w="234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    目</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79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一般公共预算财政拨款</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政府性基金预算财政拨款</w:t>
            </w:r>
          </w:p>
        </w:tc>
        <w:tc>
          <w:tcPr>
            <w:tcW w:w="1976"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国有资本经营预算财政拨款</w:t>
            </w: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一、一般公共预算财政拨款</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10,020,737.11</w:t>
            </w: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一、一般公共服务支出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二、政府性基金预算财政拨款</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二、公共安全支出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三、国有资本经营预算财政拨款</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三、教育支出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四、科学技术支出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五、文化旅游体育与传媒支出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9,255,202.24</w:t>
            </w: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9,255,202.24</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六、社会保障和就业支出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540,371.04</w:t>
            </w: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540,371.04</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七、卫生健康支出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225,156.52</w:t>
            </w: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225,156.52</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八、节能环保支出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九、城乡社区支出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十、农林水支出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十一、交通运输支出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十二、资源勘探工业信息等支出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十三、商业服务业等支出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十四、金融支出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十五、援助其他地区支出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十六、自然资源海洋气象等支出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十七、住房保障支出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十八、粮油物资储备支出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十九、国有资本经营预算支出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二十、灾害防治及应急管理支出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二十一、其他支出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二十二、债务付息支出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二十三、抗疫特别国债安排的支出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本年收入合计</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10,020,737.11</w:t>
            </w:r>
          </w:p>
        </w:tc>
        <w:tc>
          <w:tcPr>
            <w:tcW w:w="234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本年支出合计</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10,020,729.80</w:t>
            </w: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10,020,729.80</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年初财政拨款结转和结余</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年末财政拨款结转和结余</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7.31</w:t>
            </w: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7.31</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一般公共预算财政拨款</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50"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政府性基金预算财政拨款</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50"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国有资本经营预算财政拨款</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2348"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50"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4"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10,020,737.11</w:t>
            </w:r>
          </w:p>
        </w:tc>
        <w:tc>
          <w:tcPr>
            <w:tcW w:w="234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10,020,737.11</w:t>
            </w:r>
          </w:p>
        </w:tc>
        <w:tc>
          <w:tcPr>
            <w:tcW w:w="179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10,020,737.11</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97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462" w:hRule="atLeast"/>
        </w:trPr>
        <w:tc>
          <w:tcPr>
            <w:tcW w:w="13992" w:type="dxa"/>
            <w:gridSpan w:val="7"/>
            <w:tcBorders>
              <w:top w:val="nil"/>
              <w:left w:val="nil"/>
              <w:bottom w:val="nil"/>
              <w:right w:val="nil"/>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注：本表反映本年度一般公共预算财政拨款、政府性基金预算财政拨款和国有资本经营预算财政拨款的总收支和年末结转结余情况。</w:t>
            </w:r>
          </w:p>
        </w:tc>
      </w:tr>
    </w:tbl>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numPr>
          <w:ilvl w:val="0"/>
          <w:numId w:val="2"/>
        </w:numPr>
        <w:rPr>
          <w:rFonts w:ascii="仿宋" w:hAnsi="仿宋" w:eastAsia="仿宋" w:cs="仿宋"/>
          <w:b/>
          <w:bCs/>
        </w:rPr>
      </w:pPr>
      <w:r>
        <w:rPr>
          <w:rFonts w:hint="eastAsia" w:ascii="仿宋" w:hAnsi="仿宋" w:eastAsia="仿宋" w:cs="仿宋"/>
          <w:b/>
          <w:bCs/>
        </w:rPr>
        <w:t xml:space="preserve">一般公共预算财政拨款支出决算表 </w:t>
      </w:r>
    </w:p>
    <w:tbl>
      <w:tblPr>
        <w:tblStyle w:val="11"/>
        <w:tblW w:w="13992" w:type="dxa"/>
        <w:tblInd w:w="0" w:type="dxa"/>
        <w:tblLayout w:type="fixed"/>
        <w:tblCellMar>
          <w:top w:w="0" w:type="dxa"/>
          <w:left w:w="108" w:type="dxa"/>
          <w:bottom w:w="0" w:type="dxa"/>
          <w:right w:w="108" w:type="dxa"/>
        </w:tblCellMar>
      </w:tblPr>
      <w:tblGrid>
        <w:gridCol w:w="1319"/>
        <w:gridCol w:w="4091"/>
        <w:gridCol w:w="1799"/>
        <w:gridCol w:w="1659"/>
        <w:gridCol w:w="1738"/>
        <w:gridCol w:w="1713"/>
        <w:gridCol w:w="1673"/>
      </w:tblGrid>
      <w:tr>
        <w:tblPrEx>
          <w:tblCellMar>
            <w:top w:w="0" w:type="dxa"/>
            <w:left w:w="108" w:type="dxa"/>
            <w:bottom w:w="0" w:type="dxa"/>
            <w:right w:w="108" w:type="dxa"/>
          </w:tblCellMar>
        </w:tblPrEx>
        <w:trPr>
          <w:trHeight w:val="320" w:hRule="atLeast"/>
        </w:trPr>
        <w:tc>
          <w:tcPr>
            <w:tcW w:w="12319" w:type="dxa"/>
            <w:gridSpan w:val="6"/>
            <w:tcBorders>
              <w:top w:val="nil"/>
              <w:left w:val="nil"/>
              <w:bottom w:val="nil"/>
              <w:right w:val="nil"/>
            </w:tcBorders>
            <w:shd w:val="clear" w:color="auto" w:fill="auto"/>
            <w:noWrap/>
            <w:vAlign w:val="bottom"/>
          </w:tcPr>
          <w:p>
            <w:pPr>
              <w:widowControl/>
              <w:jc w:val="left"/>
              <w:textAlignment w:val="bottom"/>
              <w:rPr>
                <w:rFonts w:ascii="宋体-简" w:hAnsi="宋体-简" w:eastAsia="宋体-简" w:cs="宋体-简"/>
                <w:color w:val="000000"/>
                <w:sz w:val="20"/>
                <w:szCs w:val="20"/>
              </w:rPr>
            </w:pPr>
            <w:r>
              <w:rPr>
                <w:rFonts w:hint="eastAsia" w:ascii="宋体-简" w:hAnsi="宋体-简" w:eastAsia="宋体-简" w:cs="宋体-简"/>
                <w:color w:val="000000"/>
                <w:sz w:val="20"/>
                <w:szCs w:val="20"/>
              </w:rPr>
              <w:t>部门（单位）：</w:t>
            </w:r>
            <w:r>
              <w:rPr>
                <w:rFonts w:ascii="Arial" w:hAnsi="Arial" w:eastAsia="宋体-简" w:cs="Arial"/>
                <w:color w:val="000000"/>
                <w:sz w:val="20"/>
                <w:szCs w:val="20"/>
              </w:rPr>
              <w:t xml:space="preserve">天津市南开区文化馆 </w:t>
            </w:r>
          </w:p>
        </w:tc>
        <w:tc>
          <w:tcPr>
            <w:tcW w:w="1673" w:type="dxa"/>
            <w:tcBorders>
              <w:top w:val="nil"/>
              <w:left w:val="nil"/>
              <w:bottom w:val="nil"/>
              <w:right w:val="nil"/>
            </w:tcBorders>
            <w:shd w:val="clear" w:color="auto" w:fill="auto"/>
            <w:noWrap/>
            <w:vAlign w:val="bottom"/>
          </w:tcPr>
          <w:p>
            <w:pPr>
              <w:widowControl/>
              <w:jc w:val="right"/>
              <w:textAlignment w:val="bottom"/>
              <w:rPr>
                <w:rFonts w:ascii="宋体" w:hAnsi="宋体" w:eastAsia="宋体"/>
                <w:color w:val="000000"/>
                <w:sz w:val="20"/>
                <w:szCs w:val="20"/>
              </w:rPr>
            </w:pPr>
            <w:r>
              <w:rPr>
                <w:rFonts w:hint="eastAsia" w:ascii="宋体" w:hAnsi="宋体" w:eastAsia="宋体"/>
                <w:color w:val="000000"/>
                <w:sz w:val="20"/>
                <w:szCs w:val="20"/>
              </w:rPr>
              <w:t>单位：元</w:t>
            </w:r>
          </w:p>
        </w:tc>
      </w:tr>
      <w:tr>
        <w:tblPrEx>
          <w:tblCellMar>
            <w:top w:w="0" w:type="dxa"/>
            <w:left w:w="108" w:type="dxa"/>
            <w:bottom w:w="0" w:type="dxa"/>
            <w:right w:w="108" w:type="dxa"/>
          </w:tblCellMar>
        </w:tblPrEx>
        <w:trPr>
          <w:trHeight w:val="308" w:hRule="atLeast"/>
        </w:trPr>
        <w:tc>
          <w:tcPr>
            <w:tcW w:w="54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支出功能分类科目</w:t>
            </w:r>
          </w:p>
        </w:tc>
        <w:tc>
          <w:tcPr>
            <w:tcW w:w="1799"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5110" w:type="dxa"/>
            <w:gridSpan w:val="3"/>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基本支出  </w:t>
            </w:r>
          </w:p>
        </w:tc>
        <w:tc>
          <w:tcPr>
            <w:tcW w:w="1673"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项目支出</w:t>
            </w:r>
          </w:p>
        </w:tc>
      </w:tr>
      <w:tr>
        <w:tblPrEx>
          <w:tblCellMar>
            <w:top w:w="0" w:type="dxa"/>
            <w:left w:w="108" w:type="dxa"/>
            <w:bottom w:w="0" w:type="dxa"/>
            <w:right w:w="108" w:type="dxa"/>
          </w:tblCellMar>
        </w:tblPrEx>
        <w:trPr>
          <w:trHeight w:val="308" w:hRule="atLeast"/>
        </w:trPr>
        <w:tc>
          <w:tcPr>
            <w:tcW w:w="1319" w:type="dxa"/>
            <w:tcBorders>
              <w:top w:val="nil"/>
              <w:left w:val="single" w:color="000000" w:sz="4" w:space="0"/>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4091"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w:t>
            </w:r>
          </w:p>
        </w:tc>
        <w:tc>
          <w:tcPr>
            <w:tcW w:w="1799"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1659"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小计</w:t>
            </w:r>
          </w:p>
        </w:tc>
        <w:tc>
          <w:tcPr>
            <w:tcW w:w="1738"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人员经费</w:t>
            </w:r>
          </w:p>
        </w:tc>
        <w:tc>
          <w:tcPr>
            <w:tcW w:w="1713"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公用经费</w:t>
            </w:r>
          </w:p>
        </w:tc>
        <w:tc>
          <w:tcPr>
            <w:tcW w:w="1673"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80" w:hRule="atLeast"/>
        </w:trPr>
        <w:tc>
          <w:tcPr>
            <w:tcW w:w="54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10,020,729.80</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6,429,244.30</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5,648,026.00</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781,218.30</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3,591,485.50</w:t>
            </w: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w:t>
            </w:r>
          </w:p>
        </w:tc>
        <w:tc>
          <w:tcPr>
            <w:tcW w:w="40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文化旅游体育与传媒支出</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9,255,202.24</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5,663,716.74</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4,882,498.44</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781,218.30</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3,591,485.50</w:t>
            </w: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20701</w:t>
            </w:r>
          </w:p>
        </w:tc>
        <w:tc>
          <w:tcPr>
            <w:tcW w:w="40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文化和旅游</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7,858,715.08</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5,663,716.74</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4,882,498.44</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781,218.30</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2,194,998.34</w:t>
            </w: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2070109</w:t>
            </w:r>
          </w:p>
        </w:tc>
        <w:tc>
          <w:tcPr>
            <w:tcW w:w="40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群众文化</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7,858,715.08</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5,663,716.74</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4,882,498.44</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781,218.30</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2,194,998.34</w:t>
            </w: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20702</w:t>
            </w:r>
          </w:p>
        </w:tc>
        <w:tc>
          <w:tcPr>
            <w:tcW w:w="40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文物</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1,396,487.16</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1,396,487.16</w:t>
            </w: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2070204</w:t>
            </w:r>
          </w:p>
        </w:tc>
        <w:tc>
          <w:tcPr>
            <w:tcW w:w="40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文物保护</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1,396,487.16</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1,396,487.16</w:t>
            </w: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w:t>
            </w:r>
          </w:p>
        </w:tc>
        <w:tc>
          <w:tcPr>
            <w:tcW w:w="40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社会保障和就业支出</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540,371.04</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540,371.04</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540,371.04</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20805</w:t>
            </w:r>
          </w:p>
        </w:tc>
        <w:tc>
          <w:tcPr>
            <w:tcW w:w="40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行政事业单位养老支出</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540,371.04</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540,371.04</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540,371.04</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2080505</w:t>
            </w:r>
          </w:p>
        </w:tc>
        <w:tc>
          <w:tcPr>
            <w:tcW w:w="40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机关事业单位基本养老保险缴费支出</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360,247.36</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360,247.36</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360,247.36</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2080506</w:t>
            </w:r>
          </w:p>
        </w:tc>
        <w:tc>
          <w:tcPr>
            <w:tcW w:w="40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机关事业单位职业年金缴费支出</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180,123.68</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180,123.68</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180,123.68</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210</w:t>
            </w:r>
          </w:p>
        </w:tc>
        <w:tc>
          <w:tcPr>
            <w:tcW w:w="40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卫生健康支出</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225,156.52</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225,156.52</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225,156.52</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21011</w:t>
            </w:r>
          </w:p>
        </w:tc>
        <w:tc>
          <w:tcPr>
            <w:tcW w:w="40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行政事业单位医疗</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225,156.52</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225,156.52</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225,156.52</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2101102</w:t>
            </w:r>
          </w:p>
        </w:tc>
        <w:tc>
          <w:tcPr>
            <w:tcW w:w="40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事业单位医疗</w:t>
            </w:r>
          </w:p>
        </w:tc>
        <w:tc>
          <w:tcPr>
            <w:tcW w:w="1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225,156.52</w:t>
            </w:r>
          </w:p>
        </w:tc>
        <w:tc>
          <w:tcPr>
            <w:tcW w:w="16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225,156.52</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225,156.52</w:t>
            </w:r>
          </w:p>
        </w:tc>
        <w:tc>
          <w:tcPr>
            <w:tcW w:w="1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992" w:type="dxa"/>
            <w:gridSpan w:val="7"/>
            <w:tcBorders>
              <w:top w:val="nil"/>
              <w:left w:val="nil"/>
              <w:bottom w:val="nil"/>
              <w:right w:val="nil"/>
            </w:tcBorders>
            <w:shd w:val="clear" w:color="auto" w:fill="auto"/>
            <w:noWrap/>
            <w:vAlign w:val="center"/>
          </w:tcPr>
          <w:p>
            <w:pPr>
              <w:widowControl/>
              <w:jc w:val="left"/>
              <w:textAlignment w:val="center"/>
              <w:rPr>
                <w:rFonts w:ascii="宋体" w:hAnsi="宋体" w:eastAsia="宋体"/>
                <w:color w:val="000000"/>
                <w:sz w:val="22"/>
                <w:szCs w:val="22"/>
              </w:rPr>
            </w:pPr>
            <w:r>
              <w:rPr>
                <w:rFonts w:hint="eastAsia" w:ascii="宋体" w:hAnsi="宋体" w:eastAsia="宋体"/>
                <w:color w:val="000000"/>
                <w:sz w:val="22"/>
                <w:szCs w:val="22"/>
              </w:rPr>
              <w:t>注：本表反映本年度一般公共预算财政拨款支出情况。</w:t>
            </w:r>
          </w:p>
        </w:tc>
      </w:tr>
    </w:tbl>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rPr>
          <w:rFonts w:ascii="仿宋" w:hAnsi="仿宋" w:eastAsia="仿宋" w:cs="仿宋"/>
          <w:b/>
          <w:bCs/>
        </w:rPr>
      </w:pPr>
      <w:r>
        <w:rPr>
          <w:rFonts w:hint="eastAsia" w:ascii="仿宋" w:hAnsi="仿宋" w:eastAsia="仿宋" w:cs="仿宋"/>
          <w:b/>
          <w:bCs/>
        </w:rPr>
        <w:t xml:space="preserve">七、一般公共预算财政拨款基本支出决算明细表 </w:t>
      </w:r>
    </w:p>
    <w:tbl>
      <w:tblPr>
        <w:tblStyle w:val="11"/>
        <w:tblW w:w="13992" w:type="dxa"/>
        <w:tblInd w:w="0" w:type="dxa"/>
        <w:tblLayout w:type="fixed"/>
        <w:tblCellMar>
          <w:top w:w="0" w:type="dxa"/>
          <w:left w:w="108" w:type="dxa"/>
          <w:bottom w:w="0" w:type="dxa"/>
          <w:right w:w="108" w:type="dxa"/>
        </w:tblCellMar>
      </w:tblPr>
      <w:tblGrid>
        <w:gridCol w:w="927"/>
        <w:gridCol w:w="1870"/>
        <w:gridCol w:w="1883"/>
        <w:gridCol w:w="876"/>
        <w:gridCol w:w="1799"/>
        <w:gridCol w:w="1830"/>
        <w:gridCol w:w="1091"/>
        <w:gridCol w:w="1987"/>
        <w:gridCol w:w="1729"/>
      </w:tblGrid>
      <w:tr>
        <w:tblPrEx>
          <w:tblCellMar>
            <w:top w:w="0" w:type="dxa"/>
            <w:left w:w="108" w:type="dxa"/>
            <w:bottom w:w="0" w:type="dxa"/>
            <w:right w:w="108" w:type="dxa"/>
          </w:tblCellMar>
        </w:tblPrEx>
        <w:trPr>
          <w:trHeight w:val="320" w:hRule="atLeast"/>
        </w:trPr>
        <w:tc>
          <w:tcPr>
            <w:tcW w:w="12263" w:type="dxa"/>
            <w:gridSpan w:val="8"/>
            <w:tcBorders>
              <w:top w:val="nil"/>
              <w:left w:val="nil"/>
              <w:bottom w:val="nil"/>
              <w:right w:val="nil"/>
            </w:tcBorders>
            <w:shd w:val="clear" w:color="auto" w:fill="auto"/>
            <w:noWrap/>
            <w:vAlign w:val="bottom"/>
          </w:tcPr>
          <w:p>
            <w:pPr>
              <w:widowControl/>
              <w:jc w:val="lef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部门（单位）：天津市南开区文化馆 </w:t>
            </w:r>
          </w:p>
        </w:tc>
        <w:tc>
          <w:tcPr>
            <w:tcW w:w="1729" w:type="dxa"/>
            <w:tcBorders>
              <w:top w:val="nil"/>
              <w:left w:val="nil"/>
              <w:bottom w:val="nil"/>
              <w:right w:val="nil"/>
            </w:tcBorders>
            <w:shd w:val="clear" w:color="auto" w:fill="auto"/>
            <w:noWrap/>
            <w:vAlign w:val="bottom"/>
          </w:tcPr>
          <w:p>
            <w:pPr>
              <w:widowControl/>
              <w:jc w:val="righ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单位：元</w:t>
            </w:r>
          </w:p>
        </w:tc>
      </w:tr>
      <w:tr>
        <w:tblPrEx>
          <w:tblCellMar>
            <w:top w:w="0" w:type="dxa"/>
            <w:left w:w="108" w:type="dxa"/>
            <w:bottom w:w="0" w:type="dxa"/>
            <w:right w:w="108" w:type="dxa"/>
          </w:tblCellMar>
        </w:tblPrEx>
        <w:trPr>
          <w:trHeight w:val="308" w:hRule="atLeast"/>
        </w:trPr>
        <w:tc>
          <w:tcPr>
            <w:tcW w:w="46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人员经费</w:t>
            </w:r>
          </w:p>
        </w:tc>
        <w:tc>
          <w:tcPr>
            <w:tcW w:w="9312" w:type="dxa"/>
            <w:gridSpan w:val="6"/>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公用经费</w:t>
            </w: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金额</w:t>
            </w:r>
          </w:p>
        </w:tc>
        <w:tc>
          <w:tcPr>
            <w:tcW w:w="876"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金额</w:t>
            </w:r>
          </w:p>
        </w:tc>
        <w:tc>
          <w:tcPr>
            <w:tcW w:w="109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金额</w:t>
            </w: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工资福利支出</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4,854,470.80</w:t>
            </w: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商品和服务支出</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781,218.30</w:t>
            </w: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30703</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国内债务发行费用</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30101</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基本工资</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1,013,633.20</w:t>
            </w: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30201</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办公费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23,041.50</w:t>
            </w: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30704</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国外债务发行费用</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30102</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津贴补贴</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506,227.50</w:t>
            </w: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30202</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印刷费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资本性支出</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30103</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奖金</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10,500.00</w:t>
            </w: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30203</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咨询费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2,340.00</w:t>
            </w: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31001</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房屋建筑物购建</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30106</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伙食补助费</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30204</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手续费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3,911.50</w:t>
            </w: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31002</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办公设备购置</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30107</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绩效工资</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1,196,971.00</w:t>
            </w: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30205</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水费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17,443.00</w:t>
            </w: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31003</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专用设备购置</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30108</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机关事业单位基本养老保险缴费</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360,247.36</w:t>
            </w: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30206</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电费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34,525.14</w:t>
            </w: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31005</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基础设施建设</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30109</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职业年金缴费</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180,123.68</w:t>
            </w: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30207</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邮电费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8,000.00</w:t>
            </w: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31006</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大型修缮</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30110</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职工基本医疗保险缴费</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225,156.52</w:t>
            </w: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30208</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取暖费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156,724.00</w:t>
            </w: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31007</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信息网络及软件购置更新</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30111</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公务员医疗补助缴费</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30209</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物业管理费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31008</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物资储备</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30112</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其他社会保障缴费</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15,761.54</w:t>
            </w: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30211</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差旅费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36,518.00</w:t>
            </w: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31009</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土地补偿</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30113</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住房公积金</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1,206,468.00</w:t>
            </w: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30212</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因公出国（境）费用</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31010</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安置补助</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30114</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医疗费</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30213</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维修(护)费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36,673.00</w:t>
            </w: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31011</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地上附着物和青苗补偿</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30199</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其他工资福利支出</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139,382.00</w:t>
            </w: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30214</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租赁费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31012</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拆迁补偿</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对个人和家庭的补助</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793,555.20</w:t>
            </w: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30215</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会议费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31013</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公务用车购置</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30301</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离休费</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30216</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培训费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31019</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其他交通工具购置</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30302</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退休费</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749,393.20</w:t>
            </w: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30217</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公务接待费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31021</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文物和陈列品购置</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30303</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退职（役）费</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30218</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专用材料费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31022</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无形资产购置</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30304</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抚恤金</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30224</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被装购置费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31099</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其他资本性支出</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30305</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生活补助</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43,817.00</w:t>
            </w: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30225</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专用燃料费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对企业补助</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30306</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救济费</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30226</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劳务费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31201</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资本金注入</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30307</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医疗费补助</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30227</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委托业务费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6,000.00</w:t>
            </w: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31203</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政府投资基金股权投资</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30308</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助学金</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30228</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工会经费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30,375.36</w:t>
            </w: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31204</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费用补贴</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30309</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奖励金</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345.00</w:t>
            </w: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30229</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福利费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222,666.80</w:t>
            </w: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31205</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利息补贴</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30310</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个人农业生产补贴</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30231</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公务用车运行维护费</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31206</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其他资本性补助</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30311</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代缴社会保险费</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30239</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其他交通费用</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31299</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其他对企业补助</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30399</w:t>
            </w:r>
          </w:p>
        </w:tc>
        <w:tc>
          <w:tcPr>
            <w:tcW w:w="187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其他对个人和家庭的补助</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30240</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税金及附加费用</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399</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其他支出</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70"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30299</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其他商品和服务支出</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203,000.00</w:t>
            </w: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39907</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国家赔偿费用支出</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70"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307</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债务利息及费用支出</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39908</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对民间非营利组织和群众性自治组织补贴</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70"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30701</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国内债务付息</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39909</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经常性赠与</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70"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876"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30702</w:t>
            </w:r>
          </w:p>
        </w:tc>
        <w:tc>
          <w:tcPr>
            <w:tcW w:w="1799"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国外债务付息</w:t>
            </w:r>
          </w:p>
        </w:tc>
        <w:tc>
          <w:tcPr>
            <w:tcW w:w="18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39910</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资本性赠与</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70"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vAlign w:val="center"/>
          </w:tcPr>
          <w:p>
            <w:pPr>
              <w:jc w:val="left"/>
              <w:rPr>
                <w:rFonts w:asciiTheme="minorEastAsia" w:hAnsiTheme="minorEastAsia" w:cstheme="minorEastAsia"/>
                <w:color w:val="000000"/>
                <w:sz w:val="22"/>
                <w:szCs w:val="22"/>
              </w:rPr>
            </w:pPr>
          </w:p>
        </w:tc>
        <w:tc>
          <w:tcPr>
            <w:tcW w:w="876"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799"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830" w:type="dxa"/>
            <w:tcBorders>
              <w:top w:val="nil"/>
              <w:left w:val="nil"/>
              <w:bottom w:val="single" w:color="000000" w:sz="4" w:space="0"/>
              <w:right w:val="single" w:color="000000" w:sz="4" w:space="0"/>
            </w:tcBorders>
            <w:shd w:val="clear" w:color="auto" w:fill="auto"/>
            <w:noWrap/>
            <w:vAlign w:val="center"/>
          </w:tcPr>
          <w:p>
            <w:pPr>
              <w:jc w:val="left"/>
              <w:rPr>
                <w:rFonts w:asciiTheme="minorEastAsia" w:hAnsiTheme="minorEastAsia" w:cstheme="minorEastAsia"/>
                <w:color w:val="000000"/>
                <w:sz w:val="22"/>
                <w:szCs w:val="22"/>
              </w:rPr>
            </w:pPr>
          </w:p>
        </w:tc>
        <w:tc>
          <w:tcPr>
            <w:tcW w:w="1091"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39999</w:t>
            </w:r>
          </w:p>
        </w:tc>
        <w:tc>
          <w:tcPr>
            <w:tcW w:w="1987"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其他支出</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797" w:type="dxa"/>
            <w:gridSpan w:val="2"/>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人员经费合计</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5,648,026.00</w:t>
            </w:r>
          </w:p>
        </w:tc>
        <w:tc>
          <w:tcPr>
            <w:tcW w:w="7583" w:type="dxa"/>
            <w:gridSpan w:val="5"/>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公用经费合计</w:t>
            </w:r>
          </w:p>
        </w:tc>
        <w:tc>
          <w:tcPr>
            <w:tcW w:w="1729"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781,218.30</w:t>
            </w:r>
          </w:p>
        </w:tc>
      </w:tr>
      <w:tr>
        <w:tblPrEx>
          <w:tblCellMar>
            <w:top w:w="0" w:type="dxa"/>
            <w:left w:w="108" w:type="dxa"/>
            <w:bottom w:w="0" w:type="dxa"/>
            <w:right w:w="108" w:type="dxa"/>
          </w:tblCellMar>
        </w:tblPrEx>
        <w:trPr>
          <w:trHeight w:val="308" w:hRule="atLeast"/>
        </w:trPr>
        <w:tc>
          <w:tcPr>
            <w:tcW w:w="13992" w:type="dxa"/>
            <w:gridSpan w:val="9"/>
            <w:tcBorders>
              <w:top w:val="nil"/>
              <w:left w:val="nil"/>
              <w:bottom w:val="nil"/>
              <w:right w:val="nil"/>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注：本表反映本年度一般公共预算财政拨款基本支出明细情况。</w:t>
            </w:r>
          </w:p>
        </w:tc>
      </w:tr>
    </w:tbl>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rPr>
          <w:rFonts w:asciiTheme="minorEastAsia" w:hAnsiTheme="minorEastAsia" w:eastAsiaTheme="minorEastAsia" w:cstheme="minorEastAsia"/>
          <w:color w:val="auto"/>
          <w:sz w:val="22"/>
          <w:szCs w:val="22"/>
        </w:rPr>
      </w:pPr>
      <w:r>
        <w:rPr>
          <w:rFonts w:hint="eastAsia" w:ascii="仿宋" w:hAnsi="仿宋" w:eastAsia="仿宋" w:cs="仿宋"/>
          <w:b/>
          <w:bCs/>
        </w:rPr>
        <w:t xml:space="preserve">八、政府性基金预算财政拨款收入支出决算表 </w:t>
      </w:r>
    </w:p>
    <w:tbl>
      <w:tblPr>
        <w:tblStyle w:val="11"/>
        <w:tblW w:w="13992" w:type="dxa"/>
        <w:tblInd w:w="0" w:type="dxa"/>
        <w:tblLayout w:type="fixed"/>
        <w:tblCellMar>
          <w:top w:w="0" w:type="dxa"/>
          <w:left w:w="108" w:type="dxa"/>
          <w:bottom w:w="0" w:type="dxa"/>
          <w:right w:w="108" w:type="dxa"/>
        </w:tblCellMar>
      </w:tblPr>
      <w:tblGrid>
        <w:gridCol w:w="1279"/>
        <w:gridCol w:w="3851"/>
        <w:gridCol w:w="1508"/>
        <w:gridCol w:w="1536"/>
        <w:gridCol w:w="1427"/>
        <w:gridCol w:w="1427"/>
        <w:gridCol w:w="1514"/>
        <w:gridCol w:w="1450"/>
      </w:tblGrid>
      <w:tr>
        <w:tblPrEx>
          <w:tblCellMar>
            <w:top w:w="0" w:type="dxa"/>
            <w:left w:w="108" w:type="dxa"/>
            <w:bottom w:w="0" w:type="dxa"/>
            <w:right w:w="108" w:type="dxa"/>
          </w:tblCellMar>
        </w:tblPrEx>
        <w:trPr>
          <w:trHeight w:val="320" w:hRule="atLeast"/>
        </w:trPr>
        <w:tc>
          <w:tcPr>
            <w:tcW w:w="12542" w:type="dxa"/>
            <w:gridSpan w:val="7"/>
            <w:tcBorders>
              <w:top w:val="nil"/>
              <w:left w:val="nil"/>
              <w:bottom w:val="nil"/>
              <w:right w:val="nil"/>
            </w:tcBorders>
            <w:shd w:val="clear" w:color="auto" w:fill="auto"/>
            <w:noWrap/>
            <w:vAlign w:val="bottom"/>
          </w:tcPr>
          <w:p>
            <w:pPr>
              <w:widowControl/>
              <w:jc w:val="left"/>
              <w:textAlignment w:val="bottom"/>
              <w:rPr>
                <w:rFonts w:ascii="宋体-简" w:hAnsi="宋体-简" w:eastAsia="宋体-简" w:cs="宋体-简"/>
                <w:color w:val="000000"/>
                <w:sz w:val="20"/>
                <w:szCs w:val="20"/>
              </w:rPr>
            </w:pPr>
            <w:r>
              <w:rPr>
                <w:rFonts w:hint="eastAsia" w:ascii="宋体-简" w:hAnsi="宋体-简" w:eastAsia="宋体-简" w:cs="宋体-简"/>
                <w:color w:val="000000"/>
                <w:sz w:val="20"/>
                <w:szCs w:val="20"/>
              </w:rPr>
              <w:t>部门（单位）：</w:t>
            </w:r>
            <w:r>
              <w:rPr>
                <w:rFonts w:ascii="Arial" w:hAnsi="Arial" w:eastAsia="宋体-简" w:cs="Arial"/>
                <w:color w:val="000000"/>
                <w:sz w:val="20"/>
                <w:szCs w:val="20"/>
              </w:rPr>
              <w:t xml:space="preserve">天津市南开区文化馆 </w:t>
            </w:r>
          </w:p>
        </w:tc>
        <w:tc>
          <w:tcPr>
            <w:tcW w:w="1450" w:type="dxa"/>
            <w:tcBorders>
              <w:top w:val="nil"/>
              <w:left w:val="nil"/>
              <w:bottom w:val="nil"/>
              <w:right w:val="nil"/>
            </w:tcBorders>
            <w:shd w:val="clear" w:color="auto" w:fill="auto"/>
            <w:noWrap/>
            <w:vAlign w:val="bottom"/>
          </w:tcPr>
          <w:p>
            <w:pPr>
              <w:widowControl/>
              <w:jc w:val="right"/>
              <w:textAlignment w:val="bottom"/>
              <w:rPr>
                <w:rFonts w:ascii="宋体" w:hAnsi="宋体" w:eastAsia="宋体"/>
                <w:color w:val="000000"/>
                <w:sz w:val="20"/>
                <w:szCs w:val="20"/>
              </w:rPr>
            </w:pPr>
            <w:r>
              <w:rPr>
                <w:rFonts w:hint="eastAsia" w:ascii="宋体" w:hAnsi="宋体" w:eastAsia="宋体"/>
                <w:color w:val="000000"/>
                <w:sz w:val="20"/>
                <w:szCs w:val="20"/>
              </w:rPr>
              <w:t>单位：元</w:t>
            </w:r>
          </w:p>
        </w:tc>
      </w:tr>
      <w:tr>
        <w:tblPrEx>
          <w:tblCellMar>
            <w:top w:w="0" w:type="dxa"/>
            <w:left w:w="108" w:type="dxa"/>
            <w:bottom w:w="0" w:type="dxa"/>
            <w:right w:w="108" w:type="dxa"/>
          </w:tblCellMar>
        </w:tblPrEx>
        <w:trPr>
          <w:trHeight w:val="308" w:hRule="atLeast"/>
        </w:trPr>
        <w:tc>
          <w:tcPr>
            <w:tcW w:w="51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支出功能分类科目</w:t>
            </w:r>
          </w:p>
        </w:tc>
        <w:tc>
          <w:tcPr>
            <w:tcW w:w="1508"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年初结转和结余</w:t>
            </w:r>
          </w:p>
        </w:tc>
        <w:tc>
          <w:tcPr>
            <w:tcW w:w="1536"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本年收入</w:t>
            </w:r>
          </w:p>
        </w:tc>
        <w:tc>
          <w:tcPr>
            <w:tcW w:w="4368" w:type="dxa"/>
            <w:gridSpan w:val="3"/>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本年支出</w:t>
            </w:r>
          </w:p>
        </w:tc>
        <w:tc>
          <w:tcPr>
            <w:tcW w:w="1450"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年末结转和结余</w:t>
            </w:r>
          </w:p>
        </w:tc>
      </w:tr>
      <w:tr>
        <w:tblPrEx>
          <w:tblCellMar>
            <w:top w:w="0" w:type="dxa"/>
            <w:left w:w="108" w:type="dxa"/>
            <w:bottom w:w="0" w:type="dxa"/>
            <w:right w:w="108" w:type="dxa"/>
          </w:tblCellMar>
        </w:tblPrEx>
        <w:trPr>
          <w:trHeight w:val="308" w:hRule="atLeast"/>
        </w:trPr>
        <w:tc>
          <w:tcPr>
            <w:tcW w:w="1279" w:type="dxa"/>
            <w:tcBorders>
              <w:top w:val="nil"/>
              <w:left w:val="single" w:color="000000" w:sz="4" w:space="0"/>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3851"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w:t>
            </w:r>
          </w:p>
        </w:tc>
        <w:tc>
          <w:tcPr>
            <w:tcW w:w="150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153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1427"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小计</w:t>
            </w:r>
          </w:p>
        </w:tc>
        <w:tc>
          <w:tcPr>
            <w:tcW w:w="1427"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基本支出  </w:t>
            </w:r>
          </w:p>
        </w:tc>
        <w:tc>
          <w:tcPr>
            <w:tcW w:w="1514"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项目支出</w:t>
            </w:r>
          </w:p>
        </w:tc>
        <w:tc>
          <w:tcPr>
            <w:tcW w:w="145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800" w:hRule="atLeast"/>
        </w:trPr>
        <w:tc>
          <w:tcPr>
            <w:tcW w:w="51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5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4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4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4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992" w:type="dxa"/>
            <w:gridSpan w:val="8"/>
            <w:tcBorders>
              <w:top w:val="nil"/>
              <w:left w:val="nil"/>
              <w:bottom w:val="nil"/>
              <w:right w:val="nil"/>
            </w:tcBorders>
            <w:shd w:val="clear" w:color="auto" w:fill="auto"/>
            <w:noWrap/>
            <w:vAlign w:val="center"/>
          </w:tcPr>
          <w:p>
            <w:pPr>
              <w:widowControl/>
              <w:jc w:val="left"/>
              <w:textAlignment w:val="center"/>
              <w:rPr>
                <w:rFonts w:ascii="宋体" w:hAnsi="宋体" w:eastAsia="宋体"/>
                <w:color w:val="000000"/>
                <w:sz w:val="22"/>
                <w:szCs w:val="22"/>
              </w:rPr>
            </w:pPr>
            <w:r>
              <w:rPr>
                <w:rFonts w:hint="eastAsia" w:ascii="宋体" w:hAnsi="宋体" w:eastAsia="宋体"/>
                <w:color w:val="000000"/>
                <w:sz w:val="22"/>
                <w:szCs w:val="22"/>
              </w:rPr>
              <w:t>注：本表反映本年度政府性基金预算财政拨款收入、支出及结转和结余情况。</w:t>
            </w:r>
          </w:p>
        </w:tc>
      </w:tr>
    </w:tbl>
    <w:p>
      <w:pPr>
        <w:widowControl/>
        <w:ind w:firstLine="600" w:firstLineChars="200"/>
        <w:jc w:val="left"/>
        <w:rPr>
          <w:rFonts w:ascii="宋体" w:eastAsia="仿宋_GB2312"/>
          <w:sz w:val="30"/>
          <w:szCs w:val="30"/>
        </w:rPr>
      </w:pPr>
      <w:r>
        <w:rPr>
          <w:rFonts w:ascii="宋体" w:eastAsia="仿宋_GB2312"/>
          <w:sz w:val="30"/>
          <w:szCs w:val="30"/>
        </w:rPr>
        <w:t>天津市南开区文化馆2024年政府性基金预算财政拨款收入支出决算表为空表。</w:t>
      </w:r>
    </w:p>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rPr>
          <w:rFonts w:asciiTheme="minorEastAsia" w:hAnsiTheme="minorEastAsia" w:eastAsiaTheme="minorEastAsia" w:cstheme="minorEastAsia"/>
          <w:color w:val="auto"/>
          <w:sz w:val="22"/>
          <w:szCs w:val="22"/>
        </w:rPr>
      </w:pPr>
      <w:r>
        <w:rPr>
          <w:rFonts w:hint="eastAsia" w:ascii="仿宋" w:hAnsi="仿宋" w:eastAsia="仿宋" w:cs="仿宋"/>
          <w:b/>
          <w:bCs/>
        </w:rPr>
        <w:t xml:space="preserve">九、国有资本经营预算财政拨款支出决算表 </w:t>
      </w:r>
    </w:p>
    <w:tbl>
      <w:tblPr>
        <w:tblStyle w:val="11"/>
        <w:tblW w:w="13992" w:type="dxa"/>
        <w:tblInd w:w="0" w:type="dxa"/>
        <w:tblLayout w:type="fixed"/>
        <w:tblCellMar>
          <w:top w:w="0" w:type="dxa"/>
          <w:left w:w="108" w:type="dxa"/>
          <w:bottom w:w="0" w:type="dxa"/>
          <w:right w:w="108" w:type="dxa"/>
        </w:tblCellMar>
      </w:tblPr>
      <w:tblGrid>
        <w:gridCol w:w="1322"/>
        <w:gridCol w:w="3442"/>
        <w:gridCol w:w="1617"/>
        <w:gridCol w:w="1578"/>
        <w:gridCol w:w="1522"/>
        <w:gridCol w:w="1603"/>
        <w:gridCol w:w="1472"/>
        <w:gridCol w:w="1436"/>
      </w:tblGrid>
      <w:tr>
        <w:tblPrEx>
          <w:tblCellMar>
            <w:top w:w="0" w:type="dxa"/>
            <w:left w:w="108" w:type="dxa"/>
            <w:bottom w:w="0" w:type="dxa"/>
            <w:right w:w="108" w:type="dxa"/>
          </w:tblCellMar>
        </w:tblPrEx>
        <w:trPr>
          <w:trHeight w:val="320" w:hRule="atLeast"/>
        </w:trPr>
        <w:tc>
          <w:tcPr>
            <w:tcW w:w="12556" w:type="dxa"/>
            <w:gridSpan w:val="7"/>
            <w:tcBorders>
              <w:top w:val="nil"/>
              <w:left w:val="nil"/>
              <w:bottom w:val="nil"/>
              <w:right w:val="nil"/>
            </w:tcBorders>
            <w:shd w:val="clear" w:color="auto" w:fill="auto"/>
            <w:noWrap/>
            <w:vAlign w:val="bottom"/>
          </w:tcPr>
          <w:p>
            <w:pPr>
              <w:widowControl/>
              <w:jc w:val="left"/>
              <w:textAlignment w:val="bottom"/>
              <w:rPr>
                <w:rFonts w:ascii="宋体-简" w:hAnsi="宋体-简" w:eastAsia="宋体-简" w:cs="宋体-简"/>
                <w:color w:val="000000"/>
                <w:sz w:val="20"/>
                <w:szCs w:val="20"/>
              </w:rPr>
            </w:pPr>
            <w:r>
              <w:rPr>
                <w:rFonts w:hint="eastAsia" w:ascii="宋体-简" w:hAnsi="宋体-简" w:eastAsia="宋体-简" w:cs="宋体-简"/>
                <w:color w:val="000000"/>
                <w:sz w:val="20"/>
                <w:szCs w:val="20"/>
              </w:rPr>
              <w:t>部门（单位）：</w:t>
            </w:r>
            <w:r>
              <w:rPr>
                <w:rFonts w:ascii="Arial" w:hAnsi="Arial" w:eastAsia="宋体-简" w:cs="Arial"/>
                <w:color w:val="000000"/>
                <w:sz w:val="20"/>
                <w:szCs w:val="20"/>
              </w:rPr>
              <w:t xml:space="preserve">天津市南开区文化馆 </w:t>
            </w:r>
          </w:p>
        </w:tc>
        <w:tc>
          <w:tcPr>
            <w:tcW w:w="1436" w:type="dxa"/>
            <w:tcBorders>
              <w:top w:val="nil"/>
              <w:left w:val="nil"/>
              <w:bottom w:val="nil"/>
              <w:right w:val="nil"/>
            </w:tcBorders>
            <w:shd w:val="clear" w:color="auto" w:fill="auto"/>
            <w:noWrap/>
            <w:vAlign w:val="bottom"/>
          </w:tcPr>
          <w:p>
            <w:pPr>
              <w:widowControl/>
              <w:jc w:val="right"/>
              <w:textAlignment w:val="bottom"/>
              <w:rPr>
                <w:rFonts w:ascii="宋体" w:hAnsi="宋体" w:eastAsia="宋体"/>
                <w:color w:val="000000"/>
                <w:sz w:val="20"/>
                <w:szCs w:val="20"/>
              </w:rPr>
            </w:pPr>
            <w:r>
              <w:rPr>
                <w:rFonts w:hint="eastAsia" w:ascii="宋体" w:hAnsi="宋体" w:eastAsia="宋体"/>
                <w:color w:val="000000"/>
                <w:sz w:val="20"/>
                <w:szCs w:val="20"/>
              </w:rPr>
              <w:t>单位：元</w:t>
            </w:r>
          </w:p>
        </w:tc>
      </w:tr>
      <w:tr>
        <w:tblPrEx>
          <w:tblCellMar>
            <w:top w:w="0" w:type="dxa"/>
            <w:left w:w="108" w:type="dxa"/>
            <w:bottom w:w="0" w:type="dxa"/>
            <w:right w:w="108" w:type="dxa"/>
          </w:tblCellMar>
        </w:tblPrEx>
        <w:trPr>
          <w:trHeight w:val="308" w:hRule="atLeast"/>
        </w:trPr>
        <w:tc>
          <w:tcPr>
            <w:tcW w:w="47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支出功能分类科目</w:t>
            </w:r>
          </w:p>
        </w:tc>
        <w:tc>
          <w:tcPr>
            <w:tcW w:w="161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年初结转和结余</w:t>
            </w:r>
          </w:p>
        </w:tc>
        <w:tc>
          <w:tcPr>
            <w:tcW w:w="157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本年收入</w:t>
            </w:r>
          </w:p>
        </w:tc>
        <w:tc>
          <w:tcPr>
            <w:tcW w:w="459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本年支出</w:t>
            </w:r>
          </w:p>
        </w:tc>
        <w:tc>
          <w:tcPr>
            <w:tcW w:w="143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年末结转和结余</w:t>
            </w:r>
          </w:p>
        </w:tc>
      </w:tr>
      <w:tr>
        <w:tblPrEx>
          <w:tblCellMar>
            <w:top w:w="0" w:type="dxa"/>
            <w:left w:w="108" w:type="dxa"/>
            <w:bottom w:w="0" w:type="dxa"/>
            <w:right w:w="108" w:type="dxa"/>
          </w:tblCellMar>
        </w:tblPrEx>
        <w:trPr>
          <w:trHeight w:val="308" w:hRule="atLeast"/>
        </w:trPr>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3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w:t>
            </w:r>
          </w:p>
        </w:tc>
        <w:tc>
          <w:tcPr>
            <w:tcW w:w="16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15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基本支出  </w:t>
            </w:r>
          </w:p>
        </w:tc>
        <w:tc>
          <w:tcPr>
            <w:tcW w:w="1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项目支出</w:t>
            </w:r>
          </w:p>
        </w:tc>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80" w:hRule="atLeast"/>
        </w:trPr>
        <w:tc>
          <w:tcPr>
            <w:tcW w:w="47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6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992" w:type="dxa"/>
            <w:gridSpan w:val="8"/>
            <w:tcBorders>
              <w:top w:val="nil"/>
              <w:left w:val="nil"/>
              <w:bottom w:val="nil"/>
              <w:right w:val="nil"/>
            </w:tcBorders>
            <w:shd w:val="clear" w:color="auto" w:fill="auto"/>
            <w:noWrap/>
            <w:vAlign w:val="center"/>
          </w:tcPr>
          <w:p>
            <w:pPr>
              <w:widowControl/>
              <w:jc w:val="left"/>
              <w:textAlignment w:val="center"/>
              <w:rPr>
                <w:rFonts w:ascii="宋体" w:hAnsi="宋体" w:eastAsia="宋体"/>
                <w:color w:val="000000"/>
                <w:sz w:val="22"/>
                <w:szCs w:val="22"/>
              </w:rPr>
            </w:pPr>
            <w:r>
              <w:rPr>
                <w:rFonts w:hint="eastAsia" w:ascii="宋体" w:hAnsi="宋体" w:eastAsia="宋体"/>
                <w:color w:val="000000"/>
                <w:sz w:val="22"/>
                <w:szCs w:val="22"/>
              </w:rPr>
              <w:t>注：本表反映本年度国有资本经营预算财政拨款收入、支出及结转和结余情况。</w:t>
            </w:r>
          </w:p>
        </w:tc>
      </w:tr>
    </w:tbl>
    <w:p>
      <w:pPr>
        <w:widowControl/>
        <w:ind w:firstLine="600" w:firstLineChars="200"/>
        <w:jc w:val="left"/>
        <w:rPr>
          <w:rFonts w:ascii="宋体" w:eastAsia="仿宋_GB2312"/>
          <w:sz w:val="30"/>
          <w:szCs w:val="30"/>
        </w:rPr>
      </w:pPr>
      <w:r>
        <w:rPr>
          <w:rFonts w:ascii="宋体" w:eastAsia="仿宋_GB2312"/>
          <w:sz w:val="30"/>
          <w:szCs w:val="30"/>
        </w:rPr>
        <w:t>天津市南开区文化馆2024年国有资本经营预算财政拨款收入支出决算表为空表。</w:t>
      </w:r>
    </w:p>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rPr>
          <w:rFonts w:ascii="仿宋" w:hAnsi="仿宋" w:eastAsia="仿宋" w:cs="仿宋"/>
          <w:b/>
          <w:bCs/>
        </w:rPr>
      </w:pPr>
      <w:r>
        <w:rPr>
          <w:rFonts w:hint="eastAsia" w:ascii="仿宋" w:hAnsi="仿宋" w:eastAsia="仿宋" w:cs="仿宋"/>
          <w:b/>
          <w:bCs/>
        </w:rPr>
        <w:t xml:space="preserve">十、财政拨款“三公”经费支出决算表 </w:t>
      </w:r>
    </w:p>
    <w:tbl>
      <w:tblPr>
        <w:tblStyle w:val="11"/>
        <w:tblW w:w="13638" w:type="dxa"/>
        <w:tblInd w:w="88" w:type="dxa"/>
        <w:tblLayout w:type="fixed"/>
        <w:tblCellMar>
          <w:top w:w="0" w:type="dxa"/>
          <w:left w:w="108" w:type="dxa"/>
          <w:bottom w:w="0" w:type="dxa"/>
          <w:right w:w="108" w:type="dxa"/>
        </w:tblCellMar>
      </w:tblPr>
      <w:tblGrid>
        <w:gridCol w:w="2169"/>
        <w:gridCol w:w="2108"/>
        <w:gridCol w:w="2400"/>
        <w:gridCol w:w="2385"/>
        <w:gridCol w:w="2430"/>
        <w:gridCol w:w="2146"/>
      </w:tblGrid>
      <w:tr>
        <w:tblPrEx>
          <w:tblCellMar>
            <w:top w:w="0" w:type="dxa"/>
            <w:left w:w="108" w:type="dxa"/>
            <w:bottom w:w="0" w:type="dxa"/>
            <w:right w:w="108" w:type="dxa"/>
          </w:tblCellMar>
        </w:tblPrEx>
        <w:trPr>
          <w:trHeight w:val="320" w:hRule="atLeast"/>
        </w:trPr>
        <w:tc>
          <w:tcPr>
            <w:tcW w:w="11492" w:type="dxa"/>
            <w:gridSpan w:val="5"/>
            <w:tcBorders>
              <w:top w:val="nil"/>
              <w:left w:val="nil"/>
              <w:bottom w:val="nil"/>
              <w:right w:val="nil"/>
            </w:tcBorders>
            <w:shd w:val="clear" w:color="auto" w:fill="auto"/>
            <w:noWrap/>
            <w:vAlign w:val="bottom"/>
          </w:tcPr>
          <w:p>
            <w:pPr>
              <w:widowControl/>
              <w:jc w:val="lef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部门（单位）：天津市南开区文化馆 </w:t>
            </w:r>
          </w:p>
        </w:tc>
        <w:tc>
          <w:tcPr>
            <w:tcW w:w="2146" w:type="dxa"/>
            <w:tcBorders>
              <w:top w:val="nil"/>
              <w:left w:val="nil"/>
              <w:bottom w:val="nil"/>
              <w:right w:val="nil"/>
            </w:tcBorders>
            <w:shd w:val="clear" w:color="auto" w:fill="auto"/>
            <w:noWrap/>
            <w:vAlign w:val="bottom"/>
          </w:tcPr>
          <w:p>
            <w:pPr>
              <w:widowControl/>
              <w:jc w:val="righ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单位：元</w:t>
            </w:r>
          </w:p>
        </w:tc>
      </w:tr>
      <w:tr>
        <w:tblPrEx>
          <w:tblCellMar>
            <w:top w:w="0" w:type="dxa"/>
            <w:left w:w="108" w:type="dxa"/>
            <w:bottom w:w="0" w:type="dxa"/>
            <w:right w:w="108" w:type="dxa"/>
          </w:tblCellMar>
        </w:tblPrEx>
        <w:trPr>
          <w:trHeight w:val="308" w:hRule="atLeast"/>
        </w:trPr>
        <w:tc>
          <w:tcPr>
            <w:tcW w:w="21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2108"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因公出国（境）费</w:t>
            </w:r>
          </w:p>
        </w:tc>
        <w:tc>
          <w:tcPr>
            <w:tcW w:w="7215" w:type="dxa"/>
            <w:gridSpan w:val="3"/>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公务用车购置及运行维护费</w:t>
            </w:r>
          </w:p>
        </w:tc>
        <w:tc>
          <w:tcPr>
            <w:tcW w:w="2146"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公务接待费</w:t>
            </w:r>
          </w:p>
        </w:tc>
      </w:tr>
      <w:tr>
        <w:tblPrEx>
          <w:tblCellMar>
            <w:top w:w="0" w:type="dxa"/>
            <w:left w:w="108" w:type="dxa"/>
            <w:bottom w:w="0" w:type="dxa"/>
            <w:right w:w="108" w:type="dxa"/>
          </w:tblCellMar>
        </w:tblPrEx>
        <w:trPr>
          <w:trHeight w:val="308" w:hRule="atLeast"/>
        </w:trPr>
        <w:tc>
          <w:tcPr>
            <w:tcW w:w="21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210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2400"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小计</w:t>
            </w:r>
          </w:p>
        </w:tc>
        <w:tc>
          <w:tcPr>
            <w:tcW w:w="2385"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公务用车购置费</w:t>
            </w:r>
          </w:p>
        </w:tc>
        <w:tc>
          <w:tcPr>
            <w:tcW w:w="2430"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公务用车运行维护费</w:t>
            </w:r>
          </w:p>
        </w:tc>
        <w:tc>
          <w:tcPr>
            <w:tcW w:w="214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720" w:hRule="atLeast"/>
        </w:trPr>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638" w:type="dxa"/>
            <w:gridSpan w:val="6"/>
            <w:tcBorders>
              <w:top w:val="nil"/>
              <w:left w:val="nil"/>
              <w:bottom w:val="nil"/>
              <w:right w:val="nil"/>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注：本表反映本年度“三公”经费支出决算情况。其中决算数是包括当年财政拨款和以前年度结转资金安排的实际支出。</w:t>
            </w:r>
          </w:p>
        </w:tc>
      </w:tr>
    </w:tbl>
    <w:p>
      <w:pPr>
        <w:widowControl/>
        <w:ind w:firstLine="600" w:firstLineChars="200"/>
        <w:jc w:val="left"/>
        <w:rPr>
          <w:rFonts w:ascii="宋体" w:eastAsia="仿宋_GB2312"/>
          <w:sz w:val="30"/>
          <w:szCs w:val="30"/>
        </w:rPr>
      </w:pPr>
      <w:r>
        <w:rPr>
          <w:rFonts w:ascii="宋体" w:eastAsia="仿宋_GB2312"/>
          <w:sz w:val="30"/>
          <w:szCs w:val="30"/>
        </w:rPr>
        <w:t>天津市南开区文化馆2024年财政拨款“三公”经费支出决算表为空表。</w:t>
      </w:r>
    </w:p>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rPr>
          <w:rFonts w:ascii="仿宋" w:hAnsi="仿宋" w:eastAsia="仿宋" w:cs="仿宋"/>
          <w:b/>
          <w:bCs/>
        </w:rPr>
      </w:pPr>
      <w:r>
        <w:rPr>
          <w:rFonts w:hint="eastAsia" w:ascii="仿宋" w:hAnsi="仿宋" w:eastAsia="仿宋" w:cs="仿宋"/>
          <w:b/>
          <w:bCs/>
        </w:rPr>
        <w:t xml:space="preserve">十一、项目支出决算表 </w:t>
      </w:r>
    </w:p>
    <w:tbl>
      <w:tblPr>
        <w:tblStyle w:val="11"/>
        <w:tblW w:w="13992" w:type="dxa"/>
        <w:tblInd w:w="0" w:type="dxa"/>
        <w:tblLayout w:type="fixed"/>
        <w:tblCellMar>
          <w:top w:w="0" w:type="dxa"/>
          <w:left w:w="108" w:type="dxa"/>
          <w:bottom w:w="0" w:type="dxa"/>
          <w:right w:w="108" w:type="dxa"/>
        </w:tblCellMar>
      </w:tblPr>
      <w:tblGrid>
        <w:gridCol w:w="1111"/>
        <w:gridCol w:w="2863"/>
        <w:gridCol w:w="1738"/>
        <w:gridCol w:w="1615"/>
        <w:gridCol w:w="1704"/>
        <w:gridCol w:w="1690"/>
        <w:gridCol w:w="1679"/>
        <w:gridCol w:w="1592"/>
      </w:tblGrid>
      <w:tr>
        <w:tblPrEx>
          <w:tblCellMar>
            <w:top w:w="0" w:type="dxa"/>
            <w:left w:w="108" w:type="dxa"/>
            <w:bottom w:w="0" w:type="dxa"/>
            <w:right w:w="108" w:type="dxa"/>
          </w:tblCellMar>
        </w:tblPrEx>
        <w:trPr>
          <w:trHeight w:val="320" w:hRule="atLeast"/>
        </w:trPr>
        <w:tc>
          <w:tcPr>
            <w:tcW w:w="12400" w:type="dxa"/>
            <w:gridSpan w:val="7"/>
            <w:tcBorders>
              <w:top w:val="nil"/>
              <w:left w:val="nil"/>
              <w:bottom w:val="nil"/>
              <w:right w:val="nil"/>
            </w:tcBorders>
            <w:shd w:val="clear" w:color="auto" w:fill="auto"/>
            <w:noWrap/>
            <w:vAlign w:val="bottom"/>
          </w:tcPr>
          <w:p>
            <w:pPr>
              <w:widowControl/>
              <w:jc w:val="lef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部门（单位）：天津市南开区文化馆 </w:t>
            </w:r>
          </w:p>
        </w:tc>
        <w:tc>
          <w:tcPr>
            <w:tcW w:w="1592" w:type="dxa"/>
            <w:tcBorders>
              <w:top w:val="nil"/>
              <w:left w:val="nil"/>
              <w:bottom w:val="nil"/>
              <w:right w:val="nil"/>
            </w:tcBorders>
            <w:shd w:val="clear" w:color="auto" w:fill="auto"/>
            <w:noWrap/>
            <w:vAlign w:val="bottom"/>
          </w:tcPr>
          <w:p>
            <w:pPr>
              <w:widowControl/>
              <w:jc w:val="right"/>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单位：元</w:t>
            </w:r>
          </w:p>
        </w:tc>
      </w:tr>
      <w:tr>
        <w:tblPrEx>
          <w:tblCellMar>
            <w:top w:w="0" w:type="dxa"/>
            <w:left w:w="108" w:type="dxa"/>
            <w:bottom w:w="0" w:type="dxa"/>
            <w:right w:w="108" w:type="dxa"/>
          </w:tblCellMar>
        </w:tblPrEx>
        <w:trPr>
          <w:trHeight w:val="308" w:hRule="atLeast"/>
        </w:trPr>
        <w:tc>
          <w:tcPr>
            <w:tcW w:w="39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项目</w:t>
            </w:r>
          </w:p>
        </w:tc>
        <w:tc>
          <w:tcPr>
            <w:tcW w:w="10018" w:type="dxa"/>
            <w:gridSpan w:val="6"/>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本年支出</w:t>
            </w:r>
          </w:p>
        </w:tc>
      </w:tr>
      <w:tr>
        <w:tblPrEx>
          <w:tblCellMar>
            <w:top w:w="0" w:type="dxa"/>
            <w:left w:w="108" w:type="dxa"/>
            <w:bottom w:w="0" w:type="dxa"/>
            <w:right w:w="108" w:type="dxa"/>
          </w:tblCellMar>
        </w:tblPrEx>
        <w:trPr>
          <w:trHeight w:val="308" w:hRule="atLeast"/>
        </w:trPr>
        <w:tc>
          <w:tcPr>
            <w:tcW w:w="1111" w:type="dxa"/>
            <w:tcBorders>
              <w:top w:val="nil"/>
              <w:left w:val="single" w:color="000000" w:sz="4" w:space="0"/>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2863" w:type="dxa"/>
            <w:tcBorders>
              <w:top w:val="nil"/>
              <w:left w:val="nil"/>
              <w:bottom w:val="nil"/>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科目名称（二级项目名称）</w:t>
            </w:r>
          </w:p>
        </w:tc>
        <w:tc>
          <w:tcPr>
            <w:tcW w:w="1738"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615"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一般公共预算</w:t>
            </w:r>
          </w:p>
        </w:tc>
        <w:tc>
          <w:tcPr>
            <w:tcW w:w="1704"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政府性基金预算</w:t>
            </w:r>
          </w:p>
        </w:tc>
        <w:tc>
          <w:tcPr>
            <w:tcW w:w="1690"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国有资本经营预算</w:t>
            </w:r>
          </w:p>
        </w:tc>
        <w:tc>
          <w:tcPr>
            <w:tcW w:w="1679"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财政专户管理资金</w:t>
            </w:r>
          </w:p>
        </w:tc>
        <w:tc>
          <w:tcPr>
            <w:tcW w:w="1592"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单位资金</w:t>
            </w:r>
          </w:p>
        </w:tc>
      </w:tr>
      <w:tr>
        <w:tblPrEx>
          <w:tblCellMar>
            <w:top w:w="0" w:type="dxa"/>
            <w:left w:w="108" w:type="dxa"/>
            <w:bottom w:w="0" w:type="dxa"/>
            <w:right w:w="108" w:type="dxa"/>
          </w:tblCellMar>
        </w:tblPrEx>
        <w:trPr>
          <w:trHeight w:val="1180" w:hRule="atLeast"/>
        </w:trPr>
        <w:tc>
          <w:tcPr>
            <w:tcW w:w="39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3,591,485.50</w:t>
            </w:r>
          </w:p>
        </w:tc>
        <w:tc>
          <w:tcPr>
            <w:tcW w:w="16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3,591,485.50</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1"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w:t>
            </w:r>
          </w:p>
        </w:tc>
        <w:tc>
          <w:tcPr>
            <w:tcW w:w="286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文化旅游体育与传媒支出</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3,591,485.50</w:t>
            </w:r>
          </w:p>
        </w:tc>
        <w:tc>
          <w:tcPr>
            <w:tcW w:w="1615"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3,591,485.50</w:t>
            </w:r>
          </w:p>
        </w:tc>
        <w:tc>
          <w:tcPr>
            <w:tcW w:w="1704"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90"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9"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92"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1"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20701</w:t>
            </w:r>
          </w:p>
        </w:tc>
        <w:tc>
          <w:tcPr>
            <w:tcW w:w="286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文化和旅游</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2,194,998.34</w:t>
            </w:r>
          </w:p>
        </w:tc>
        <w:tc>
          <w:tcPr>
            <w:tcW w:w="1615"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2,194,998.34</w:t>
            </w:r>
          </w:p>
        </w:tc>
        <w:tc>
          <w:tcPr>
            <w:tcW w:w="1704"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90"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9"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92"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1"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2070109</w:t>
            </w:r>
          </w:p>
        </w:tc>
        <w:tc>
          <w:tcPr>
            <w:tcW w:w="286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群众文化</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2,194,998.34</w:t>
            </w:r>
          </w:p>
        </w:tc>
        <w:tc>
          <w:tcPr>
            <w:tcW w:w="1615"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2,194,998.34</w:t>
            </w:r>
          </w:p>
        </w:tc>
        <w:tc>
          <w:tcPr>
            <w:tcW w:w="1704"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90"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9"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92"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1"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2070109</w:t>
            </w:r>
          </w:p>
        </w:tc>
        <w:tc>
          <w:tcPr>
            <w:tcW w:w="286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2023年中央支持地方公共文化服务体系建设补助资金</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651,852.90</w:t>
            </w:r>
          </w:p>
        </w:tc>
        <w:tc>
          <w:tcPr>
            <w:tcW w:w="1615"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651,852.90</w:t>
            </w:r>
          </w:p>
        </w:tc>
        <w:tc>
          <w:tcPr>
            <w:tcW w:w="1704"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90"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9"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92"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1"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2070109</w:t>
            </w:r>
          </w:p>
        </w:tc>
        <w:tc>
          <w:tcPr>
            <w:tcW w:w="286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2024年中央支持地方公共文化服务体系建设补助资金</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368,038.50</w:t>
            </w:r>
          </w:p>
        </w:tc>
        <w:tc>
          <w:tcPr>
            <w:tcW w:w="1615"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368,038.50</w:t>
            </w:r>
          </w:p>
        </w:tc>
        <w:tc>
          <w:tcPr>
            <w:tcW w:w="1704"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90"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9"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92"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1"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2070109</w:t>
            </w:r>
          </w:p>
        </w:tc>
        <w:tc>
          <w:tcPr>
            <w:tcW w:w="286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2024年抚恤金第一批</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45,760.00</w:t>
            </w:r>
          </w:p>
        </w:tc>
        <w:tc>
          <w:tcPr>
            <w:tcW w:w="1615"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45,760.00</w:t>
            </w:r>
          </w:p>
        </w:tc>
        <w:tc>
          <w:tcPr>
            <w:tcW w:w="1704"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90"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9"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92"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1"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2070109</w:t>
            </w:r>
          </w:p>
        </w:tc>
        <w:tc>
          <w:tcPr>
            <w:tcW w:w="286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伙食费</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105,000.00</w:t>
            </w:r>
          </w:p>
        </w:tc>
        <w:tc>
          <w:tcPr>
            <w:tcW w:w="1615"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105,000.00</w:t>
            </w:r>
          </w:p>
        </w:tc>
        <w:tc>
          <w:tcPr>
            <w:tcW w:w="1704"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90"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9"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92"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1"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2070109</w:t>
            </w:r>
          </w:p>
        </w:tc>
        <w:tc>
          <w:tcPr>
            <w:tcW w:w="286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2024年免费开放资金区级资金</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100,000.00</w:t>
            </w:r>
          </w:p>
        </w:tc>
        <w:tc>
          <w:tcPr>
            <w:tcW w:w="1615"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100,000.00</w:t>
            </w:r>
          </w:p>
        </w:tc>
        <w:tc>
          <w:tcPr>
            <w:tcW w:w="1704"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90"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9"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92"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1"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2070109</w:t>
            </w:r>
          </w:p>
        </w:tc>
        <w:tc>
          <w:tcPr>
            <w:tcW w:w="286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2024年抚恤金第二批</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22,450.20</w:t>
            </w:r>
          </w:p>
        </w:tc>
        <w:tc>
          <w:tcPr>
            <w:tcW w:w="1615"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22,450.20</w:t>
            </w:r>
          </w:p>
        </w:tc>
        <w:tc>
          <w:tcPr>
            <w:tcW w:w="1704"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90"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9"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92"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1"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2070109</w:t>
            </w:r>
          </w:p>
        </w:tc>
        <w:tc>
          <w:tcPr>
            <w:tcW w:w="286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2023年基层公共文化服务体系建设中央补助资金免费开放</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149,355.80</w:t>
            </w:r>
          </w:p>
        </w:tc>
        <w:tc>
          <w:tcPr>
            <w:tcW w:w="1615"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149,355.80</w:t>
            </w:r>
          </w:p>
        </w:tc>
        <w:tc>
          <w:tcPr>
            <w:tcW w:w="1704"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90"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9"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92"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1"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2070109</w:t>
            </w:r>
          </w:p>
        </w:tc>
        <w:tc>
          <w:tcPr>
            <w:tcW w:w="286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物业管理费</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493,947.30</w:t>
            </w:r>
          </w:p>
        </w:tc>
        <w:tc>
          <w:tcPr>
            <w:tcW w:w="1615"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493,947.30</w:t>
            </w:r>
          </w:p>
        </w:tc>
        <w:tc>
          <w:tcPr>
            <w:tcW w:w="1704"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90"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9"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92"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1"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2070109</w:t>
            </w:r>
          </w:p>
        </w:tc>
        <w:tc>
          <w:tcPr>
            <w:tcW w:w="286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经费补助</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258,593.64</w:t>
            </w:r>
          </w:p>
        </w:tc>
        <w:tc>
          <w:tcPr>
            <w:tcW w:w="1615"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258,593.64</w:t>
            </w:r>
          </w:p>
        </w:tc>
        <w:tc>
          <w:tcPr>
            <w:tcW w:w="1704"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90"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9"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92"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1"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20702</w:t>
            </w:r>
          </w:p>
        </w:tc>
        <w:tc>
          <w:tcPr>
            <w:tcW w:w="286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文物</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1,396,487.16</w:t>
            </w:r>
          </w:p>
        </w:tc>
        <w:tc>
          <w:tcPr>
            <w:tcW w:w="1615"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1,396,487.16</w:t>
            </w:r>
          </w:p>
        </w:tc>
        <w:tc>
          <w:tcPr>
            <w:tcW w:w="1704"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90"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9"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92"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1"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2070204</w:t>
            </w:r>
          </w:p>
        </w:tc>
        <w:tc>
          <w:tcPr>
            <w:tcW w:w="286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文物保护</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1,396,487.16</w:t>
            </w:r>
          </w:p>
        </w:tc>
        <w:tc>
          <w:tcPr>
            <w:tcW w:w="1615"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1,396,487.16</w:t>
            </w:r>
          </w:p>
        </w:tc>
        <w:tc>
          <w:tcPr>
            <w:tcW w:w="1704"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90"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9"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92"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1"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2070204</w:t>
            </w:r>
          </w:p>
        </w:tc>
        <w:tc>
          <w:tcPr>
            <w:tcW w:w="286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2023年国家文物保护资金李纯祠堂安防工程</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1,179,932.85</w:t>
            </w:r>
          </w:p>
        </w:tc>
        <w:tc>
          <w:tcPr>
            <w:tcW w:w="1615"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1,179,932.85</w:t>
            </w:r>
          </w:p>
        </w:tc>
        <w:tc>
          <w:tcPr>
            <w:tcW w:w="1704"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90"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9"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92"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1"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2070204</w:t>
            </w:r>
          </w:p>
        </w:tc>
        <w:tc>
          <w:tcPr>
            <w:tcW w:w="286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2024年国家文物保护专项资金李纯祠堂防雷工程</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216,554.31</w:t>
            </w:r>
          </w:p>
        </w:tc>
        <w:tc>
          <w:tcPr>
            <w:tcW w:w="1615"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216,554.31</w:t>
            </w:r>
          </w:p>
        </w:tc>
        <w:tc>
          <w:tcPr>
            <w:tcW w:w="1704"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90"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9"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592"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992" w:type="dxa"/>
            <w:gridSpan w:val="8"/>
            <w:tcBorders>
              <w:top w:val="nil"/>
              <w:left w:val="nil"/>
              <w:bottom w:val="nil"/>
              <w:right w:val="nil"/>
            </w:tcBorders>
            <w:shd w:val="clear" w:color="auto" w:fill="auto"/>
            <w:noWrap/>
            <w:vAlign w:val="center"/>
          </w:tcPr>
          <w:p>
            <w:pPr>
              <w:widowControl/>
              <w:jc w:val="lef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注：本表反映本年度项目支出决算情况，其中支出数包括当年预算资金和以前年度结转资金安排的合计实际支出。</w:t>
            </w:r>
          </w:p>
        </w:tc>
      </w:tr>
    </w:tbl>
    <w:p>
      <w:pPr>
        <w:rPr>
          <w:rFonts w:asciiTheme="minorEastAsia" w:hAnsiTheme="minorEastAsia" w:cstheme="minorEastAsia"/>
          <w:sz w:val="22"/>
          <w:szCs w:val="22"/>
        </w:rPr>
      </w:pPr>
    </w:p>
    <w:p>
      <w:pPr>
        <w:rPr>
          <w:rFonts w:asciiTheme="minorEastAsia" w:hAnsiTheme="minorEastAsia" w:cstheme="minorEastAsia"/>
          <w:sz w:val="22"/>
          <w:szCs w:val="22"/>
        </w:rPr>
        <w:sectPr>
          <w:pgSz w:w="16838" w:h="11906" w:orient="landscape"/>
          <w:pgMar w:top="2098" w:right="1531" w:bottom="1984" w:left="1531" w:header="851" w:footer="992" w:gutter="0"/>
          <w:pgNumType w:fmt="decimal"/>
          <w:cols w:space="720" w:num="1"/>
          <w:docGrid w:type="lines" w:linePitch="312" w:charSpace="0"/>
        </w:sectPr>
      </w:pPr>
    </w:p>
    <w:p>
      <w:pPr>
        <w:widowControl/>
        <w:spacing w:line="360" w:lineRule="auto"/>
        <w:jc w:val="center"/>
        <w:outlineLvl w:val="0"/>
        <w:rPr>
          <w:rFonts w:ascii="黑体" w:eastAsia="黑体"/>
          <w:sz w:val="44"/>
          <w:szCs w:val="44"/>
        </w:rPr>
      </w:pPr>
      <w:r>
        <w:rPr>
          <w:rFonts w:ascii="黑体" w:eastAsia="黑体"/>
          <w:sz w:val="44"/>
          <w:szCs w:val="44"/>
        </w:rPr>
        <w:t>第三部分  2024年度部门决算情况说明</w:t>
      </w:r>
    </w:p>
    <w:p>
      <w:pPr>
        <w:widowControl/>
        <w:spacing w:line="360" w:lineRule="auto"/>
        <w:ind w:firstLine="602" w:firstLineChars="200"/>
        <w:jc w:val="left"/>
        <w:outlineLvl w:val="1"/>
        <w:rPr>
          <w:rFonts w:ascii="宋体" w:eastAsia="黑体"/>
          <w:sz w:val="30"/>
          <w:szCs w:val="30"/>
        </w:rPr>
      </w:pPr>
      <w:r>
        <w:rPr>
          <w:rFonts w:ascii="宋体" w:eastAsia="黑体"/>
          <w:b/>
          <w:sz w:val="30"/>
          <w:szCs w:val="30"/>
        </w:rPr>
        <w:t>一、收入支出决算总体情况说明</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天津市南开区文化馆2024年度收入、支出决算总计10,020,737.11元。与2023年度相比，收、支总计各增加1,175,122.34元，增长13.285%，主要原因是</w:t>
      </w:r>
      <w:r>
        <w:rPr>
          <w:rFonts w:hint="eastAsia" w:ascii="Times New Roman" w:eastAsia="仿宋_GB2312"/>
          <w:sz w:val="30"/>
          <w:szCs w:val="30"/>
        </w:rPr>
        <w:t>增加</w:t>
      </w:r>
      <w:r>
        <w:rPr>
          <w:rFonts w:hint="eastAsia" w:ascii="Times New Roman" w:eastAsia="仿宋_GB2312"/>
          <w:sz w:val="30"/>
          <w:szCs w:val="30"/>
          <w:lang w:eastAsia="zh-CN"/>
        </w:rPr>
        <w:t>国家级</w:t>
      </w:r>
      <w:r>
        <w:rPr>
          <w:rFonts w:hint="eastAsia" w:ascii="Times New Roman" w:eastAsia="仿宋_GB2312"/>
          <w:sz w:val="30"/>
          <w:szCs w:val="30"/>
        </w:rPr>
        <w:t>文物保护</w:t>
      </w:r>
      <w:r>
        <w:rPr>
          <w:rFonts w:hint="eastAsia" w:ascii="Times New Roman" w:eastAsia="仿宋_GB2312"/>
          <w:sz w:val="30"/>
          <w:szCs w:val="30"/>
          <w:lang w:eastAsia="zh-CN"/>
        </w:rPr>
        <w:t>专项</w:t>
      </w:r>
      <w:r>
        <w:rPr>
          <w:rFonts w:hint="eastAsia" w:ascii="Times New Roman" w:eastAsia="仿宋_GB2312"/>
          <w:sz w:val="30"/>
          <w:szCs w:val="30"/>
        </w:rPr>
        <w:t>资金用于李纯祠堂安防及防雷工程</w:t>
      </w:r>
      <w:r>
        <w:rPr>
          <w:rFonts w:ascii="Times New Roman" w:eastAsia="仿宋_GB2312"/>
          <w:sz w:val="30"/>
          <w:szCs w:val="30"/>
        </w:rPr>
        <w:t>。</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收入包括：一般公共预算财政拨款收入10,020,737.11元。</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支出包括：文化旅游体育与传媒支出9,255,202.24元、社会保障和就业支出540,371.04元、卫生健康支出225,156.52元。</w:t>
      </w:r>
    </w:p>
    <w:p>
      <w:pPr>
        <w:widowControl/>
        <w:spacing w:line="360" w:lineRule="auto"/>
        <w:ind w:firstLine="602" w:firstLineChars="200"/>
        <w:jc w:val="left"/>
        <w:outlineLvl w:val="1"/>
        <w:rPr>
          <w:rFonts w:ascii="宋体" w:eastAsia="黑体"/>
          <w:sz w:val="30"/>
          <w:szCs w:val="30"/>
        </w:rPr>
      </w:pPr>
      <w:r>
        <w:rPr>
          <w:rFonts w:ascii="宋体" w:eastAsia="黑体"/>
          <w:b/>
          <w:sz w:val="30"/>
          <w:szCs w:val="30"/>
        </w:rPr>
        <w:t>二、收入决算情况说明</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天津市南开区文化馆2024年度本年收入合计10,020,737.11元，与2023年度相比增加1,175,122.34元，主要原因是</w:t>
      </w:r>
      <w:r>
        <w:rPr>
          <w:rFonts w:hint="eastAsia" w:ascii="Times New Roman" w:eastAsia="仿宋_GB2312"/>
          <w:sz w:val="30"/>
          <w:szCs w:val="30"/>
        </w:rPr>
        <w:t>增加</w:t>
      </w:r>
      <w:r>
        <w:rPr>
          <w:rFonts w:hint="eastAsia" w:ascii="Times New Roman" w:eastAsia="仿宋_GB2312"/>
          <w:sz w:val="30"/>
          <w:szCs w:val="30"/>
          <w:lang w:eastAsia="zh-CN"/>
        </w:rPr>
        <w:t>国家级</w:t>
      </w:r>
      <w:r>
        <w:rPr>
          <w:rFonts w:hint="eastAsia" w:ascii="Times New Roman" w:eastAsia="仿宋_GB2312"/>
          <w:sz w:val="30"/>
          <w:szCs w:val="30"/>
        </w:rPr>
        <w:t>文物保护</w:t>
      </w:r>
      <w:r>
        <w:rPr>
          <w:rFonts w:hint="eastAsia" w:ascii="Times New Roman" w:eastAsia="仿宋_GB2312"/>
          <w:sz w:val="30"/>
          <w:szCs w:val="30"/>
          <w:lang w:eastAsia="zh-CN"/>
        </w:rPr>
        <w:t>专项</w:t>
      </w:r>
      <w:r>
        <w:rPr>
          <w:rFonts w:hint="eastAsia" w:ascii="Times New Roman" w:eastAsia="仿宋_GB2312"/>
          <w:sz w:val="30"/>
          <w:szCs w:val="30"/>
        </w:rPr>
        <w:t>资金用于李纯祠堂安防及防雷工程</w:t>
      </w:r>
      <w:r>
        <w:rPr>
          <w:rFonts w:ascii="Times New Roman" w:eastAsia="仿宋_GB2312"/>
          <w:sz w:val="30"/>
          <w:szCs w:val="30"/>
        </w:rPr>
        <w:t>。其中：</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一般公共预算财政拨款收入10,020,737.11元，占100.000%。</w:t>
      </w:r>
    </w:p>
    <w:p>
      <w:pPr>
        <w:widowControl/>
        <w:spacing w:line="360" w:lineRule="auto"/>
        <w:ind w:firstLine="602" w:firstLineChars="200"/>
        <w:jc w:val="left"/>
        <w:outlineLvl w:val="1"/>
        <w:rPr>
          <w:rFonts w:ascii="宋体" w:eastAsia="黑体"/>
          <w:sz w:val="30"/>
          <w:szCs w:val="30"/>
        </w:rPr>
      </w:pPr>
      <w:r>
        <w:rPr>
          <w:rFonts w:ascii="宋体" w:eastAsia="黑体"/>
          <w:b/>
          <w:sz w:val="30"/>
          <w:szCs w:val="30"/>
        </w:rPr>
        <w:t>三、支出决算情况说明</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天津市南开区文化馆2024年度本年支出合计10,020,729.80元，与2023年度相比增加1,175,115.03元，主要原因是</w:t>
      </w:r>
      <w:r>
        <w:rPr>
          <w:rFonts w:hint="eastAsia" w:ascii="Times New Roman" w:eastAsia="仿宋_GB2312"/>
          <w:sz w:val="30"/>
          <w:szCs w:val="30"/>
        </w:rPr>
        <w:t>增加</w:t>
      </w:r>
      <w:r>
        <w:rPr>
          <w:rFonts w:hint="eastAsia" w:ascii="Times New Roman" w:eastAsia="仿宋_GB2312"/>
          <w:sz w:val="30"/>
          <w:szCs w:val="30"/>
          <w:lang w:eastAsia="zh-CN"/>
        </w:rPr>
        <w:t>国家级</w:t>
      </w:r>
      <w:r>
        <w:rPr>
          <w:rFonts w:hint="eastAsia" w:ascii="Times New Roman" w:eastAsia="仿宋_GB2312"/>
          <w:sz w:val="30"/>
          <w:szCs w:val="30"/>
        </w:rPr>
        <w:t>文物保护</w:t>
      </w:r>
      <w:r>
        <w:rPr>
          <w:rFonts w:hint="eastAsia" w:ascii="Times New Roman" w:eastAsia="仿宋_GB2312"/>
          <w:sz w:val="30"/>
          <w:szCs w:val="30"/>
          <w:lang w:eastAsia="zh-CN"/>
        </w:rPr>
        <w:t>专项</w:t>
      </w:r>
      <w:r>
        <w:rPr>
          <w:rFonts w:hint="eastAsia" w:ascii="Times New Roman" w:eastAsia="仿宋_GB2312"/>
          <w:sz w:val="30"/>
          <w:szCs w:val="30"/>
        </w:rPr>
        <w:t>资金用于李纯祠堂安防及防雷工程</w:t>
      </w:r>
      <w:r>
        <w:rPr>
          <w:rFonts w:ascii="Times New Roman" w:eastAsia="仿宋_GB2312"/>
          <w:sz w:val="30"/>
          <w:szCs w:val="30"/>
        </w:rPr>
        <w:t>。其中：</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基本支出6,429,244.30元，占64.159%；项目支出3,591,485.50元，占35.841%。</w:t>
      </w:r>
    </w:p>
    <w:p>
      <w:pPr>
        <w:widowControl/>
        <w:spacing w:line="360" w:lineRule="auto"/>
        <w:ind w:firstLine="602" w:firstLineChars="200"/>
        <w:jc w:val="left"/>
        <w:outlineLvl w:val="1"/>
        <w:rPr>
          <w:rFonts w:ascii="宋体" w:eastAsia="黑体"/>
          <w:sz w:val="30"/>
          <w:szCs w:val="30"/>
        </w:rPr>
      </w:pPr>
      <w:r>
        <w:rPr>
          <w:rFonts w:ascii="宋体" w:eastAsia="黑体"/>
          <w:b/>
          <w:sz w:val="30"/>
          <w:szCs w:val="30"/>
        </w:rPr>
        <w:t>四、财政拨款收支决算总体情况说明</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天津市南开区文化馆2024年度财政拨款收入、支出决算总计10,020,737.11元。与2023年度相比，财政拨款收、支总计各增加1,175,122.34元，增长13.285%，主要原因是</w:t>
      </w:r>
      <w:r>
        <w:rPr>
          <w:rFonts w:hint="eastAsia" w:ascii="Times New Roman" w:eastAsia="仿宋_GB2312"/>
          <w:sz w:val="30"/>
          <w:szCs w:val="30"/>
        </w:rPr>
        <w:t>增加</w:t>
      </w:r>
      <w:r>
        <w:rPr>
          <w:rFonts w:hint="eastAsia" w:ascii="Times New Roman" w:eastAsia="仿宋_GB2312"/>
          <w:sz w:val="30"/>
          <w:szCs w:val="30"/>
          <w:lang w:eastAsia="zh-CN"/>
        </w:rPr>
        <w:t>国家级</w:t>
      </w:r>
      <w:r>
        <w:rPr>
          <w:rFonts w:hint="eastAsia" w:ascii="Times New Roman" w:eastAsia="仿宋_GB2312"/>
          <w:sz w:val="30"/>
          <w:szCs w:val="30"/>
        </w:rPr>
        <w:t>文物保护</w:t>
      </w:r>
      <w:r>
        <w:rPr>
          <w:rFonts w:hint="eastAsia" w:ascii="Times New Roman" w:eastAsia="仿宋_GB2312"/>
          <w:sz w:val="30"/>
          <w:szCs w:val="30"/>
          <w:lang w:eastAsia="zh-CN"/>
        </w:rPr>
        <w:t>专项</w:t>
      </w:r>
      <w:r>
        <w:rPr>
          <w:rFonts w:hint="eastAsia" w:ascii="Times New Roman" w:eastAsia="仿宋_GB2312"/>
          <w:sz w:val="30"/>
          <w:szCs w:val="30"/>
        </w:rPr>
        <w:t>资金用于李纯祠堂安防及防雷工程</w:t>
      </w:r>
      <w:r>
        <w:rPr>
          <w:rFonts w:ascii="Times New Roman" w:eastAsia="仿宋_GB2312"/>
          <w:sz w:val="30"/>
          <w:szCs w:val="30"/>
        </w:rPr>
        <w:t>。</w:t>
      </w:r>
    </w:p>
    <w:p>
      <w:pPr>
        <w:widowControl/>
        <w:spacing w:line="360" w:lineRule="auto"/>
        <w:ind w:firstLine="600" w:firstLineChars="200"/>
        <w:jc w:val="left"/>
        <w:outlineLvl w:val="1"/>
        <w:rPr>
          <w:rFonts w:ascii="Times New Roman" w:eastAsia="仿宋_GB2312"/>
          <w:sz w:val="30"/>
          <w:szCs w:val="30"/>
        </w:rPr>
      </w:pPr>
      <w:r>
        <w:rPr>
          <w:rFonts w:ascii="Times New Roman" w:eastAsia="仿宋_GB2312"/>
          <w:sz w:val="30"/>
          <w:szCs w:val="30"/>
        </w:rPr>
        <w:t>收入包括：一般公共预算财政拨款10,020,737.11元。</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支出包括：文化旅游体育与传媒支出9,255,202.24元、社会保障和就业支出540,371.04元、卫生健康支出225,156.52元。</w:t>
      </w:r>
    </w:p>
    <w:p>
      <w:pPr>
        <w:widowControl/>
        <w:spacing w:line="360" w:lineRule="auto"/>
        <w:ind w:firstLine="602" w:firstLineChars="200"/>
        <w:jc w:val="left"/>
        <w:outlineLvl w:val="1"/>
        <w:rPr>
          <w:rFonts w:ascii="宋体" w:eastAsia="黑体"/>
          <w:sz w:val="30"/>
          <w:szCs w:val="30"/>
        </w:rPr>
      </w:pPr>
      <w:r>
        <w:rPr>
          <w:rFonts w:ascii="宋体" w:eastAsia="黑体"/>
          <w:b/>
          <w:sz w:val="30"/>
          <w:szCs w:val="30"/>
        </w:rPr>
        <w:t>五、一般公共预算财政拨款支出决算情况说明</w:t>
      </w:r>
    </w:p>
    <w:p>
      <w:pPr>
        <w:widowControl/>
        <w:spacing w:line="360" w:lineRule="auto"/>
        <w:ind w:firstLine="602" w:firstLineChars="200"/>
        <w:jc w:val="left"/>
        <w:rPr>
          <w:rFonts w:ascii="楷体" w:eastAsia="楷体"/>
          <w:sz w:val="30"/>
          <w:szCs w:val="30"/>
        </w:rPr>
      </w:pPr>
      <w:r>
        <w:rPr>
          <w:rFonts w:ascii="楷体" w:eastAsia="楷体"/>
          <w:b/>
          <w:sz w:val="30"/>
          <w:szCs w:val="30"/>
        </w:rPr>
        <w:t>（一）总体情况</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天津市南开区文化馆2024年度部门决算一般公共预算财政拨款支出合计10,020,729.80元，占本年支出合计的100.000%。与2023年度相比，一般公共预算财政拨款支出增加1,175,115.03元，增长13.285%，主要原因是</w:t>
      </w:r>
      <w:r>
        <w:rPr>
          <w:rFonts w:hint="eastAsia" w:ascii="Times New Roman" w:eastAsia="仿宋_GB2312"/>
          <w:sz w:val="30"/>
          <w:szCs w:val="30"/>
        </w:rPr>
        <w:t>增加</w:t>
      </w:r>
      <w:r>
        <w:rPr>
          <w:rFonts w:hint="eastAsia" w:ascii="Times New Roman" w:eastAsia="仿宋_GB2312"/>
          <w:sz w:val="30"/>
          <w:szCs w:val="30"/>
          <w:lang w:eastAsia="zh-CN"/>
        </w:rPr>
        <w:t>国家级</w:t>
      </w:r>
      <w:r>
        <w:rPr>
          <w:rFonts w:hint="eastAsia" w:ascii="Times New Roman" w:eastAsia="仿宋_GB2312"/>
          <w:sz w:val="30"/>
          <w:szCs w:val="30"/>
        </w:rPr>
        <w:t>文物保护</w:t>
      </w:r>
      <w:r>
        <w:rPr>
          <w:rFonts w:hint="eastAsia" w:ascii="Times New Roman" w:eastAsia="仿宋_GB2312"/>
          <w:sz w:val="30"/>
          <w:szCs w:val="30"/>
          <w:lang w:eastAsia="zh-CN"/>
        </w:rPr>
        <w:t>专项</w:t>
      </w:r>
      <w:r>
        <w:rPr>
          <w:rFonts w:hint="eastAsia" w:ascii="Times New Roman" w:eastAsia="仿宋_GB2312"/>
          <w:sz w:val="30"/>
          <w:szCs w:val="30"/>
        </w:rPr>
        <w:t>资金用于李纯祠堂安防及防雷工程</w:t>
      </w:r>
      <w:r>
        <w:rPr>
          <w:rFonts w:ascii="Times New Roman" w:eastAsia="仿宋_GB2312"/>
          <w:sz w:val="30"/>
          <w:szCs w:val="30"/>
        </w:rPr>
        <w:t>。</w:t>
      </w:r>
    </w:p>
    <w:p>
      <w:pPr>
        <w:widowControl/>
        <w:spacing w:line="360" w:lineRule="auto"/>
        <w:ind w:firstLine="602" w:firstLineChars="200"/>
        <w:jc w:val="left"/>
        <w:rPr>
          <w:rFonts w:ascii="楷体" w:eastAsia="楷体"/>
          <w:sz w:val="30"/>
          <w:szCs w:val="30"/>
        </w:rPr>
      </w:pPr>
      <w:r>
        <w:rPr>
          <w:rFonts w:ascii="楷体" w:eastAsia="楷体"/>
          <w:b/>
          <w:sz w:val="30"/>
          <w:szCs w:val="30"/>
        </w:rPr>
        <w:t>（二）支出结构情况</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2024年度一般公共预算财政拨款支出10,020,729.80元，主要用于以下方面：文化旅游体育与传媒支出（类）9,255,202.24元，占92.361%；社会保障和就业支出（类）540,371.04元，占5.393%；卫生健康支出（类）225,156.52元，占2.247%。</w:t>
      </w:r>
    </w:p>
    <w:p>
      <w:pPr>
        <w:widowControl/>
        <w:spacing w:line="360" w:lineRule="auto"/>
        <w:ind w:firstLine="602" w:firstLineChars="200"/>
        <w:jc w:val="left"/>
        <w:rPr>
          <w:rFonts w:ascii="楷体" w:eastAsia="楷体"/>
          <w:sz w:val="30"/>
          <w:szCs w:val="30"/>
        </w:rPr>
      </w:pPr>
      <w:r>
        <w:rPr>
          <w:rFonts w:ascii="楷体" w:eastAsia="楷体"/>
          <w:b/>
          <w:sz w:val="30"/>
          <w:szCs w:val="30"/>
        </w:rPr>
        <w:t>（三）具体情况</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2024年度一般公共预算财政拨款支出年初预算为10,465,725.16元，支出决算为10,020,729.80元，完成年初预算的95.748%。其中： </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1.​文化旅游体育与传媒支出(类)文化和旅游(款)群众文化(项)年初预算为8,285,089.96元，支出决算为7,858,715.08元，完成年初预算的94.854%，决算数小于年初预算数的主要原因是</w:t>
      </w:r>
      <w:r>
        <w:rPr>
          <w:rFonts w:hint="eastAsia" w:ascii="Times New Roman" w:eastAsia="仿宋_GB2312"/>
          <w:b w:val="0"/>
          <w:sz w:val="30"/>
          <w:szCs w:val="30"/>
          <w:lang w:eastAsia="zh-CN"/>
        </w:rPr>
        <w:t>部分群众文化活动款项未支付</w:t>
      </w:r>
      <w:r>
        <w:rPr>
          <w:rFonts w:ascii="Times New Roman" w:eastAsia="仿宋_GB2312"/>
          <w:sz w:val="30"/>
          <w:szCs w:val="30"/>
        </w:rPr>
        <w:t>。</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2.​文化旅游体育与传媒支出(类)文物(款)文物保护(项)年初预算为1,320,000.00元，支出决算为1,396,487.16元，完成年初预算的105.794%，决算数大于年初预算数的主要原因是</w:t>
      </w:r>
      <w:r>
        <w:rPr>
          <w:rFonts w:hint="eastAsia" w:ascii="Times New Roman" w:eastAsia="仿宋_GB2312"/>
          <w:sz w:val="30"/>
          <w:szCs w:val="30"/>
          <w:lang w:eastAsia="zh-CN"/>
        </w:rPr>
        <w:t>增加并支付国家级</w:t>
      </w:r>
      <w:r>
        <w:rPr>
          <w:rFonts w:hint="eastAsia" w:ascii="Times New Roman" w:eastAsia="仿宋_GB2312"/>
          <w:sz w:val="30"/>
          <w:szCs w:val="30"/>
        </w:rPr>
        <w:t>文物保护</w:t>
      </w:r>
      <w:r>
        <w:rPr>
          <w:rFonts w:hint="eastAsia" w:ascii="Times New Roman" w:eastAsia="仿宋_GB2312"/>
          <w:sz w:val="30"/>
          <w:szCs w:val="30"/>
          <w:lang w:eastAsia="zh-CN"/>
        </w:rPr>
        <w:t>专项</w:t>
      </w:r>
      <w:r>
        <w:rPr>
          <w:rFonts w:hint="eastAsia" w:ascii="Times New Roman" w:eastAsia="仿宋_GB2312"/>
          <w:sz w:val="30"/>
          <w:szCs w:val="30"/>
        </w:rPr>
        <w:t>资金用于李纯祠堂安防及防雷工程</w:t>
      </w:r>
      <w:r>
        <w:rPr>
          <w:rFonts w:ascii="Times New Roman" w:eastAsia="仿宋_GB2312"/>
          <w:sz w:val="30"/>
          <w:szCs w:val="30"/>
        </w:rPr>
        <w:t>。</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3.​社会保障和就业支出(类)行政事业单位养老支出(款)机关事业单位基本养老保险缴费支出(项)年初预算为405,004.80元，支出决算为360,247.36元，完成年初预算的88.949%，决算数小于年初预算数的主要原因是</w:t>
      </w:r>
      <w:r>
        <w:rPr>
          <w:rFonts w:hint="eastAsia" w:ascii="Times New Roman" w:eastAsia="仿宋_GB2312"/>
          <w:sz w:val="30"/>
          <w:szCs w:val="30"/>
        </w:rPr>
        <w:t>有退休人员，人员经费减少</w:t>
      </w:r>
      <w:r>
        <w:rPr>
          <w:rFonts w:ascii="Times New Roman" w:eastAsia="仿宋_GB2312"/>
          <w:sz w:val="30"/>
          <w:szCs w:val="30"/>
        </w:rPr>
        <w:t>。</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4.​社会保障和就业支出(类)行政事业单位养老支出(款)机关事业单位职业年金缴费支出(项)年初预算为202,502.40元，支出决算为180,123.68元，完成年初预算的88.949%，决算数小于年初预算数的主要原因是</w:t>
      </w:r>
      <w:r>
        <w:rPr>
          <w:rFonts w:hint="eastAsia" w:ascii="Times New Roman" w:eastAsia="仿宋_GB2312"/>
          <w:sz w:val="30"/>
          <w:szCs w:val="30"/>
        </w:rPr>
        <w:t>有退休人员，人员经费减少</w:t>
      </w:r>
      <w:r>
        <w:rPr>
          <w:rFonts w:ascii="Times New Roman" w:eastAsia="仿宋_GB2312"/>
          <w:sz w:val="30"/>
          <w:szCs w:val="30"/>
        </w:rPr>
        <w:t>。</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5.​卫生健康支出(类)行政事业单位医疗(款)事业单位医疗(项)年初预算为253,128.00元，支出决算为225,156.52元，完成年初预算的88.950%，决算数小于年初预算数的主要原因是</w:t>
      </w:r>
      <w:r>
        <w:rPr>
          <w:rFonts w:hint="eastAsia" w:ascii="Times New Roman" w:eastAsia="仿宋_GB2312"/>
          <w:sz w:val="30"/>
          <w:szCs w:val="30"/>
        </w:rPr>
        <w:t>有退休人员，人员经费减少</w:t>
      </w:r>
      <w:r>
        <w:rPr>
          <w:rFonts w:ascii="Times New Roman" w:eastAsia="仿宋_GB2312"/>
          <w:sz w:val="30"/>
          <w:szCs w:val="30"/>
        </w:rPr>
        <w:t>。</w:t>
      </w:r>
    </w:p>
    <w:p>
      <w:pPr>
        <w:widowControl/>
        <w:spacing w:line="360" w:lineRule="auto"/>
        <w:ind w:firstLine="602" w:firstLineChars="200"/>
        <w:jc w:val="left"/>
        <w:outlineLvl w:val="1"/>
        <w:rPr>
          <w:rFonts w:ascii="宋体" w:eastAsia="黑体"/>
          <w:sz w:val="30"/>
          <w:szCs w:val="30"/>
        </w:rPr>
      </w:pPr>
      <w:r>
        <w:rPr>
          <w:rFonts w:ascii="宋体" w:eastAsia="黑体"/>
          <w:b/>
          <w:sz w:val="30"/>
          <w:szCs w:val="30"/>
        </w:rPr>
        <w:t>六、一般公共预算财政拨款基本支出决算情况说明</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天津市南开区文化馆2024年度部门决算一般公共预算财政拨款基本支出合计6,429,244.30元，与2023年度相比减少1,606,192.25元，主要原因是</w:t>
      </w:r>
      <w:r>
        <w:rPr>
          <w:rFonts w:hint="eastAsia" w:ascii="Times New Roman" w:eastAsia="仿宋_GB2312"/>
          <w:sz w:val="30"/>
          <w:szCs w:val="30"/>
        </w:rPr>
        <w:t>有退休人员，人员</w:t>
      </w:r>
      <w:r>
        <w:rPr>
          <w:rFonts w:hint="eastAsia" w:ascii="Times New Roman" w:eastAsia="仿宋_GB2312"/>
          <w:sz w:val="30"/>
          <w:szCs w:val="30"/>
          <w:lang w:eastAsia="zh-CN"/>
        </w:rPr>
        <w:t>经费</w:t>
      </w:r>
      <w:r>
        <w:rPr>
          <w:rFonts w:hint="eastAsia" w:ascii="Times New Roman" w:eastAsia="仿宋_GB2312"/>
          <w:sz w:val="30"/>
          <w:szCs w:val="30"/>
        </w:rPr>
        <w:t>减少，</w:t>
      </w:r>
      <w:r>
        <w:rPr>
          <w:rFonts w:hint="eastAsia" w:ascii="Times New Roman" w:eastAsia="仿宋_GB2312"/>
          <w:sz w:val="30"/>
          <w:szCs w:val="30"/>
          <w:lang w:eastAsia="zh-CN"/>
        </w:rPr>
        <w:t>并进一步</w:t>
      </w:r>
      <w:r>
        <w:rPr>
          <w:rFonts w:hint="eastAsia" w:ascii="Times New Roman" w:eastAsia="仿宋_GB2312"/>
          <w:sz w:val="30"/>
          <w:szCs w:val="30"/>
        </w:rPr>
        <w:t>压减</w:t>
      </w:r>
      <w:r>
        <w:rPr>
          <w:rFonts w:hint="eastAsia" w:ascii="Times New Roman" w:eastAsia="仿宋_GB2312"/>
          <w:sz w:val="30"/>
          <w:szCs w:val="30"/>
          <w:lang w:eastAsia="zh-CN"/>
        </w:rPr>
        <w:t>办公</w:t>
      </w:r>
      <w:r>
        <w:rPr>
          <w:rFonts w:hint="eastAsia" w:ascii="Times New Roman" w:eastAsia="仿宋_GB2312"/>
          <w:sz w:val="30"/>
          <w:szCs w:val="30"/>
        </w:rPr>
        <w:t>经费、节约开支</w:t>
      </w:r>
      <w:r>
        <w:rPr>
          <w:rFonts w:ascii="Times New Roman" w:eastAsia="仿宋_GB2312"/>
          <w:sz w:val="30"/>
          <w:szCs w:val="30"/>
        </w:rPr>
        <w:t>。其中：</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人员经费5,648,026.00元，主要包括基本工资、津贴补贴、奖金、绩效工资、机关事业单位基本养老保险缴费、职业年金缴费、职工基本医疗保险缴费、其他社会保障缴费、住房公积金、其他工资福利支出、退休费、生活补助和奖励金。</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公用经费781,218.30元，主要包括办公费、咨询费、手续费、水费、电费、邮电费、取暖费、差旅费、维修(护)费、委托业务费、工会经费、福利费和其他商品和服务支出。</w:t>
      </w:r>
    </w:p>
    <w:p>
      <w:pPr>
        <w:widowControl/>
        <w:spacing w:line="360" w:lineRule="auto"/>
        <w:ind w:firstLine="602" w:firstLineChars="200"/>
        <w:jc w:val="left"/>
        <w:outlineLvl w:val="1"/>
        <w:rPr>
          <w:rFonts w:ascii="宋体" w:eastAsia="黑体"/>
          <w:sz w:val="30"/>
          <w:szCs w:val="30"/>
        </w:rPr>
      </w:pPr>
      <w:r>
        <w:rPr>
          <w:rFonts w:ascii="宋体" w:eastAsia="黑体"/>
          <w:b/>
          <w:sz w:val="30"/>
          <w:szCs w:val="30"/>
        </w:rPr>
        <w:t>七、政府性基金预算财政拨款收支决算情况说明</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天津市南开区文化馆2024年度无政府性基金预算财政拨款收入、支出和结转结余。</w:t>
      </w:r>
    </w:p>
    <w:p>
      <w:pPr>
        <w:widowControl/>
        <w:spacing w:line="360" w:lineRule="auto"/>
        <w:ind w:firstLine="602" w:firstLineChars="200"/>
        <w:jc w:val="left"/>
        <w:outlineLvl w:val="1"/>
        <w:rPr>
          <w:rFonts w:ascii="宋体" w:eastAsia="黑体"/>
          <w:sz w:val="30"/>
          <w:szCs w:val="30"/>
        </w:rPr>
      </w:pPr>
      <w:r>
        <w:rPr>
          <w:rFonts w:ascii="宋体" w:eastAsia="黑体"/>
          <w:b/>
          <w:sz w:val="30"/>
          <w:szCs w:val="30"/>
        </w:rPr>
        <w:t>八、国有资本经营预算财政拨款收支决算情况说明</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天津市南开区文化馆2024年度无国有资本经营预算财政拨款收入、支出和结转结余。</w:t>
      </w:r>
    </w:p>
    <w:p>
      <w:pPr>
        <w:widowControl/>
        <w:spacing w:line="360" w:lineRule="auto"/>
        <w:ind w:firstLine="602" w:firstLineChars="200"/>
        <w:jc w:val="left"/>
        <w:outlineLvl w:val="1"/>
        <w:rPr>
          <w:rFonts w:ascii="宋体" w:eastAsia="黑体"/>
          <w:sz w:val="30"/>
          <w:szCs w:val="30"/>
        </w:rPr>
      </w:pPr>
      <w:r>
        <w:rPr>
          <w:rFonts w:ascii="宋体" w:eastAsia="黑体"/>
          <w:b/>
          <w:sz w:val="30"/>
          <w:szCs w:val="30"/>
        </w:rPr>
        <w:t>九、财政拨款“三公”经费支出决算情况说明</w:t>
      </w:r>
    </w:p>
    <w:p>
      <w:pPr>
        <w:widowControl/>
        <w:spacing w:line="360" w:lineRule="auto"/>
        <w:ind w:firstLine="602" w:firstLineChars="200"/>
        <w:jc w:val="left"/>
        <w:rPr>
          <w:rFonts w:ascii="楷体" w:eastAsia="楷体"/>
          <w:sz w:val="30"/>
          <w:szCs w:val="30"/>
        </w:rPr>
      </w:pPr>
      <w:r>
        <w:rPr>
          <w:rFonts w:ascii="楷体" w:eastAsia="楷体"/>
          <w:b/>
          <w:sz w:val="30"/>
          <w:szCs w:val="30"/>
        </w:rPr>
        <w:t>（一）总体情况</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2024年财政拨款“三公”经费预算0.00元，支出决算0.00元，与2024年预算相比持平；支出决算较上年持平；决算数与预算数持平的主要原因是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本年度未用财政拨款经费列支“三公”经费</w:t>
      </w:r>
      <w:r>
        <w:rPr>
          <w:rFonts w:ascii="Times New Roman" w:eastAsia="仿宋_GB2312"/>
          <w:sz w:val="30"/>
          <w:szCs w:val="30"/>
        </w:rPr>
        <w:t>；决算数较上年持平的主要原因是</w:t>
      </w:r>
      <w:r>
        <w:rPr>
          <w:rFonts w:hint="eastAsia" w:ascii="Times New Roman" w:hAnsi="Times New Roman" w:eastAsia="仿宋_GB2312" w:cs="仿宋_GB2312"/>
          <w:sz w:val="30"/>
          <w:szCs w:val="30"/>
          <w:highlight w:val="none"/>
          <w:lang w:eastAsia="zh-CN"/>
        </w:rPr>
        <w:t>本年度未用财政拨款经费列支“三公”经费</w:t>
      </w:r>
      <w:r>
        <w:rPr>
          <w:rFonts w:hint="eastAsia" w:ascii="Times New Roman" w:eastAsia="仿宋_GB2312"/>
          <w:sz w:val="30"/>
          <w:szCs w:val="30"/>
        </w:rPr>
        <w:t>。</w:t>
      </w:r>
    </w:p>
    <w:p>
      <w:pPr>
        <w:widowControl/>
        <w:spacing w:line="360" w:lineRule="auto"/>
        <w:ind w:firstLine="602" w:firstLineChars="200"/>
        <w:jc w:val="left"/>
        <w:rPr>
          <w:rFonts w:ascii="楷体" w:eastAsia="楷体"/>
          <w:sz w:val="30"/>
          <w:szCs w:val="30"/>
        </w:rPr>
      </w:pPr>
      <w:r>
        <w:rPr>
          <w:rFonts w:ascii="楷体" w:eastAsia="楷体"/>
          <w:b/>
          <w:sz w:val="30"/>
          <w:szCs w:val="30"/>
        </w:rPr>
        <w:t>（二）具体情况</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1.因公出国（境）费预算0.00元，支出决算0.00元，与预算相比持平；支出决算较上年持平；决算数与预算数持平的主要原因是</w:t>
      </w:r>
      <w:r>
        <w:rPr>
          <w:rFonts w:hint="eastAsia" w:ascii="Times New Roman" w:eastAsia="仿宋_GB2312"/>
          <w:sz w:val="30"/>
          <w:szCs w:val="30"/>
        </w:rPr>
        <w:t>本年度未用财政拨款经费列支因公出国（境）费</w:t>
      </w:r>
      <w:r>
        <w:rPr>
          <w:rFonts w:ascii="Times New Roman" w:eastAsia="仿宋_GB2312"/>
          <w:sz w:val="30"/>
          <w:szCs w:val="30"/>
        </w:rPr>
        <w:t>；决算数较上年持平的主要原因是</w:t>
      </w:r>
      <w:r>
        <w:rPr>
          <w:rFonts w:hint="eastAsia" w:ascii="Times New Roman" w:eastAsia="仿宋_GB2312"/>
          <w:sz w:val="30"/>
          <w:szCs w:val="30"/>
        </w:rPr>
        <w:t>本年度未用财政拨款经费列支因公出国（境）费</w:t>
      </w:r>
      <w:r>
        <w:rPr>
          <w:rFonts w:ascii="Times New Roman" w:eastAsia="仿宋_GB2312"/>
          <w:sz w:val="30"/>
          <w:szCs w:val="30"/>
        </w:rPr>
        <w:t>。</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2024年本单位组织的出国团组0个，出国0人次。</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2.公务用车购置及运行维护费预算0.00元，支出决算0.00元，与预算相比持平；支出决算较上年持平；决算数与预算数持平的主要原因是</w:t>
      </w:r>
      <w:r>
        <w:rPr>
          <w:rFonts w:hint="eastAsia" w:ascii="Times New Roman" w:eastAsia="仿宋_GB2312"/>
          <w:sz w:val="30"/>
          <w:szCs w:val="30"/>
        </w:rPr>
        <w:t>本年度未用财政拨款经费列支公务用车购置费</w:t>
      </w:r>
      <w:r>
        <w:rPr>
          <w:rFonts w:hint="eastAsia" w:ascii="Times New Roman" w:eastAsia="仿宋_GB2312"/>
          <w:sz w:val="30"/>
          <w:szCs w:val="30"/>
          <w:lang w:eastAsia="zh-CN"/>
        </w:rPr>
        <w:t>及</w:t>
      </w:r>
      <w:r>
        <w:rPr>
          <w:rFonts w:hint="eastAsia" w:ascii="Times New Roman" w:eastAsia="仿宋_GB2312"/>
          <w:sz w:val="30"/>
          <w:szCs w:val="30"/>
        </w:rPr>
        <w:t>公务用车运行维护费</w:t>
      </w:r>
      <w:r>
        <w:rPr>
          <w:rFonts w:ascii="Times New Roman" w:eastAsia="仿宋_GB2312"/>
          <w:sz w:val="30"/>
          <w:szCs w:val="30"/>
        </w:rPr>
        <w:t>；决算数较上年持平的主要原因是</w:t>
      </w:r>
      <w:r>
        <w:rPr>
          <w:rFonts w:hint="eastAsia" w:ascii="Times New Roman" w:eastAsia="仿宋_GB2312"/>
          <w:sz w:val="30"/>
          <w:szCs w:val="30"/>
        </w:rPr>
        <w:t>本年度未用财政拨款经费列支公务用车购置费</w:t>
      </w:r>
      <w:r>
        <w:rPr>
          <w:rFonts w:hint="eastAsia" w:ascii="Times New Roman" w:eastAsia="仿宋_GB2312"/>
          <w:sz w:val="30"/>
          <w:szCs w:val="30"/>
          <w:lang w:eastAsia="zh-CN"/>
        </w:rPr>
        <w:t>及</w:t>
      </w:r>
      <w:r>
        <w:rPr>
          <w:rFonts w:hint="eastAsia" w:ascii="Times New Roman" w:eastAsia="仿宋_GB2312"/>
          <w:sz w:val="30"/>
          <w:szCs w:val="30"/>
        </w:rPr>
        <w:t>公务用车运行维护费</w:t>
      </w:r>
      <w:r>
        <w:rPr>
          <w:rFonts w:ascii="Times New Roman" w:eastAsia="仿宋_GB2312"/>
          <w:sz w:val="30"/>
          <w:szCs w:val="30"/>
        </w:rPr>
        <w:t>。其中：</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公务用车运行维护费预算0.00元，支出决算0.00元，与预算相比持平；支出决算较上年持平；决算数与预算数持平的主要原因是</w:t>
      </w:r>
      <w:r>
        <w:rPr>
          <w:rFonts w:hint="eastAsia" w:ascii="Times New Roman" w:eastAsia="仿宋_GB2312"/>
          <w:sz w:val="30"/>
          <w:szCs w:val="30"/>
        </w:rPr>
        <w:t>本年度未用财政拨款经费列支公务用车运行维护费</w:t>
      </w:r>
      <w:r>
        <w:rPr>
          <w:rFonts w:ascii="Times New Roman" w:eastAsia="仿宋_GB2312"/>
          <w:sz w:val="30"/>
          <w:szCs w:val="30"/>
        </w:rPr>
        <w:t>；决算数较上年持平的主要原因是</w:t>
      </w:r>
      <w:r>
        <w:rPr>
          <w:rFonts w:hint="eastAsia" w:ascii="Times New Roman" w:eastAsia="仿宋_GB2312"/>
          <w:sz w:val="30"/>
          <w:szCs w:val="30"/>
        </w:rPr>
        <w:t>本年度未用财政拨款经费列支公务用车运行维护费</w:t>
      </w:r>
      <w:r>
        <w:rPr>
          <w:rFonts w:ascii="Times New Roman" w:eastAsia="仿宋_GB2312"/>
          <w:sz w:val="30"/>
          <w:szCs w:val="30"/>
        </w:rPr>
        <w:t>。</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截至2024年12月31日，使用财政拨款开支运行维护费的公务用车保有量为0辆。</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公务用车购置费预算0.00元，支出决算0.00元，与预算相比持平；支出决算较上年持平；决算数与预算数持平的主要原因是</w:t>
      </w:r>
      <w:r>
        <w:rPr>
          <w:rFonts w:hint="eastAsia" w:ascii="Times New Roman" w:eastAsia="仿宋_GB2312"/>
          <w:sz w:val="30"/>
          <w:szCs w:val="30"/>
        </w:rPr>
        <w:t>本年度未用财政拨款经费列支公务用车购置费</w:t>
      </w:r>
      <w:r>
        <w:rPr>
          <w:rFonts w:ascii="Times New Roman" w:eastAsia="仿宋_GB2312"/>
          <w:sz w:val="30"/>
          <w:szCs w:val="30"/>
        </w:rPr>
        <w:t>；决算数较上年持平的主要原因是</w:t>
      </w:r>
      <w:r>
        <w:rPr>
          <w:rFonts w:hint="eastAsia" w:ascii="Times New Roman" w:eastAsia="仿宋_GB2312"/>
          <w:sz w:val="30"/>
          <w:szCs w:val="30"/>
        </w:rPr>
        <w:t>本年度未用财政拨款经费列支公务用车购置费</w:t>
      </w:r>
      <w:r>
        <w:rPr>
          <w:rFonts w:ascii="Times New Roman" w:eastAsia="仿宋_GB2312"/>
          <w:sz w:val="30"/>
          <w:szCs w:val="30"/>
        </w:rPr>
        <w:t>。</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2024年购置公务用车0辆。</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3.公务接待费预算0.00元，支出决算0.00元，与预算相比持平；支出决算较上年持平；决算数与预算数持平的主要原因是</w:t>
      </w:r>
      <w:r>
        <w:rPr>
          <w:rFonts w:hint="eastAsia" w:ascii="Times New Roman" w:eastAsia="仿宋_GB2312"/>
          <w:sz w:val="30"/>
          <w:szCs w:val="30"/>
        </w:rPr>
        <w:t>本年度未用财政拨款经费列支公务接待费</w:t>
      </w:r>
      <w:r>
        <w:rPr>
          <w:rFonts w:ascii="Times New Roman" w:eastAsia="仿宋_GB2312"/>
          <w:sz w:val="30"/>
          <w:szCs w:val="30"/>
        </w:rPr>
        <w:t>；决算数较上年持平的主要原因是</w:t>
      </w:r>
      <w:r>
        <w:rPr>
          <w:rFonts w:hint="eastAsia" w:ascii="Times New Roman" w:eastAsia="仿宋_GB2312"/>
          <w:sz w:val="30"/>
          <w:szCs w:val="30"/>
        </w:rPr>
        <w:t>本年度未用财政拨款经费列支公务接待费</w:t>
      </w:r>
      <w:r>
        <w:rPr>
          <w:rFonts w:ascii="Times New Roman" w:eastAsia="仿宋_GB2312"/>
          <w:sz w:val="30"/>
          <w:szCs w:val="30"/>
        </w:rPr>
        <w:t>。</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2024年本单位国内公务接待0批次，0人次；其中，外事接待0批次，0人次。</w:t>
      </w:r>
    </w:p>
    <w:p>
      <w:pPr>
        <w:widowControl/>
        <w:spacing w:line="360" w:lineRule="auto"/>
        <w:ind w:firstLine="602" w:firstLineChars="200"/>
        <w:jc w:val="left"/>
        <w:outlineLvl w:val="1"/>
        <w:rPr>
          <w:rFonts w:ascii="宋体" w:eastAsia="黑体"/>
          <w:sz w:val="30"/>
          <w:szCs w:val="30"/>
        </w:rPr>
      </w:pPr>
      <w:r>
        <w:rPr>
          <w:rFonts w:ascii="宋体" w:eastAsia="黑体"/>
          <w:b/>
          <w:sz w:val="30"/>
          <w:szCs w:val="30"/>
        </w:rPr>
        <w:t>十、机关运行经费支出情况说明</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天津市南开区文化馆2024年度无机关运行经费。</w:t>
      </w:r>
    </w:p>
    <w:p>
      <w:pPr>
        <w:widowControl/>
        <w:spacing w:line="360" w:lineRule="auto"/>
        <w:ind w:firstLine="602" w:firstLineChars="200"/>
        <w:jc w:val="left"/>
        <w:outlineLvl w:val="1"/>
        <w:rPr>
          <w:rFonts w:ascii="宋体" w:eastAsia="黑体"/>
          <w:sz w:val="30"/>
          <w:szCs w:val="30"/>
        </w:rPr>
      </w:pPr>
      <w:r>
        <w:rPr>
          <w:rFonts w:ascii="宋体" w:eastAsia="黑体"/>
          <w:b/>
          <w:sz w:val="30"/>
          <w:szCs w:val="30"/>
        </w:rPr>
        <w:t>十一、政府采购支出情况说明</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天津市南开区文化馆2024年政府采购支出总额1,875,363.65元，其中：政府采购货物支出2,983.50元、政府采购工程支出1,278,432.85元、政府采购服务支出593,947.30元。</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授予中小企业合同金额1,875,363.65元，占政府采购支出总额的100.000%，其中：授予小微企业合同金额542,913.90元，占政府采购支出总额的28.950%；货物采购授予中小企业合同金额占货物支出金额的100.000%，工程采购授予中小企业合同金额占工程支出金额的100.000%，服务采购授予中小企业合同金额占服务支出金额的100.000%。</w:t>
      </w:r>
    </w:p>
    <w:p>
      <w:pPr>
        <w:widowControl/>
        <w:spacing w:line="360" w:lineRule="auto"/>
        <w:ind w:firstLine="602" w:firstLineChars="200"/>
        <w:jc w:val="left"/>
        <w:outlineLvl w:val="1"/>
        <w:rPr>
          <w:rFonts w:ascii="宋体" w:eastAsia="黑体"/>
          <w:sz w:val="30"/>
          <w:szCs w:val="30"/>
        </w:rPr>
      </w:pPr>
      <w:r>
        <w:rPr>
          <w:rFonts w:ascii="宋体" w:eastAsia="黑体"/>
          <w:b/>
          <w:sz w:val="30"/>
          <w:szCs w:val="30"/>
        </w:rPr>
        <w:t>十二、国有资产占有使用情况说明</w:t>
      </w:r>
    </w:p>
    <w:p>
      <w:pPr>
        <w:widowControl/>
        <w:spacing w:line="360" w:lineRule="auto"/>
        <w:ind w:firstLine="600" w:firstLineChars="200"/>
        <w:jc w:val="left"/>
        <w:rPr>
          <w:rFonts w:ascii="Times New Roman" w:eastAsia="仿宋_GB2312"/>
          <w:sz w:val="30"/>
          <w:szCs w:val="30"/>
        </w:rPr>
      </w:pPr>
      <w:r>
        <w:rPr>
          <w:rFonts w:ascii="Times New Roman" w:eastAsia="仿宋_GB2312"/>
          <w:sz w:val="30"/>
          <w:szCs w:val="30"/>
        </w:rPr>
        <w:t>天津市南开区文化馆2024年度无国有资产占有使用情况。</w:t>
      </w:r>
    </w:p>
    <w:p>
      <w:pPr>
        <w:widowControl/>
        <w:spacing w:line="360" w:lineRule="auto"/>
        <w:ind w:firstLine="602" w:firstLineChars="200"/>
        <w:jc w:val="left"/>
        <w:outlineLvl w:val="1"/>
        <w:rPr>
          <w:rFonts w:ascii="宋体" w:eastAsia="黑体"/>
          <w:sz w:val="30"/>
          <w:szCs w:val="30"/>
        </w:rPr>
      </w:pPr>
      <w:r>
        <w:rPr>
          <w:rFonts w:ascii="宋体" w:eastAsia="黑体"/>
          <w:b/>
          <w:sz w:val="30"/>
          <w:szCs w:val="30"/>
        </w:rPr>
        <w:t>十三、预算绩效情况说明</w:t>
      </w:r>
    </w:p>
    <w:p>
      <w:pPr>
        <w:widowControl/>
        <w:ind w:firstLine="600" w:firstLineChars="200"/>
        <w:jc w:val="left"/>
        <w:rPr>
          <w:rFonts w:ascii="Times New Roman" w:eastAsia="仿宋_GB2312"/>
          <w:sz w:val="30"/>
          <w:szCs w:val="30"/>
        </w:rPr>
      </w:pPr>
      <w:r>
        <w:rPr>
          <w:rFonts w:ascii="Times New Roman" w:eastAsia="仿宋_GB2312"/>
          <w:sz w:val="30"/>
          <w:szCs w:val="30"/>
        </w:rPr>
        <w:t>根据预算绩效管理要求，天津市</w:t>
      </w:r>
      <w:r>
        <w:rPr>
          <w:rFonts w:hint="eastAsia" w:ascii="Times New Roman" w:eastAsia="仿宋_GB2312"/>
          <w:sz w:val="30"/>
          <w:szCs w:val="30"/>
        </w:rPr>
        <w:t>南开区文化馆</w:t>
      </w:r>
      <w:r>
        <w:rPr>
          <w:rFonts w:ascii="Times New Roman" w:eastAsia="仿宋_GB2312"/>
          <w:sz w:val="30"/>
          <w:szCs w:val="30"/>
        </w:rPr>
        <w:t>已对</w:t>
      </w:r>
      <w:r>
        <w:rPr>
          <w:rFonts w:hint="eastAsia" w:ascii="Times New Roman" w:eastAsia="仿宋_GB2312"/>
          <w:sz w:val="30"/>
          <w:szCs w:val="30"/>
        </w:rPr>
        <w:t>16</w:t>
      </w:r>
      <w:r>
        <w:rPr>
          <w:rFonts w:ascii="Times New Roman" w:eastAsia="仿宋_GB2312"/>
          <w:sz w:val="30"/>
          <w:szCs w:val="30"/>
        </w:rPr>
        <w:t>个2024年度项目开展绩效自评，涉及金额</w:t>
      </w:r>
      <w:r>
        <w:rPr>
          <w:rFonts w:hint="eastAsia" w:ascii="Times New Roman" w:eastAsia="仿宋_GB2312"/>
          <w:sz w:val="30"/>
          <w:szCs w:val="30"/>
        </w:rPr>
        <w:t>13</w:t>
      </w:r>
      <w:r>
        <w:rPr>
          <w:rFonts w:hint="eastAsia" w:ascii="Times New Roman" w:eastAsia="仿宋_GB2312"/>
          <w:b w:val="0"/>
          <w:sz w:val="30"/>
          <w:szCs w:val="30"/>
          <w:lang w:val="en-US" w:eastAsia="zh-CN"/>
        </w:rPr>
        <w:t>,</w:t>
      </w:r>
      <w:r>
        <w:rPr>
          <w:rFonts w:hint="eastAsia" w:ascii="Times New Roman" w:eastAsia="仿宋_GB2312"/>
          <w:sz w:val="30"/>
          <w:szCs w:val="30"/>
        </w:rPr>
        <w:t>931</w:t>
      </w:r>
      <w:r>
        <w:rPr>
          <w:rFonts w:hint="eastAsia" w:ascii="Times New Roman" w:eastAsia="仿宋_GB2312"/>
          <w:b w:val="0"/>
          <w:sz w:val="30"/>
          <w:szCs w:val="30"/>
          <w:lang w:val="en-US" w:eastAsia="zh-CN"/>
        </w:rPr>
        <w:t>,</w:t>
      </w:r>
      <w:r>
        <w:rPr>
          <w:rFonts w:hint="eastAsia" w:ascii="Times New Roman" w:eastAsia="仿宋_GB2312"/>
          <w:sz w:val="30"/>
          <w:szCs w:val="30"/>
        </w:rPr>
        <w:t>601</w:t>
      </w:r>
      <w:r>
        <w:rPr>
          <w:rFonts w:hint="eastAsia" w:ascii="Times New Roman" w:eastAsia="仿宋_GB2312"/>
          <w:sz w:val="30"/>
          <w:szCs w:val="30"/>
          <w:lang w:val="en-US" w:eastAsia="zh-CN"/>
        </w:rPr>
        <w:t>.00</w:t>
      </w:r>
      <w:r>
        <w:rPr>
          <w:rFonts w:ascii="Times New Roman" w:eastAsia="仿宋_GB2312"/>
          <w:sz w:val="30"/>
          <w:szCs w:val="30"/>
        </w:rPr>
        <w:t>元，自评结果已随部门决算一并公开。</w:t>
      </w:r>
    </w:p>
    <w:p>
      <w:pPr>
        <w:widowControl/>
        <w:spacing w:line="360" w:lineRule="auto"/>
        <w:ind w:firstLine="602" w:firstLineChars="200"/>
        <w:jc w:val="left"/>
        <w:outlineLvl w:val="1"/>
        <w:rPr>
          <w:rFonts w:ascii="宋体" w:eastAsia="黑体"/>
          <w:sz w:val="30"/>
          <w:szCs w:val="30"/>
        </w:rPr>
      </w:pPr>
      <w:r>
        <w:rPr>
          <w:rFonts w:ascii="宋体" w:eastAsia="黑体"/>
          <w:b/>
          <w:sz w:val="30"/>
          <w:szCs w:val="30"/>
        </w:rPr>
        <w:t>十四、教育、医疗卫生、社会保障和就业、住房保障、涉农补贴等民生支出情况说明</w:t>
      </w:r>
    </w:p>
    <w:p>
      <w:pPr>
        <w:widowControl/>
        <w:ind w:firstLine="600" w:firstLineChars="200"/>
        <w:jc w:val="left"/>
        <w:rPr>
          <w:rFonts w:ascii="Times New Roman" w:eastAsia="仿宋_GB2312"/>
          <w:sz w:val="30"/>
          <w:szCs w:val="30"/>
        </w:rPr>
      </w:pPr>
      <w:r>
        <w:rPr>
          <w:rFonts w:ascii="Times New Roman" w:eastAsia="仿宋_GB2312"/>
          <w:sz w:val="30"/>
          <w:szCs w:val="30"/>
        </w:rPr>
        <w:t>天津市</w:t>
      </w:r>
      <w:r>
        <w:rPr>
          <w:rFonts w:hint="eastAsia" w:ascii="Times New Roman" w:eastAsia="仿宋_GB2312"/>
          <w:sz w:val="30"/>
          <w:szCs w:val="30"/>
        </w:rPr>
        <w:t>南开区文化馆</w:t>
      </w:r>
      <w:r>
        <w:rPr>
          <w:rFonts w:ascii="Times New Roman" w:eastAsia="仿宋_GB2312"/>
          <w:sz w:val="30"/>
          <w:szCs w:val="30"/>
        </w:rPr>
        <w:t>不属于乡、镇、</w:t>
      </w:r>
      <w:bookmarkStart w:id="0" w:name="_GoBack"/>
      <w:bookmarkEnd w:id="0"/>
      <w:r>
        <w:rPr>
          <w:rFonts w:ascii="Times New Roman" w:eastAsia="仿宋_GB2312"/>
          <w:sz w:val="30"/>
          <w:szCs w:val="30"/>
        </w:rPr>
        <w:t>街级单位，不涉及公开2024年度教育、医疗卫生、社会保障和就业、住房保障、涉农补贴等民生支出情况。</w:t>
      </w:r>
    </w:p>
    <w:p>
      <w:pPr>
        <w:widowControl/>
        <w:spacing w:line="360" w:lineRule="auto"/>
        <w:jc w:val="center"/>
        <w:outlineLvl w:val="0"/>
        <w:rPr>
          <w:rFonts w:hint="eastAsia" w:ascii="黑体" w:eastAsia="黑体"/>
          <w:sz w:val="44"/>
          <w:szCs w:val="44"/>
        </w:rPr>
      </w:pPr>
    </w:p>
    <w:p>
      <w:pPr>
        <w:widowControl/>
        <w:spacing w:line="360" w:lineRule="auto"/>
        <w:jc w:val="center"/>
        <w:outlineLvl w:val="0"/>
        <w:rPr>
          <w:rFonts w:hint="eastAsia" w:ascii="黑体" w:eastAsia="黑体"/>
          <w:sz w:val="44"/>
          <w:szCs w:val="44"/>
        </w:rPr>
      </w:pPr>
    </w:p>
    <w:p>
      <w:pPr>
        <w:widowControl/>
        <w:spacing w:line="360" w:lineRule="auto"/>
        <w:jc w:val="center"/>
        <w:outlineLvl w:val="0"/>
        <w:rPr>
          <w:rFonts w:hint="eastAsia" w:ascii="黑体" w:eastAsia="黑体"/>
          <w:sz w:val="44"/>
          <w:szCs w:val="44"/>
        </w:rPr>
      </w:pPr>
    </w:p>
    <w:p>
      <w:pPr>
        <w:widowControl/>
        <w:spacing w:line="360" w:lineRule="auto"/>
        <w:jc w:val="center"/>
        <w:outlineLvl w:val="0"/>
        <w:rPr>
          <w:rFonts w:hint="eastAsia" w:ascii="黑体" w:eastAsia="黑体"/>
          <w:sz w:val="44"/>
          <w:szCs w:val="44"/>
        </w:rPr>
      </w:pPr>
    </w:p>
    <w:p>
      <w:pPr>
        <w:widowControl/>
        <w:spacing w:line="360" w:lineRule="auto"/>
        <w:jc w:val="center"/>
        <w:outlineLvl w:val="0"/>
        <w:rPr>
          <w:rFonts w:hint="eastAsia" w:ascii="黑体" w:eastAsia="黑体"/>
          <w:sz w:val="44"/>
          <w:szCs w:val="44"/>
        </w:rPr>
      </w:pPr>
    </w:p>
    <w:p>
      <w:pPr>
        <w:widowControl/>
        <w:spacing w:line="360" w:lineRule="auto"/>
        <w:jc w:val="center"/>
        <w:outlineLvl w:val="0"/>
        <w:rPr>
          <w:rFonts w:hint="eastAsia" w:ascii="黑体" w:eastAsia="黑体"/>
          <w:sz w:val="44"/>
          <w:szCs w:val="44"/>
        </w:rPr>
      </w:pPr>
    </w:p>
    <w:p>
      <w:pPr>
        <w:widowControl/>
        <w:spacing w:line="360" w:lineRule="auto"/>
        <w:jc w:val="center"/>
        <w:outlineLvl w:val="0"/>
        <w:rPr>
          <w:rFonts w:hint="eastAsia" w:ascii="黑体" w:eastAsia="黑体"/>
          <w:sz w:val="44"/>
          <w:szCs w:val="44"/>
        </w:rPr>
      </w:pPr>
    </w:p>
    <w:p>
      <w:pPr>
        <w:widowControl/>
        <w:spacing w:line="360" w:lineRule="auto"/>
        <w:jc w:val="center"/>
        <w:outlineLvl w:val="0"/>
        <w:rPr>
          <w:rFonts w:hint="eastAsia" w:ascii="黑体" w:eastAsia="黑体"/>
          <w:sz w:val="44"/>
          <w:szCs w:val="44"/>
        </w:rPr>
      </w:pPr>
    </w:p>
    <w:p>
      <w:pPr>
        <w:widowControl/>
        <w:spacing w:line="360" w:lineRule="auto"/>
        <w:jc w:val="center"/>
        <w:outlineLvl w:val="0"/>
        <w:rPr>
          <w:rFonts w:hint="eastAsia" w:ascii="黑体" w:eastAsia="黑体"/>
          <w:sz w:val="44"/>
          <w:szCs w:val="44"/>
        </w:rPr>
      </w:pPr>
    </w:p>
    <w:p>
      <w:pPr>
        <w:widowControl/>
        <w:spacing w:line="360" w:lineRule="auto"/>
        <w:jc w:val="center"/>
        <w:outlineLvl w:val="0"/>
        <w:rPr>
          <w:rFonts w:hint="eastAsia" w:ascii="黑体" w:eastAsia="黑体"/>
          <w:sz w:val="44"/>
          <w:szCs w:val="44"/>
        </w:rPr>
      </w:pPr>
      <w:r>
        <w:rPr>
          <w:rFonts w:hint="eastAsia" w:ascii="黑体" w:eastAsia="黑体"/>
          <w:sz w:val="44"/>
          <w:szCs w:val="44"/>
        </w:rPr>
        <w:t>第四部分 名词解释</w:t>
      </w:r>
    </w:p>
    <w:p>
      <w:pPr>
        <w:widowControl/>
        <w:ind w:firstLine="600" w:firstLineChars="200"/>
        <w:jc w:val="left"/>
        <w:rPr>
          <w:rFonts w:hint="eastAsia" w:ascii="Times New Roman" w:eastAsia="仿宋_GB2312"/>
          <w:sz w:val="30"/>
          <w:szCs w:val="30"/>
        </w:rPr>
      </w:pPr>
      <w:r>
        <w:rPr>
          <w:rFonts w:hint="eastAsia" w:ascii="Times New Roman"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widowControl/>
        <w:ind w:firstLine="600" w:firstLineChars="200"/>
        <w:jc w:val="left"/>
        <w:rPr>
          <w:rFonts w:hint="eastAsia" w:ascii="Times New Roman" w:eastAsia="仿宋_GB2312"/>
          <w:sz w:val="30"/>
          <w:szCs w:val="30"/>
        </w:rPr>
      </w:pPr>
      <w:r>
        <w:rPr>
          <w:rFonts w:hint="eastAsia" w:ascii="Times New Roman"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ind w:firstLine="600" w:firstLineChars="200"/>
        <w:jc w:val="left"/>
        <w:rPr>
          <w:rFonts w:hint="eastAsia" w:ascii="Times New Roman" w:eastAsia="仿宋_GB2312"/>
          <w:sz w:val="30"/>
          <w:szCs w:val="30"/>
        </w:rPr>
      </w:pPr>
      <w:r>
        <w:rPr>
          <w:rFonts w:hint="eastAsia" w:ascii="Times New Roman"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p>
      <w:pPr>
        <w:widowControl/>
        <w:ind w:firstLine="600" w:firstLineChars="200"/>
        <w:jc w:val="left"/>
        <w:rPr>
          <w:rFonts w:hint="eastAsia" w:ascii="Times New Roman" w:eastAsia="仿宋_GB2312"/>
          <w:sz w:val="30"/>
          <w:szCs w:val="30"/>
        </w:rPr>
      </w:pPr>
      <w:r>
        <w:rPr>
          <w:rFonts w:hint="eastAsia" w:ascii="Times New Roman" w:eastAsia="仿宋_GB2312"/>
          <w:sz w:val="30"/>
          <w:szCs w:val="30"/>
        </w:rPr>
        <w:t>  </w:t>
      </w:r>
    </w:p>
    <w:p>
      <w:pPr>
        <w:widowControl/>
        <w:ind w:firstLine="600" w:firstLineChars="200"/>
        <w:jc w:val="left"/>
        <w:rPr>
          <w:rFonts w:hint="eastAsia" w:ascii="Times New Roman" w:eastAsia="仿宋_GB2312"/>
          <w:sz w:val="30"/>
          <w:szCs w:val="30"/>
        </w:rPr>
      </w:pPr>
    </w:p>
    <w:sectPr>
      <w:pgSz w:w="11906" w:h="16838"/>
      <w:pgMar w:top="2098" w:right="1417" w:bottom="1871" w:left="1417" w:header="851" w:footer="992" w:gutter="0"/>
      <w:pgNumType w:fmt="decimal"/>
      <w:cols w:space="0" w:num="1"/>
      <w:docGrid w:type="lines" w:linePitch="32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8A656B6F-2ECC-455E-BFAE-12620E7D16DE}"/>
  </w:font>
  <w:font w:name="黑体">
    <w:panose1 w:val="02010609060101010101"/>
    <w:charset w:val="86"/>
    <w:family w:val="auto"/>
    <w:pitch w:val="default"/>
    <w:sig w:usb0="800002BF" w:usb1="38CF7CFA" w:usb2="00000016" w:usb3="00000000" w:csb0="00040001" w:csb1="00000000"/>
    <w:embedRegular r:id="rId2" w:fontKey="{B07F8F9B-0415-41A7-A19B-A5676E7B099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3" w:fontKey="{5913CE96-8859-4A79-A337-BA1390DCCBCA}"/>
  </w:font>
  <w:font w:name="Calibri Light">
    <w:panose1 w:val="020F0302020204030204"/>
    <w:charset w:val="00"/>
    <w:family w:val="auto"/>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0" w:usb3="00000000" w:csb0="00000001" w:csb1="00000000"/>
  </w:font>
  <w:font w:name="Fz_S_BiaoSong_Jt">
    <w:altName w:val="Times New Roman"/>
    <w:panose1 w:val="00000000000000000000"/>
    <w:charset w:val="00"/>
    <w:family w:val="roman"/>
    <w:pitch w:val="default"/>
    <w:sig w:usb0="00000000" w:usb1="00000000" w:usb2="00000000" w:usb3="00000000" w:csb0="00000000" w:csb1="00000000"/>
    <w:embedRegular r:id="rId4" w:fontKey="{8646D0C5-FCD3-43E3-B671-09BC8F3DD2B5}"/>
  </w:font>
  <w:font w:name="仿宋_GB2312">
    <w:panose1 w:val="02010609030101010101"/>
    <w:charset w:val="86"/>
    <w:family w:val="roman"/>
    <w:pitch w:val="default"/>
    <w:sig w:usb0="00000001" w:usb1="080E0000" w:usb2="00000000" w:usb3="00000000" w:csb0="00040000" w:csb1="00000000"/>
    <w:embedRegular r:id="rId5" w:fontKey="{01478375-32F0-4312-AA9E-F8B1AA013A65}"/>
  </w:font>
  <w:font w:name="宋体-简">
    <w:altName w:val="宋体"/>
    <w:panose1 w:val="00000000000000000000"/>
    <w:charset w:val="86"/>
    <w:family w:val="auto"/>
    <w:pitch w:val="default"/>
    <w:sig w:usb0="00000000" w:usb1="00000000" w:usb2="00000000" w:usb3="00000000" w:csb0="00040000" w:csb1="00000000"/>
    <w:embedRegular r:id="rId6" w:fontKey="{457981EA-8593-486C-81E9-691E11587C0C}"/>
  </w:font>
  <w:font w:name="楷体">
    <w:panose1 w:val="02010609060101010101"/>
    <w:charset w:val="86"/>
    <w:family w:val="modern"/>
    <w:pitch w:val="default"/>
    <w:sig w:usb0="800002BF" w:usb1="38CF7CFA" w:usb2="00000016" w:usb3="00000000" w:csb0="00040001" w:csb1="00000000"/>
    <w:embedRegular r:id="rId7" w:fontKey="{E1EFC6B2-DE24-4C0A-BFFE-DBA9EA2AB43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F1D044"/>
    <w:multiLevelType w:val="singleLevel"/>
    <w:tmpl w:val="EBF1D044"/>
    <w:lvl w:ilvl="0" w:tentative="0">
      <w:start w:val="6"/>
      <w:numFmt w:val="chineseCounting"/>
      <w:suff w:val="nothing"/>
      <w:lvlText w:val="%1、"/>
      <w:lvlJc w:val="left"/>
      <w:rPr>
        <w:rFonts w:hint="eastAsia"/>
      </w:rPr>
    </w:lvl>
  </w:abstractNum>
  <w:abstractNum w:abstractNumId="1">
    <w:nsid w:val="5F16A424"/>
    <w:multiLevelType w:val="multilevel"/>
    <w:tmpl w:val="5F16A424"/>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pStyle w:val="5"/>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documentProtection w:enforcement="0"/>
  <w:defaultTabStop w:val="420"/>
  <w:drawingGridVerticalSpacing w:val="165"/>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jb3VudCI6NzAsImhkaWQiOiIwOWZmNGM5NWI3N2I3ZjBhMDgxMmUxZjg3YjY1Y2NmNSIsInVzZXJDb3VudCI6MX0="/>
  </w:docVars>
  <w:rsids>
    <w:rsidRoot w:val="001B33FE"/>
    <w:rsid w:val="000075CE"/>
    <w:rsid w:val="0006536D"/>
    <w:rsid w:val="00076D03"/>
    <w:rsid w:val="00086151"/>
    <w:rsid w:val="00127C06"/>
    <w:rsid w:val="001B33FE"/>
    <w:rsid w:val="00236F8C"/>
    <w:rsid w:val="0025777E"/>
    <w:rsid w:val="0039526D"/>
    <w:rsid w:val="004F46BF"/>
    <w:rsid w:val="00523F91"/>
    <w:rsid w:val="00535F74"/>
    <w:rsid w:val="006C06DA"/>
    <w:rsid w:val="006C1E17"/>
    <w:rsid w:val="00822154"/>
    <w:rsid w:val="008816EE"/>
    <w:rsid w:val="008D71B9"/>
    <w:rsid w:val="00937D99"/>
    <w:rsid w:val="009B43C9"/>
    <w:rsid w:val="009C7D30"/>
    <w:rsid w:val="00A5394C"/>
    <w:rsid w:val="00C31BC8"/>
    <w:rsid w:val="00C523FA"/>
    <w:rsid w:val="00C65689"/>
    <w:rsid w:val="00CB4640"/>
    <w:rsid w:val="00CC2C8E"/>
    <w:rsid w:val="00D916DE"/>
    <w:rsid w:val="00E55B59"/>
    <w:rsid w:val="00E84965"/>
    <w:rsid w:val="00ED7C66"/>
    <w:rsid w:val="00FC694B"/>
    <w:rsid w:val="016646EA"/>
    <w:rsid w:val="0190287B"/>
    <w:rsid w:val="01A03C5A"/>
    <w:rsid w:val="01A5267D"/>
    <w:rsid w:val="01AF6A8D"/>
    <w:rsid w:val="024808A2"/>
    <w:rsid w:val="025C3821"/>
    <w:rsid w:val="02C60FAA"/>
    <w:rsid w:val="02DA3B1B"/>
    <w:rsid w:val="02E57B4D"/>
    <w:rsid w:val="03450B90"/>
    <w:rsid w:val="037B12D4"/>
    <w:rsid w:val="03804D63"/>
    <w:rsid w:val="03B81B85"/>
    <w:rsid w:val="03FB73B0"/>
    <w:rsid w:val="04806B11"/>
    <w:rsid w:val="049C1B9D"/>
    <w:rsid w:val="04BD008C"/>
    <w:rsid w:val="04C55939"/>
    <w:rsid w:val="04DA28BB"/>
    <w:rsid w:val="04F528BE"/>
    <w:rsid w:val="050E10CE"/>
    <w:rsid w:val="054F2DFB"/>
    <w:rsid w:val="05991C82"/>
    <w:rsid w:val="05CD1EC8"/>
    <w:rsid w:val="061416A9"/>
    <w:rsid w:val="061D60A6"/>
    <w:rsid w:val="06236884"/>
    <w:rsid w:val="06B07006"/>
    <w:rsid w:val="06FC7C2A"/>
    <w:rsid w:val="07533AFE"/>
    <w:rsid w:val="07AC18F2"/>
    <w:rsid w:val="07B3657A"/>
    <w:rsid w:val="07C857D0"/>
    <w:rsid w:val="083F3A0A"/>
    <w:rsid w:val="08AB5AAF"/>
    <w:rsid w:val="09012C64"/>
    <w:rsid w:val="093B2E99"/>
    <w:rsid w:val="095D7943"/>
    <w:rsid w:val="09C006C6"/>
    <w:rsid w:val="0A10621F"/>
    <w:rsid w:val="0A464C4F"/>
    <w:rsid w:val="0A6729A3"/>
    <w:rsid w:val="0A694877"/>
    <w:rsid w:val="0AA954BE"/>
    <w:rsid w:val="0AE70639"/>
    <w:rsid w:val="0B4F5E6D"/>
    <w:rsid w:val="0B54502F"/>
    <w:rsid w:val="0B753AE2"/>
    <w:rsid w:val="0BB67D0A"/>
    <w:rsid w:val="0BC56230"/>
    <w:rsid w:val="0BCF21BD"/>
    <w:rsid w:val="0C4E53E8"/>
    <w:rsid w:val="0C6712D6"/>
    <w:rsid w:val="0C9F7900"/>
    <w:rsid w:val="0CB23317"/>
    <w:rsid w:val="0D101068"/>
    <w:rsid w:val="0D4E13BE"/>
    <w:rsid w:val="0D7557DF"/>
    <w:rsid w:val="0D853E34"/>
    <w:rsid w:val="0D9C2A57"/>
    <w:rsid w:val="0DC3019B"/>
    <w:rsid w:val="0DFA5D82"/>
    <w:rsid w:val="0E1E52CE"/>
    <w:rsid w:val="0E2F0E06"/>
    <w:rsid w:val="0E722011"/>
    <w:rsid w:val="0E866524"/>
    <w:rsid w:val="0E9268D3"/>
    <w:rsid w:val="0E957F1F"/>
    <w:rsid w:val="0F0E7284"/>
    <w:rsid w:val="0F28110F"/>
    <w:rsid w:val="0F37083F"/>
    <w:rsid w:val="0F7470AF"/>
    <w:rsid w:val="0F891DB8"/>
    <w:rsid w:val="0F8D3287"/>
    <w:rsid w:val="0FAA3B86"/>
    <w:rsid w:val="10191346"/>
    <w:rsid w:val="102A01A6"/>
    <w:rsid w:val="105A290D"/>
    <w:rsid w:val="10754A6C"/>
    <w:rsid w:val="108B537D"/>
    <w:rsid w:val="10B11DB1"/>
    <w:rsid w:val="10E649D4"/>
    <w:rsid w:val="11177F57"/>
    <w:rsid w:val="11217C97"/>
    <w:rsid w:val="11464C20"/>
    <w:rsid w:val="115E4926"/>
    <w:rsid w:val="118A1FFA"/>
    <w:rsid w:val="11E35B5A"/>
    <w:rsid w:val="11E42DD6"/>
    <w:rsid w:val="125F5A1B"/>
    <w:rsid w:val="126979D6"/>
    <w:rsid w:val="128400B6"/>
    <w:rsid w:val="129E45A7"/>
    <w:rsid w:val="13074404"/>
    <w:rsid w:val="136A5C00"/>
    <w:rsid w:val="13B97B08"/>
    <w:rsid w:val="13C527AC"/>
    <w:rsid w:val="14043656"/>
    <w:rsid w:val="143C61AE"/>
    <w:rsid w:val="14711797"/>
    <w:rsid w:val="147B6F17"/>
    <w:rsid w:val="14D42061"/>
    <w:rsid w:val="15081C8B"/>
    <w:rsid w:val="15090D5C"/>
    <w:rsid w:val="15CF053D"/>
    <w:rsid w:val="15E0131A"/>
    <w:rsid w:val="15E11DC0"/>
    <w:rsid w:val="16457D9F"/>
    <w:rsid w:val="17223EFF"/>
    <w:rsid w:val="17AA5F28"/>
    <w:rsid w:val="17B713F6"/>
    <w:rsid w:val="184350A0"/>
    <w:rsid w:val="18935485"/>
    <w:rsid w:val="18A34206"/>
    <w:rsid w:val="18DE3B2C"/>
    <w:rsid w:val="1906685D"/>
    <w:rsid w:val="19111683"/>
    <w:rsid w:val="19353916"/>
    <w:rsid w:val="193E101D"/>
    <w:rsid w:val="19C10AF1"/>
    <w:rsid w:val="1A017CDA"/>
    <w:rsid w:val="1A2672DE"/>
    <w:rsid w:val="1AA81D42"/>
    <w:rsid w:val="1AB433D9"/>
    <w:rsid w:val="1AFB6D70"/>
    <w:rsid w:val="1B1B11EE"/>
    <w:rsid w:val="1B3719E0"/>
    <w:rsid w:val="1B6261C3"/>
    <w:rsid w:val="1B731730"/>
    <w:rsid w:val="1B882BB5"/>
    <w:rsid w:val="1B9B33C7"/>
    <w:rsid w:val="1B9D7FEC"/>
    <w:rsid w:val="1BA55461"/>
    <w:rsid w:val="1BE74496"/>
    <w:rsid w:val="1C3D67D1"/>
    <w:rsid w:val="1C40731A"/>
    <w:rsid w:val="1C506572"/>
    <w:rsid w:val="1C560392"/>
    <w:rsid w:val="1C581532"/>
    <w:rsid w:val="1C9F2E05"/>
    <w:rsid w:val="1CA15E03"/>
    <w:rsid w:val="1CA24F0C"/>
    <w:rsid w:val="1CF8716C"/>
    <w:rsid w:val="1D1638FE"/>
    <w:rsid w:val="1D1E545A"/>
    <w:rsid w:val="1D4B1F5B"/>
    <w:rsid w:val="1D6C5CA0"/>
    <w:rsid w:val="1D725586"/>
    <w:rsid w:val="1D745B4F"/>
    <w:rsid w:val="1D867987"/>
    <w:rsid w:val="1D944010"/>
    <w:rsid w:val="1DD70E85"/>
    <w:rsid w:val="1DE74AD7"/>
    <w:rsid w:val="1DF60A19"/>
    <w:rsid w:val="1DFA6713"/>
    <w:rsid w:val="1E050843"/>
    <w:rsid w:val="1E2D3FB0"/>
    <w:rsid w:val="1E2E50F1"/>
    <w:rsid w:val="1E3B4E26"/>
    <w:rsid w:val="1EDF707D"/>
    <w:rsid w:val="1EF257BE"/>
    <w:rsid w:val="1F394761"/>
    <w:rsid w:val="1F65664C"/>
    <w:rsid w:val="1F7C149A"/>
    <w:rsid w:val="1F84140D"/>
    <w:rsid w:val="1F9B7FFD"/>
    <w:rsid w:val="1F9C7614"/>
    <w:rsid w:val="1FBE1971"/>
    <w:rsid w:val="2008768D"/>
    <w:rsid w:val="204B327F"/>
    <w:rsid w:val="204C2B10"/>
    <w:rsid w:val="20744926"/>
    <w:rsid w:val="207D30AD"/>
    <w:rsid w:val="209064B9"/>
    <w:rsid w:val="20970D81"/>
    <w:rsid w:val="20D165D5"/>
    <w:rsid w:val="210878E6"/>
    <w:rsid w:val="210E1408"/>
    <w:rsid w:val="211069AD"/>
    <w:rsid w:val="21573FAB"/>
    <w:rsid w:val="2172069C"/>
    <w:rsid w:val="21987BC4"/>
    <w:rsid w:val="21BE314A"/>
    <w:rsid w:val="220451AB"/>
    <w:rsid w:val="221B6776"/>
    <w:rsid w:val="2237486E"/>
    <w:rsid w:val="223D1378"/>
    <w:rsid w:val="22451BC7"/>
    <w:rsid w:val="22940650"/>
    <w:rsid w:val="22AD4B1E"/>
    <w:rsid w:val="22AE6259"/>
    <w:rsid w:val="22C43743"/>
    <w:rsid w:val="22D31DF3"/>
    <w:rsid w:val="22FD3CF7"/>
    <w:rsid w:val="232C221B"/>
    <w:rsid w:val="2356249E"/>
    <w:rsid w:val="236E713A"/>
    <w:rsid w:val="23700968"/>
    <w:rsid w:val="238761A6"/>
    <w:rsid w:val="23920578"/>
    <w:rsid w:val="23AB0BB4"/>
    <w:rsid w:val="23BB6F9A"/>
    <w:rsid w:val="23FC3864"/>
    <w:rsid w:val="24857B00"/>
    <w:rsid w:val="24F25212"/>
    <w:rsid w:val="251B0465"/>
    <w:rsid w:val="254B0AC6"/>
    <w:rsid w:val="25571AB6"/>
    <w:rsid w:val="25B40AD6"/>
    <w:rsid w:val="25BE7872"/>
    <w:rsid w:val="25BF702A"/>
    <w:rsid w:val="26390459"/>
    <w:rsid w:val="264D2D17"/>
    <w:rsid w:val="26D50E55"/>
    <w:rsid w:val="271A539C"/>
    <w:rsid w:val="273823FA"/>
    <w:rsid w:val="274972D4"/>
    <w:rsid w:val="27AA3D97"/>
    <w:rsid w:val="280A3758"/>
    <w:rsid w:val="28292E99"/>
    <w:rsid w:val="289057C5"/>
    <w:rsid w:val="28A67C7A"/>
    <w:rsid w:val="28EA3248"/>
    <w:rsid w:val="28F879DA"/>
    <w:rsid w:val="294B7731"/>
    <w:rsid w:val="29514455"/>
    <w:rsid w:val="29530A33"/>
    <w:rsid w:val="29D21FF2"/>
    <w:rsid w:val="29F91E8D"/>
    <w:rsid w:val="2A611B0F"/>
    <w:rsid w:val="2AA712A4"/>
    <w:rsid w:val="2AC1762B"/>
    <w:rsid w:val="2AE845D0"/>
    <w:rsid w:val="2B4975FB"/>
    <w:rsid w:val="2B695031"/>
    <w:rsid w:val="2B735A8F"/>
    <w:rsid w:val="2BA7478D"/>
    <w:rsid w:val="2BB038DB"/>
    <w:rsid w:val="2BB761E0"/>
    <w:rsid w:val="2BB812F9"/>
    <w:rsid w:val="2BE35C27"/>
    <w:rsid w:val="2BFA504B"/>
    <w:rsid w:val="2BFF2BAC"/>
    <w:rsid w:val="2C681F1F"/>
    <w:rsid w:val="2C8608DC"/>
    <w:rsid w:val="2CA4764A"/>
    <w:rsid w:val="2CC42ECA"/>
    <w:rsid w:val="2CDA4349"/>
    <w:rsid w:val="2D225539"/>
    <w:rsid w:val="2D4618D2"/>
    <w:rsid w:val="2D5F021B"/>
    <w:rsid w:val="2D6E1286"/>
    <w:rsid w:val="2D70583E"/>
    <w:rsid w:val="2E0725DC"/>
    <w:rsid w:val="2E1B4BB8"/>
    <w:rsid w:val="2E256CB6"/>
    <w:rsid w:val="2E5F27E4"/>
    <w:rsid w:val="2EBD223E"/>
    <w:rsid w:val="2EC10AD1"/>
    <w:rsid w:val="2ECB6A5A"/>
    <w:rsid w:val="2EE65418"/>
    <w:rsid w:val="2EFC0112"/>
    <w:rsid w:val="2F0F6197"/>
    <w:rsid w:val="2F2B730D"/>
    <w:rsid w:val="2F9F3DC1"/>
    <w:rsid w:val="2FDD68F6"/>
    <w:rsid w:val="2FFC7AC2"/>
    <w:rsid w:val="301430AF"/>
    <w:rsid w:val="30630612"/>
    <w:rsid w:val="30746475"/>
    <w:rsid w:val="308E59B0"/>
    <w:rsid w:val="30B10568"/>
    <w:rsid w:val="30E55DD3"/>
    <w:rsid w:val="30E60399"/>
    <w:rsid w:val="31356AA5"/>
    <w:rsid w:val="313E22F0"/>
    <w:rsid w:val="31B0194C"/>
    <w:rsid w:val="31CE17D1"/>
    <w:rsid w:val="32270449"/>
    <w:rsid w:val="323E4515"/>
    <w:rsid w:val="3286389B"/>
    <w:rsid w:val="32994FDB"/>
    <w:rsid w:val="32CF5C94"/>
    <w:rsid w:val="32D337C7"/>
    <w:rsid w:val="32E200EC"/>
    <w:rsid w:val="32E5408B"/>
    <w:rsid w:val="32EB0D70"/>
    <w:rsid w:val="332824BC"/>
    <w:rsid w:val="332868BB"/>
    <w:rsid w:val="333211F3"/>
    <w:rsid w:val="33504B41"/>
    <w:rsid w:val="338B4A07"/>
    <w:rsid w:val="33944811"/>
    <w:rsid w:val="33CE0488"/>
    <w:rsid w:val="341D31EE"/>
    <w:rsid w:val="34262463"/>
    <w:rsid w:val="34296F31"/>
    <w:rsid w:val="34340A27"/>
    <w:rsid w:val="346A2989"/>
    <w:rsid w:val="348865E9"/>
    <w:rsid w:val="348F70D5"/>
    <w:rsid w:val="349D2BAD"/>
    <w:rsid w:val="34B25886"/>
    <w:rsid w:val="35277FF8"/>
    <w:rsid w:val="355A779D"/>
    <w:rsid w:val="35763460"/>
    <w:rsid w:val="35776F72"/>
    <w:rsid w:val="35997371"/>
    <w:rsid w:val="35DD4D47"/>
    <w:rsid w:val="35FDAB06"/>
    <w:rsid w:val="360134DF"/>
    <w:rsid w:val="360B1E2F"/>
    <w:rsid w:val="360D500F"/>
    <w:rsid w:val="36330424"/>
    <w:rsid w:val="36FE3ABA"/>
    <w:rsid w:val="37072BDE"/>
    <w:rsid w:val="37455334"/>
    <w:rsid w:val="37527C32"/>
    <w:rsid w:val="376F0A96"/>
    <w:rsid w:val="37731921"/>
    <w:rsid w:val="37E509C0"/>
    <w:rsid w:val="37E96FB8"/>
    <w:rsid w:val="38222D85"/>
    <w:rsid w:val="38803721"/>
    <w:rsid w:val="38925A62"/>
    <w:rsid w:val="389F5F4F"/>
    <w:rsid w:val="38C36BA2"/>
    <w:rsid w:val="38E11CEF"/>
    <w:rsid w:val="38F6595C"/>
    <w:rsid w:val="391702A7"/>
    <w:rsid w:val="39286EB6"/>
    <w:rsid w:val="39601DF4"/>
    <w:rsid w:val="396960F3"/>
    <w:rsid w:val="39840D35"/>
    <w:rsid w:val="39A97DAF"/>
    <w:rsid w:val="39CD1330"/>
    <w:rsid w:val="39DD1AFF"/>
    <w:rsid w:val="3A2510B9"/>
    <w:rsid w:val="3A2B1DFC"/>
    <w:rsid w:val="3AA6422C"/>
    <w:rsid w:val="3AAF46D5"/>
    <w:rsid w:val="3AF562AE"/>
    <w:rsid w:val="3B052254"/>
    <w:rsid w:val="3B135A0E"/>
    <w:rsid w:val="3B272BBC"/>
    <w:rsid w:val="3B374FEE"/>
    <w:rsid w:val="3B4410EE"/>
    <w:rsid w:val="3B56159C"/>
    <w:rsid w:val="3B596DF7"/>
    <w:rsid w:val="3B7D732B"/>
    <w:rsid w:val="3BD30423"/>
    <w:rsid w:val="3C6C0B58"/>
    <w:rsid w:val="3CBE41D5"/>
    <w:rsid w:val="3D446B0E"/>
    <w:rsid w:val="3D745844"/>
    <w:rsid w:val="3D953A6B"/>
    <w:rsid w:val="3DBB5979"/>
    <w:rsid w:val="3DD56F21"/>
    <w:rsid w:val="3DEF6699"/>
    <w:rsid w:val="3DFD4677"/>
    <w:rsid w:val="3E1057AF"/>
    <w:rsid w:val="3E6C0DFA"/>
    <w:rsid w:val="3E740322"/>
    <w:rsid w:val="3E7F4380"/>
    <w:rsid w:val="3E8D171B"/>
    <w:rsid w:val="3EA5630D"/>
    <w:rsid w:val="3EBA731B"/>
    <w:rsid w:val="3EE33949"/>
    <w:rsid w:val="3EFB5800"/>
    <w:rsid w:val="3F3B4E59"/>
    <w:rsid w:val="3F6E677C"/>
    <w:rsid w:val="3F712F46"/>
    <w:rsid w:val="3FBC0EF7"/>
    <w:rsid w:val="3FCD2AB9"/>
    <w:rsid w:val="3FCFF788"/>
    <w:rsid w:val="3FD17600"/>
    <w:rsid w:val="402E7C36"/>
    <w:rsid w:val="4050218A"/>
    <w:rsid w:val="405C7868"/>
    <w:rsid w:val="408B24EB"/>
    <w:rsid w:val="408D1DBF"/>
    <w:rsid w:val="40C652D1"/>
    <w:rsid w:val="417044B8"/>
    <w:rsid w:val="41A203A0"/>
    <w:rsid w:val="41A25D3E"/>
    <w:rsid w:val="41C77987"/>
    <w:rsid w:val="41E83F8C"/>
    <w:rsid w:val="422D1842"/>
    <w:rsid w:val="425B7C31"/>
    <w:rsid w:val="427D66D0"/>
    <w:rsid w:val="42BC7E02"/>
    <w:rsid w:val="42C82575"/>
    <w:rsid w:val="43022EE1"/>
    <w:rsid w:val="431A5F8F"/>
    <w:rsid w:val="431F247A"/>
    <w:rsid w:val="43335E8F"/>
    <w:rsid w:val="433F2968"/>
    <w:rsid w:val="43655F7F"/>
    <w:rsid w:val="43676E20"/>
    <w:rsid w:val="43A31040"/>
    <w:rsid w:val="43BF774E"/>
    <w:rsid w:val="43CD062F"/>
    <w:rsid w:val="43E214F9"/>
    <w:rsid w:val="43F06264"/>
    <w:rsid w:val="44404C8E"/>
    <w:rsid w:val="447537F1"/>
    <w:rsid w:val="44870D07"/>
    <w:rsid w:val="44D33826"/>
    <w:rsid w:val="45344EFF"/>
    <w:rsid w:val="45513D03"/>
    <w:rsid w:val="45541E1C"/>
    <w:rsid w:val="45FE7734"/>
    <w:rsid w:val="461F0A8B"/>
    <w:rsid w:val="4648721E"/>
    <w:rsid w:val="46663E71"/>
    <w:rsid w:val="466A37AC"/>
    <w:rsid w:val="468A1A00"/>
    <w:rsid w:val="46CB071B"/>
    <w:rsid w:val="46DE140B"/>
    <w:rsid w:val="46E77334"/>
    <w:rsid w:val="46F22E29"/>
    <w:rsid w:val="46F7142F"/>
    <w:rsid w:val="47107AE3"/>
    <w:rsid w:val="47374D8E"/>
    <w:rsid w:val="473C62ED"/>
    <w:rsid w:val="47617242"/>
    <w:rsid w:val="478C16C9"/>
    <w:rsid w:val="47BD246B"/>
    <w:rsid w:val="47CB2B0C"/>
    <w:rsid w:val="47E773CE"/>
    <w:rsid w:val="47EE2C9A"/>
    <w:rsid w:val="47EE71C5"/>
    <w:rsid w:val="47F00499"/>
    <w:rsid w:val="48015FF5"/>
    <w:rsid w:val="483820D2"/>
    <w:rsid w:val="48692CD0"/>
    <w:rsid w:val="48AE3D01"/>
    <w:rsid w:val="48B96318"/>
    <w:rsid w:val="49067B2F"/>
    <w:rsid w:val="49677E31"/>
    <w:rsid w:val="496C2225"/>
    <w:rsid w:val="49A35E02"/>
    <w:rsid w:val="49AE2880"/>
    <w:rsid w:val="49F42EAF"/>
    <w:rsid w:val="4A337323"/>
    <w:rsid w:val="4A5B28DC"/>
    <w:rsid w:val="4AA06B93"/>
    <w:rsid w:val="4ADB18EB"/>
    <w:rsid w:val="4B3A6FE7"/>
    <w:rsid w:val="4B96118E"/>
    <w:rsid w:val="4BAE1B66"/>
    <w:rsid w:val="4BC806E6"/>
    <w:rsid w:val="4BED4708"/>
    <w:rsid w:val="4BF133DC"/>
    <w:rsid w:val="4C2E4987"/>
    <w:rsid w:val="4C4117A4"/>
    <w:rsid w:val="4C507D4A"/>
    <w:rsid w:val="4CB65017"/>
    <w:rsid w:val="4CDF5563"/>
    <w:rsid w:val="4CFB2214"/>
    <w:rsid w:val="4D2C4D26"/>
    <w:rsid w:val="4D335E0E"/>
    <w:rsid w:val="4D4E4EA3"/>
    <w:rsid w:val="4D9A5B1B"/>
    <w:rsid w:val="4DA55D85"/>
    <w:rsid w:val="4DBB20DB"/>
    <w:rsid w:val="4DDC3F22"/>
    <w:rsid w:val="4DE66FB2"/>
    <w:rsid w:val="4DEC6CB8"/>
    <w:rsid w:val="4E1040C7"/>
    <w:rsid w:val="4E1760BF"/>
    <w:rsid w:val="4E30647F"/>
    <w:rsid w:val="4EBA03C3"/>
    <w:rsid w:val="4EBC5459"/>
    <w:rsid w:val="4ED94CB0"/>
    <w:rsid w:val="4EEC2ED3"/>
    <w:rsid w:val="4F0E56EA"/>
    <w:rsid w:val="4F2E11BC"/>
    <w:rsid w:val="4F326DA2"/>
    <w:rsid w:val="4F3C4343"/>
    <w:rsid w:val="4F416688"/>
    <w:rsid w:val="4F5620B0"/>
    <w:rsid w:val="4F616EB4"/>
    <w:rsid w:val="4F6654EE"/>
    <w:rsid w:val="4F7379C6"/>
    <w:rsid w:val="4F872BDB"/>
    <w:rsid w:val="4F934F18"/>
    <w:rsid w:val="4FA033E9"/>
    <w:rsid w:val="4FA743DA"/>
    <w:rsid w:val="4FB3565A"/>
    <w:rsid w:val="4FC4714D"/>
    <w:rsid w:val="4FEC4E80"/>
    <w:rsid w:val="503D1C79"/>
    <w:rsid w:val="5072771C"/>
    <w:rsid w:val="507A6406"/>
    <w:rsid w:val="50853863"/>
    <w:rsid w:val="508A4590"/>
    <w:rsid w:val="50F1461D"/>
    <w:rsid w:val="50FE5411"/>
    <w:rsid w:val="510B072E"/>
    <w:rsid w:val="511B0BF4"/>
    <w:rsid w:val="51264306"/>
    <w:rsid w:val="514E62C9"/>
    <w:rsid w:val="516123CE"/>
    <w:rsid w:val="51932FAD"/>
    <w:rsid w:val="51B177A9"/>
    <w:rsid w:val="51E066EB"/>
    <w:rsid w:val="52640E8B"/>
    <w:rsid w:val="5267570A"/>
    <w:rsid w:val="52707792"/>
    <w:rsid w:val="52A12CDC"/>
    <w:rsid w:val="52DF0C92"/>
    <w:rsid w:val="52E1159C"/>
    <w:rsid w:val="52E34D6A"/>
    <w:rsid w:val="531E524E"/>
    <w:rsid w:val="534072EB"/>
    <w:rsid w:val="537648BE"/>
    <w:rsid w:val="538E2D0B"/>
    <w:rsid w:val="53922782"/>
    <w:rsid w:val="539C1424"/>
    <w:rsid w:val="53A639C0"/>
    <w:rsid w:val="53F00A24"/>
    <w:rsid w:val="53F63DBA"/>
    <w:rsid w:val="5448624E"/>
    <w:rsid w:val="546E2B1A"/>
    <w:rsid w:val="5482555F"/>
    <w:rsid w:val="54A31DD8"/>
    <w:rsid w:val="54AA6F8B"/>
    <w:rsid w:val="54D26583"/>
    <w:rsid w:val="55363E67"/>
    <w:rsid w:val="556E6DF7"/>
    <w:rsid w:val="55965CE3"/>
    <w:rsid w:val="559D47CE"/>
    <w:rsid w:val="55BE1959"/>
    <w:rsid w:val="55C0134C"/>
    <w:rsid w:val="56232437"/>
    <w:rsid w:val="562D39F0"/>
    <w:rsid w:val="56541A75"/>
    <w:rsid w:val="568832FC"/>
    <w:rsid w:val="568C4181"/>
    <w:rsid w:val="570725A9"/>
    <w:rsid w:val="5714693E"/>
    <w:rsid w:val="571D0C9C"/>
    <w:rsid w:val="573A16CE"/>
    <w:rsid w:val="579C7F80"/>
    <w:rsid w:val="57B30D7C"/>
    <w:rsid w:val="57F9AC10"/>
    <w:rsid w:val="58166B03"/>
    <w:rsid w:val="581D5212"/>
    <w:rsid w:val="583E3C94"/>
    <w:rsid w:val="58721734"/>
    <w:rsid w:val="58900246"/>
    <w:rsid w:val="58977358"/>
    <w:rsid w:val="58D53944"/>
    <w:rsid w:val="58D65478"/>
    <w:rsid w:val="58F52487"/>
    <w:rsid w:val="590422E6"/>
    <w:rsid w:val="592257E5"/>
    <w:rsid w:val="59655E33"/>
    <w:rsid w:val="59B65599"/>
    <w:rsid w:val="59CF5BD9"/>
    <w:rsid w:val="59E20C3C"/>
    <w:rsid w:val="5A1D5B0A"/>
    <w:rsid w:val="5A3B4B4E"/>
    <w:rsid w:val="5A4804CA"/>
    <w:rsid w:val="5A594C85"/>
    <w:rsid w:val="5A8842AA"/>
    <w:rsid w:val="5AEB1E3C"/>
    <w:rsid w:val="5B2507CA"/>
    <w:rsid w:val="5B2A474A"/>
    <w:rsid w:val="5B2D237E"/>
    <w:rsid w:val="5B830730"/>
    <w:rsid w:val="5BBB2DD6"/>
    <w:rsid w:val="5BE263B6"/>
    <w:rsid w:val="5C8E5C5A"/>
    <w:rsid w:val="5C965E61"/>
    <w:rsid w:val="5CF0089C"/>
    <w:rsid w:val="5CF5796F"/>
    <w:rsid w:val="5D242A11"/>
    <w:rsid w:val="5D9217C2"/>
    <w:rsid w:val="5DAD06BF"/>
    <w:rsid w:val="5DC92CE9"/>
    <w:rsid w:val="5DE23CB3"/>
    <w:rsid w:val="5DE97EEC"/>
    <w:rsid w:val="5DFA5EB0"/>
    <w:rsid w:val="5E000E4D"/>
    <w:rsid w:val="5E0B583E"/>
    <w:rsid w:val="5E201A7B"/>
    <w:rsid w:val="5EA45884"/>
    <w:rsid w:val="5EBD0484"/>
    <w:rsid w:val="5F2C5C7C"/>
    <w:rsid w:val="5F36141C"/>
    <w:rsid w:val="5FC5273F"/>
    <w:rsid w:val="604F6C39"/>
    <w:rsid w:val="60806DF2"/>
    <w:rsid w:val="61072DA5"/>
    <w:rsid w:val="611C0817"/>
    <w:rsid w:val="61224A52"/>
    <w:rsid w:val="61520CCB"/>
    <w:rsid w:val="61851A29"/>
    <w:rsid w:val="622D1522"/>
    <w:rsid w:val="622E0574"/>
    <w:rsid w:val="62683B6B"/>
    <w:rsid w:val="6275761C"/>
    <w:rsid w:val="62816E52"/>
    <w:rsid w:val="62AB7BE6"/>
    <w:rsid w:val="62AC5944"/>
    <w:rsid w:val="632F3F8A"/>
    <w:rsid w:val="63716241"/>
    <w:rsid w:val="637279B4"/>
    <w:rsid w:val="63817D2B"/>
    <w:rsid w:val="63BD1FA9"/>
    <w:rsid w:val="63D175D1"/>
    <w:rsid w:val="63D27965"/>
    <w:rsid w:val="63F4667E"/>
    <w:rsid w:val="64095516"/>
    <w:rsid w:val="641A2468"/>
    <w:rsid w:val="64372F20"/>
    <w:rsid w:val="648944D0"/>
    <w:rsid w:val="64DC72D7"/>
    <w:rsid w:val="64FA42B4"/>
    <w:rsid w:val="653619A6"/>
    <w:rsid w:val="65610A02"/>
    <w:rsid w:val="65A11EA3"/>
    <w:rsid w:val="65AC3D66"/>
    <w:rsid w:val="65BB5334"/>
    <w:rsid w:val="663E1DBA"/>
    <w:rsid w:val="665D0213"/>
    <w:rsid w:val="668506C7"/>
    <w:rsid w:val="669E59F1"/>
    <w:rsid w:val="66A2024B"/>
    <w:rsid w:val="6704732B"/>
    <w:rsid w:val="670F6731"/>
    <w:rsid w:val="67585CB0"/>
    <w:rsid w:val="67770F0C"/>
    <w:rsid w:val="67B03535"/>
    <w:rsid w:val="68174F69"/>
    <w:rsid w:val="682C436A"/>
    <w:rsid w:val="68382778"/>
    <w:rsid w:val="68391F41"/>
    <w:rsid w:val="68436B8C"/>
    <w:rsid w:val="68797358"/>
    <w:rsid w:val="6884624F"/>
    <w:rsid w:val="68A519DF"/>
    <w:rsid w:val="68C4160B"/>
    <w:rsid w:val="68C41C30"/>
    <w:rsid w:val="68CF3BA4"/>
    <w:rsid w:val="69257FA7"/>
    <w:rsid w:val="693F26C7"/>
    <w:rsid w:val="697E12B2"/>
    <w:rsid w:val="69A26677"/>
    <w:rsid w:val="69C8706D"/>
    <w:rsid w:val="6A0E3FB4"/>
    <w:rsid w:val="6A292754"/>
    <w:rsid w:val="6A5E3B28"/>
    <w:rsid w:val="6A6B1EBE"/>
    <w:rsid w:val="6A8F43F7"/>
    <w:rsid w:val="6AD625F3"/>
    <w:rsid w:val="6ADB2BEB"/>
    <w:rsid w:val="6B7218BE"/>
    <w:rsid w:val="6B750BA9"/>
    <w:rsid w:val="6BB93285"/>
    <w:rsid w:val="6BD72E32"/>
    <w:rsid w:val="6BEDF527"/>
    <w:rsid w:val="6C0C698C"/>
    <w:rsid w:val="6C222401"/>
    <w:rsid w:val="6C56267F"/>
    <w:rsid w:val="6C826EF9"/>
    <w:rsid w:val="6CAE4C93"/>
    <w:rsid w:val="6CB14F16"/>
    <w:rsid w:val="6CEC2069"/>
    <w:rsid w:val="6CF77199"/>
    <w:rsid w:val="6D0B1869"/>
    <w:rsid w:val="6D510034"/>
    <w:rsid w:val="6D65402D"/>
    <w:rsid w:val="6D683822"/>
    <w:rsid w:val="6D8D136C"/>
    <w:rsid w:val="6DBF2759"/>
    <w:rsid w:val="6DC96F36"/>
    <w:rsid w:val="6DFA3EBF"/>
    <w:rsid w:val="6E3E63D2"/>
    <w:rsid w:val="6E5F7BE6"/>
    <w:rsid w:val="6E6918C6"/>
    <w:rsid w:val="6EEB4AC4"/>
    <w:rsid w:val="6F212DD6"/>
    <w:rsid w:val="6F3B5912"/>
    <w:rsid w:val="6FA14A81"/>
    <w:rsid w:val="6FA3261F"/>
    <w:rsid w:val="6FB44BAA"/>
    <w:rsid w:val="6FD78D8A"/>
    <w:rsid w:val="6FFDCF89"/>
    <w:rsid w:val="700D6539"/>
    <w:rsid w:val="704203E3"/>
    <w:rsid w:val="7058046B"/>
    <w:rsid w:val="707F2079"/>
    <w:rsid w:val="70922734"/>
    <w:rsid w:val="70CD16CB"/>
    <w:rsid w:val="70CE6DC7"/>
    <w:rsid w:val="710B3646"/>
    <w:rsid w:val="711759F2"/>
    <w:rsid w:val="713C4ED8"/>
    <w:rsid w:val="71407642"/>
    <w:rsid w:val="71641210"/>
    <w:rsid w:val="71D95B7C"/>
    <w:rsid w:val="71EA6A50"/>
    <w:rsid w:val="71FE31A8"/>
    <w:rsid w:val="720C30AE"/>
    <w:rsid w:val="721A7983"/>
    <w:rsid w:val="721F6113"/>
    <w:rsid w:val="7233782C"/>
    <w:rsid w:val="729C0443"/>
    <w:rsid w:val="73177841"/>
    <w:rsid w:val="733774FE"/>
    <w:rsid w:val="73617E1B"/>
    <w:rsid w:val="736D7653"/>
    <w:rsid w:val="738035CB"/>
    <w:rsid w:val="73852C46"/>
    <w:rsid w:val="7396335C"/>
    <w:rsid w:val="73F46595"/>
    <w:rsid w:val="74283FA2"/>
    <w:rsid w:val="742C135B"/>
    <w:rsid w:val="74463733"/>
    <w:rsid w:val="748A2F40"/>
    <w:rsid w:val="74D84FF7"/>
    <w:rsid w:val="74F85778"/>
    <w:rsid w:val="751C3F43"/>
    <w:rsid w:val="75272439"/>
    <w:rsid w:val="758F1E9B"/>
    <w:rsid w:val="75BE8D88"/>
    <w:rsid w:val="75CE266B"/>
    <w:rsid w:val="75DD86E9"/>
    <w:rsid w:val="76120141"/>
    <w:rsid w:val="768216BE"/>
    <w:rsid w:val="76924256"/>
    <w:rsid w:val="76C23B43"/>
    <w:rsid w:val="76FD6F97"/>
    <w:rsid w:val="770218E8"/>
    <w:rsid w:val="779469CE"/>
    <w:rsid w:val="77C875A5"/>
    <w:rsid w:val="78A27DF6"/>
    <w:rsid w:val="79285B3A"/>
    <w:rsid w:val="79490B03"/>
    <w:rsid w:val="79625CA9"/>
    <w:rsid w:val="79A91196"/>
    <w:rsid w:val="7A0B32D3"/>
    <w:rsid w:val="7AC13CD3"/>
    <w:rsid w:val="7AE10264"/>
    <w:rsid w:val="7AE4248E"/>
    <w:rsid w:val="7AF47613"/>
    <w:rsid w:val="7B4A207F"/>
    <w:rsid w:val="7B550C59"/>
    <w:rsid w:val="7B936F45"/>
    <w:rsid w:val="7BA47419"/>
    <w:rsid w:val="7BB10D45"/>
    <w:rsid w:val="7BB44151"/>
    <w:rsid w:val="7C656A39"/>
    <w:rsid w:val="7C7D158B"/>
    <w:rsid w:val="7CB93996"/>
    <w:rsid w:val="7CBE0F99"/>
    <w:rsid w:val="7D093576"/>
    <w:rsid w:val="7D115EA6"/>
    <w:rsid w:val="7D4E45F1"/>
    <w:rsid w:val="7DFB6D82"/>
    <w:rsid w:val="7DFED4AA"/>
    <w:rsid w:val="7E1D71D1"/>
    <w:rsid w:val="7E246254"/>
    <w:rsid w:val="7E553215"/>
    <w:rsid w:val="7E6D090F"/>
    <w:rsid w:val="7ECC66B2"/>
    <w:rsid w:val="7F2914C3"/>
    <w:rsid w:val="7F3F250A"/>
    <w:rsid w:val="7F5F2ED6"/>
    <w:rsid w:val="7F7BD542"/>
    <w:rsid w:val="7FA837EF"/>
    <w:rsid w:val="7FBC9352"/>
    <w:rsid w:val="7FC36955"/>
    <w:rsid w:val="7FE903A0"/>
    <w:rsid w:val="7FF07065"/>
    <w:rsid w:val="7FF1653D"/>
    <w:rsid w:val="7FF97946"/>
    <w:rsid w:val="7FFE7888"/>
    <w:rsid w:val="7FFFB5DB"/>
    <w:rsid w:val="8E7B9B6B"/>
    <w:rsid w:val="9FFBFF3B"/>
    <w:rsid w:val="A3BFD1C8"/>
    <w:rsid w:val="AFFFAB52"/>
    <w:rsid w:val="B73F34E5"/>
    <w:rsid w:val="B8E28D64"/>
    <w:rsid w:val="BA9E294D"/>
    <w:rsid w:val="BFA54E51"/>
    <w:rsid w:val="CDFC0DEF"/>
    <w:rsid w:val="D3E60E83"/>
    <w:rsid w:val="DB4FE050"/>
    <w:rsid w:val="DBD6B4AE"/>
    <w:rsid w:val="DBFEF0D2"/>
    <w:rsid w:val="DFBD6FEF"/>
    <w:rsid w:val="DFDE4B57"/>
    <w:rsid w:val="E2DE949D"/>
    <w:rsid w:val="E4C8A119"/>
    <w:rsid w:val="E7F4D2DA"/>
    <w:rsid w:val="E9EF6F43"/>
    <w:rsid w:val="EBF02B0F"/>
    <w:rsid w:val="EEE74D43"/>
    <w:rsid w:val="EF7BA4A3"/>
    <w:rsid w:val="EFEFA57D"/>
    <w:rsid w:val="F65F61B1"/>
    <w:rsid w:val="F997E54E"/>
    <w:rsid w:val="FA7BD81E"/>
    <w:rsid w:val="FAF7E9AA"/>
    <w:rsid w:val="FB4C53D1"/>
    <w:rsid w:val="FBEF8F85"/>
    <w:rsid w:val="FBFD3F15"/>
    <w:rsid w:val="FCF3508D"/>
    <w:rsid w:val="FCFD37B6"/>
    <w:rsid w:val="FD6FC958"/>
    <w:rsid w:val="FDF7B17C"/>
    <w:rsid w:val="FEF7CD5E"/>
    <w:rsid w:val="FF7F73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sz w:val="24"/>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340" w:afterLines="50" w:line="578" w:lineRule="auto"/>
      <w:jc w:val="left"/>
      <w:outlineLvl w:val="0"/>
    </w:pPr>
    <w:rPr>
      <w:rFonts w:ascii="Times New Roman" w:hAnsi="Times New Roman" w:eastAsia="仿宋" w:cs="Times New Roman"/>
      <w:b/>
      <w:bCs/>
      <w:kern w:val="44"/>
      <w:sz w:val="36"/>
      <w:szCs w:val="44"/>
    </w:rPr>
  </w:style>
  <w:style w:type="paragraph" w:styleId="3">
    <w:name w:val="heading 2"/>
    <w:basedOn w:val="1"/>
    <w:next w:val="1"/>
    <w:link w:val="15"/>
    <w:semiHidden/>
    <w:unhideWhenUsed/>
    <w:qFormat/>
    <w:uiPriority w:val="9"/>
    <w:pPr>
      <w:numPr>
        <w:ilvl w:val="1"/>
        <w:numId w:val="1"/>
      </w:numPr>
      <w:spacing w:line="416" w:lineRule="auto"/>
      <w:outlineLvl w:val="1"/>
    </w:pPr>
    <w:rPr>
      <w:rFonts w:ascii="Calibri Light" w:hAnsi="Calibri Light" w:eastAsia="宋体" w:cs="Times New Roman"/>
      <w:b/>
      <w:bCs/>
      <w:sz w:val="28"/>
      <w:szCs w:val="32"/>
    </w:rPr>
  </w:style>
  <w:style w:type="paragraph" w:styleId="4">
    <w:name w:val="heading 3"/>
    <w:basedOn w:val="1"/>
    <w:next w:val="1"/>
    <w:semiHidden/>
    <w:unhideWhenUsed/>
    <w:qFormat/>
    <w:uiPriority w:val="9"/>
    <w:pPr>
      <w:keepNext/>
      <w:keepLines/>
      <w:numPr>
        <w:ilvl w:val="2"/>
        <w:numId w:val="1"/>
      </w:numPr>
      <w:spacing w:beforeLines="50" w:afterLines="50" w:line="416" w:lineRule="auto"/>
      <w:outlineLvl w:val="2"/>
    </w:pPr>
    <w:rPr>
      <w:rFonts w:ascii="宋体" w:hAnsi="宋体" w:eastAsia="宋体"/>
      <w:b/>
      <w:bCs/>
      <w:sz w:val="32"/>
    </w:rPr>
  </w:style>
  <w:style w:type="paragraph" w:styleId="5">
    <w:name w:val="heading 4"/>
    <w:basedOn w:val="1"/>
    <w:next w:val="1"/>
    <w:semiHidden/>
    <w:unhideWhenUsed/>
    <w:qFormat/>
    <w:uiPriority w:val="9"/>
    <w:pPr>
      <w:keepNext/>
      <w:keepLines/>
      <w:numPr>
        <w:ilvl w:val="3"/>
        <w:numId w:val="1"/>
      </w:numPr>
      <w:spacing w:before="120" w:after="120"/>
      <w:outlineLvl w:val="3"/>
    </w:pPr>
    <w:rPr>
      <w:rFonts w:ascii="Calibri Light" w:hAnsi="Calibri Light" w:eastAsia="宋体" w:cs="Times New Roman"/>
      <w:b/>
      <w:bCs/>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Balloon Text"/>
    <w:basedOn w:val="1"/>
    <w:link w:val="24"/>
    <w:unhideWhenUsed/>
    <w:qFormat/>
    <w:uiPriority w:val="99"/>
    <w:rPr>
      <w:rFonts w:cstheme="minorBidi"/>
      <w:kern w:val="2"/>
      <w:sz w:val="18"/>
      <w:szCs w:val="18"/>
    </w:rPr>
  </w:style>
  <w:style w:type="paragraph" w:styleId="8">
    <w:name w:val="footer"/>
    <w:basedOn w:val="1"/>
    <w:link w:val="16"/>
    <w:qFormat/>
    <w:uiPriority w:val="99"/>
    <w:pPr>
      <w:tabs>
        <w:tab w:val="center" w:pos="4153"/>
        <w:tab w:val="right" w:pos="8306"/>
      </w:tabs>
      <w:snapToGrid w:val="0"/>
      <w:jc w:val="left"/>
    </w:pPr>
    <w:rPr>
      <w:rFonts w:cstheme="minorBidi"/>
      <w:kern w:val="2"/>
      <w:sz w:val="18"/>
      <w:szCs w:val="18"/>
    </w:rPr>
  </w:style>
  <w:style w:type="paragraph" w:styleId="9">
    <w:name w:val="header"/>
    <w:basedOn w:val="1"/>
    <w:link w:val="1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rFonts w:cstheme="minorBidi"/>
      <w:kern w:val="2"/>
      <w:sz w:val="18"/>
      <w:szCs w:val="18"/>
    </w:rPr>
  </w:style>
  <w:style w:type="paragraph" w:styleId="10">
    <w:name w:val="Normal (Web)"/>
    <w:basedOn w:val="1"/>
    <w:semiHidden/>
    <w:unhideWhenUsed/>
    <w:qFormat/>
    <w:uiPriority w:val="99"/>
    <w:pPr>
      <w:spacing w:beforeAutospacing="1" w:afterAutospacing="1"/>
      <w:jc w:val="left"/>
    </w:pPr>
    <w:rPr>
      <w:rFonts w:cs="Times New Roman"/>
    </w:rPr>
  </w:style>
  <w:style w:type="table" w:styleId="12">
    <w:name w:val="Table Grid"/>
    <w:qFormat/>
    <w:uiPriority w:val="0"/>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customStyle="1" w:styleId="15">
    <w:name w:val="标题 2 Char"/>
    <w:link w:val="3"/>
    <w:qFormat/>
    <w:uiPriority w:val="0"/>
    <w:rPr>
      <w:rFonts w:ascii="Calibri Light" w:hAnsi="Calibri Light" w:eastAsia="宋体" w:cs="Times New Roman"/>
      <w:b/>
      <w:bCs/>
      <w:sz w:val="28"/>
      <w:szCs w:val="32"/>
    </w:rPr>
  </w:style>
  <w:style w:type="character" w:customStyle="1" w:styleId="16">
    <w:name w:val="页脚 Char"/>
    <w:basedOn w:val="13"/>
    <w:link w:val="8"/>
    <w:qFormat/>
    <w:uiPriority w:val="99"/>
    <w:rPr>
      <w:rFonts w:asciiTheme="minorHAnsi" w:hAnsiTheme="minorHAnsi" w:eastAsiaTheme="minorEastAsia" w:cstheme="minorBidi"/>
      <w:sz w:val="18"/>
      <w:szCs w:val="18"/>
      <w:lang w:val="en-US" w:eastAsia="zh-CN" w:bidi="ar-SA"/>
    </w:rPr>
  </w:style>
  <w:style w:type="character" w:customStyle="1" w:styleId="17">
    <w:name w:val="页眉 Char"/>
    <w:basedOn w:val="13"/>
    <w:link w:val="9"/>
    <w:qFormat/>
    <w:uiPriority w:val="0"/>
    <w:rPr>
      <w:rFonts w:asciiTheme="minorHAnsi" w:hAnsiTheme="minorHAnsi" w:eastAsiaTheme="minorEastAsia" w:cstheme="minorBidi"/>
      <w:sz w:val="18"/>
      <w:szCs w:val="18"/>
      <w:lang w:val="en-US" w:eastAsia="zh-CN" w:bidi="ar-SA"/>
    </w:rPr>
  </w:style>
  <w:style w:type="character" w:customStyle="1" w:styleId="18">
    <w:name w:val="font11"/>
    <w:basedOn w:val="13"/>
    <w:qFormat/>
    <w:uiPriority w:val="0"/>
    <w:rPr>
      <w:rFonts w:hint="eastAsia" w:ascii="宋体" w:hAnsi="宋体" w:eastAsia="宋体" w:cs="宋体"/>
      <w:color w:val="000000"/>
      <w:sz w:val="20"/>
      <w:szCs w:val="20"/>
      <w:u w:val="none"/>
      <w:lang w:val="en-US" w:eastAsia="zh-CN" w:bidi="ar-SA"/>
    </w:rPr>
  </w:style>
  <w:style w:type="character" w:customStyle="1" w:styleId="19">
    <w:name w:val="font01"/>
    <w:basedOn w:val="13"/>
    <w:qFormat/>
    <w:uiPriority w:val="0"/>
    <w:rPr>
      <w:rFonts w:hint="eastAsia" w:ascii="宋体" w:hAnsi="宋体" w:eastAsia="宋体" w:cs="宋体"/>
      <w:color w:val="000000"/>
      <w:sz w:val="22"/>
      <w:szCs w:val="22"/>
      <w:u w:val="none"/>
      <w:lang w:val="en-US" w:eastAsia="zh-CN" w:bidi="ar-SA"/>
    </w:rPr>
  </w:style>
  <w:style w:type="character" w:customStyle="1" w:styleId="20">
    <w:name w:val="font41"/>
    <w:basedOn w:val="13"/>
    <w:qFormat/>
    <w:uiPriority w:val="0"/>
    <w:rPr>
      <w:rFonts w:hint="eastAsia" w:ascii="宋体" w:hAnsi="宋体" w:eastAsia="宋体" w:cs="宋体"/>
      <w:color w:val="000000"/>
      <w:sz w:val="24"/>
      <w:szCs w:val="24"/>
      <w:u w:val="none"/>
      <w:lang w:val="en-US" w:eastAsia="zh-CN" w:bidi="ar-SA"/>
    </w:rPr>
  </w:style>
  <w:style w:type="character" w:customStyle="1" w:styleId="21">
    <w:name w:val="font3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2">
    <w:name w:val="font9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3">
    <w:name w:val="font51"/>
    <w:basedOn w:val="13"/>
    <w:qFormat/>
    <w:uiPriority w:val="0"/>
    <w:rPr>
      <w:rFonts w:hint="eastAsia" w:ascii="宋体" w:hAnsi="宋体" w:eastAsia="宋体" w:cs="宋体"/>
      <w:color w:val="000000"/>
      <w:sz w:val="24"/>
      <w:szCs w:val="24"/>
      <w:u w:val="none"/>
      <w:lang w:val="en-US" w:eastAsia="zh-CN" w:bidi="ar-SA"/>
    </w:rPr>
  </w:style>
  <w:style w:type="character" w:customStyle="1" w:styleId="24">
    <w:name w:val="批注框文本 Char"/>
    <w:basedOn w:val="13"/>
    <w:link w:val="7"/>
    <w:semiHidden/>
    <w:qFormat/>
    <w:uiPriority w:val="99"/>
    <w:rPr>
      <w:rFonts w:asciiTheme="minorHAnsi" w:hAnsiTheme="minorHAnsi" w:eastAsiaTheme="minorEastAsia" w:cstheme="minorBidi"/>
      <w:sz w:val="18"/>
      <w:szCs w:val="18"/>
      <w:lang w:val="en-US" w:eastAsia="zh-CN" w:bidi="ar-SA"/>
    </w:rPr>
  </w:style>
  <w:style w:type="character" w:customStyle="1" w:styleId="25">
    <w:name w:val="font71"/>
    <w:basedOn w:val="13"/>
    <w:qFormat/>
    <w:uiPriority w:val="0"/>
    <w:rPr>
      <w:rFonts w:ascii="Arial" w:hAnsi="Arial" w:cs="Arial"/>
      <w:color w:val="000000"/>
      <w:sz w:val="20"/>
      <w:szCs w:val="20"/>
      <w:u w:val="none"/>
    </w:rPr>
  </w:style>
  <w:style w:type="character" w:customStyle="1" w:styleId="26">
    <w:name w:val="font61"/>
    <w:basedOn w:val="13"/>
    <w:qFormat/>
    <w:uiPriority w:val="0"/>
    <w:rPr>
      <w:rFonts w:hint="eastAsia" w:ascii="宋体" w:hAnsi="宋体" w:eastAsia="宋体" w:cs="宋体"/>
      <w:color w:val="000000"/>
      <w:sz w:val="20"/>
      <w:szCs w:val="20"/>
      <w:u w:val="none"/>
    </w:rPr>
  </w:style>
  <w:style w:type="character" w:customStyle="1" w:styleId="27">
    <w:name w:val="font21"/>
    <w:basedOn w:val="13"/>
    <w:qFormat/>
    <w:uiPriority w:val="0"/>
    <w:rPr>
      <w:rFonts w:hint="eastAsia" w:ascii="宋体" w:hAnsi="宋体" w:eastAsia="宋体" w:cs="宋体"/>
      <w:color w:val="000000"/>
      <w:sz w:val="20"/>
      <w:szCs w:val="20"/>
      <w:u w:val="none"/>
    </w:rPr>
  </w:style>
  <w:style w:type="paragraph" w:customStyle="1" w:styleId="28">
    <w:name w:val="p1"/>
    <w:basedOn w:val="1"/>
    <w:qFormat/>
    <w:uiPriority w:val="0"/>
    <w:pPr>
      <w:jc w:val="left"/>
    </w:pPr>
    <w:rPr>
      <w:rFonts w:ascii="Helvetica" w:hAnsi="Helvetica" w:eastAsia="Helvetica" w:cs="Times New Roman"/>
      <w:color w:val="000000"/>
      <w:sz w:val="30"/>
      <w:szCs w:val="3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34</Pages>
  <Words>1921</Words>
  <Characters>10956</Characters>
  <Lines>91</Lines>
  <Paragraphs>25</Paragraphs>
  <TotalTime>32</TotalTime>
  <ScaleCrop>false</ScaleCrop>
  <LinksUpToDate>false</LinksUpToDate>
  <CharactersWithSpaces>12852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2023-08-07T07:55:00Z</dcterms:created>
  <dc:creator>王明新TIAD</dc:creator>
  <cp:lastModifiedBy>Administrator</cp:lastModifiedBy>
  <cp:lastPrinted>2023-08-07T01:00:00Z</cp:lastPrinted>
  <dcterms:modified xsi:type="dcterms:W3CDTF">2025-09-24T08:41:51Z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4DD241A32C2A74221E599C68814E8004_43</vt:lpwstr>
  </property>
  <property fmtid="{D5CDD505-2E9C-101B-9397-08002B2CF9AE}" pid="4" name="KSOTemplateUUID">
    <vt:lpwstr>v1.0_mb_S7ajbG3IpAnL1wSthNCxfw==</vt:lpwstr>
  </property>
  <property fmtid="{D5CDD505-2E9C-101B-9397-08002B2CF9AE}" pid="5" name="KSOTemplateDocerSaveRecord">
    <vt:lpwstr>eyJoZGlkIjoiODczM2M4Y2Y4MWZjZmRiODkyNDdiNmU1ZGM2NGRkOWEiLCJ1c2VySWQiOiI1OTM0MzU5MTkifQ==</vt:lpwstr>
  </property>
</Properties>
</file>