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auto"/>
        <w:jc w:val="both"/>
        <w:rPr>
          <w:rFonts w:hint="eastAsia" w:asciiTheme="minorEastAsia" w:hAnsiTheme="minorEastAsia" w:eastAsiaTheme="minorEastAsia" w:cstheme="minorEastAsia"/>
          <w:b w:val="0"/>
          <w:bCs w:val="0"/>
          <w:color w:val="000000"/>
          <w:sz w:val="22"/>
          <w:szCs w:val="22"/>
        </w:rPr>
      </w:pPr>
      <w:bookmarkStart w:id="0" w:name="_GoBack"/>
      <w:bookmarkEnd w:id="0"/>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widowControl/>
        <w:spacing w:before="0" w:beforeLines="0" w:beforeAutospacing="0" w:after="0" w:afterLines="0" w:afterAutospacing="0" w:line="240" w:lineRule="auto"/>
        <w:jc w:val="center"/>
        <w:rPr>
          <w:rFonts w:ascii="Fz_S_BiaoSong_Jt" w:eastAsia="Fz_S_BiaoSong_Jt"/>
          <w:sz w:val="48"/>
          <w:szCs w:val="48"/>
        </w:rPr>
      </w:pPr>
      <w:r>
        <w:rPr>
          <w:rFonts w:ascii="Fz_S_BiaoSong_Jt" w:eastAsia="Fz_S_BiaoSong_Jt"/>
          <w:b w:val="0"/>
          <w:sz w:val="48"/>
          <w:szCs w:val="48"/>
        </w:rPr>
        <w:t>天津市南开区文化遗产和旅游服务中心</w:t>
      </w:r>
    </w:p>
    <w:p>
      <w:pPr>
        <w:widowControl/>
        <w:spacing w:before="0" w:beforeLines="0" w:beforeAutospacing="0" w:after="0" w:afterLines="0" w:afterAutospacing="0" w:line="240" w:lineRule="auto"/>
        <w:jc w:val="center"/>
        <w:rPr>
          <w:rFonts w:ascii="Times New Roman" w:eastAsia="Fz_S_BiaoSong_Jt"/>
          <w:sz w:val="48"/>
          <w:szCs w:val="48"/>
        </w:rPr>
      </w:pPr>
      <w:r>
        <w:rPr>
          <w:rFonts w:ascii="Times New Roman" w:eastAsia="Fz_S_BiaoSong_Jt"/>
          <w:b w:val="0"/>
          <w:sz w:val="48"/>
          <w:szCs w:val="48"/>
        </w:rPr>
        <w:t>2024年度部门决算</w:t>
      </w: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spacing w:line="600" w:lineRule="auto"/>
        <w:jc w:val="both"/>
        <w:rPr>
          <w:rFonts w:hint="eastAsia" w:asciiTheme="minorEastAsia" w:hAnsiTheme="minorEastAsia" w:eastAsiaTheme="minorEastAsia" w:cstheme="minorEastAsia"/>
          <w:b w:val="0"/>
          <w:bCs w:val="0"/>
          <w:color w:val="000000"/>
          <w:sz w:val="22"/>
          <w:szCs w:val="22"/>
        </w:rPr>
      </w:pPr>
    </w:p>
    <w:p>
      <w:pPr>
        <w:rPr>
          <w:rFonts w:hint="eastAsia" w:asciiTheme="minorEastAsia" w:hAnsiTheme="minorEastAsia" w:eastAsiaTheme="minorEastAsia" w:cstheme="minorEastAsia"/>
          <w:b w:val="0"/>
          <w:bCs w:val="0"/>
          <w:color w:val="000000"/>
          <w:sz w:val="22"/>
          <w:szCs w:val="22"/>
        </w:rPr>
      </w:pPr>
      <w:r>
        <w:rPr>
          <w:rFonts w:hint="eastAsia" w:asciiTheme="minorEastAsia" w:hAnsiTheme="minorEastAsia" w:eastAsiaTheme="minorEastAsia" w:cstheme="minorEastAsia"/>
          <w:b w:val="0"/>
          <w:bCs w:val="0"/>
          <w:color w:val="000000"/>
          <w:sz w:val="22"/>
          <w:szCs w:val="22"/>
        </w:rPr>
        <w:br w:type="page"/>
      </w: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目  录</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第一部分   概况</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一、主要职责</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二、机构设置</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第二部分   2024年度部门决算报表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二、收入决算表（按功能分类列示）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三、收入决算表（按单位列示）</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五、财政拨款收入支出决算总表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七、一般公共预算财政拨款基本支出决算明细表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八、政府性基金预算财政拨款收入支出决算表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九、国有资本经营预算财政拨款支出决算表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十、财政拨款“三公”经费支出决算表</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十一、项目支出决算表</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第三部分   2024年度部门决算情况说明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一、收支决算总体情况说明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二、收入决算情况说明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三、支出决算情况说明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四、财政拨款收支决算总体情况说明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五、一般公共预算财政拨款支出决算情况说明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六、一般公共预算财政拨款基本支出决算情况说明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七、政府性基金预算财政拨款收支决算情况说明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八、国有资本经营预算财政拨款收支决算情况说明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九、财政拨款“三公”经费支出决算情况说明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十、机关运行经费支出情况说明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十一、政府采购支出情况说明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十二、国有资产占有使用情况说明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十三、预算绩效情况说明</w:t>
      </w:r>
    </w:p>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十四、教育、医疗卫生、社会保障和就业、住房保障、涉农补贴等民生支出情况说明</w:t>
      </w:r>
    </w:p>
    <w:p>
      <w:pPr>
        <w:widowControl/>
        <w:spacing w:before="0" w:beforeLines="0" w:beforeAutospacing="0" w:after="0" w:afterLines="0" w:afterAutospacing="0" w:line="240" w:lineRule="auto"/>
        <w:jc w:val="left"/>
        <w:rPr>
          <w:rFonts w:ascii="黑体" w:eastAsia="黑体"/>
          <w:sz w:val="30"/>
          <w:szCs w:val="30"/>
        </w:rPr>
      </w:pPr>
      <w:r>
        <w:rPr>
          <w:rFonts w:ascii="黑体" w:eastAsia="黑体"/>
          <w:b w:val="0"/>
          <w:sz w:val="30"/>
          <w:szCs w:val="30"/>
        </w:rPr>
        <w:t>第四部分   名词解释</w:t>
      </w:r>
    </w:p>
    <w:p>
      <w:pPr>
        <w:rPr>
          <w:rFonts w:hint="eastAsia" w:asciiTheme="minorEastAsia" w:hAnsiTheme="minorEastAsia" w:eastAsiaTheme="minorEastAsia" w:cstheme="minorEastAsia"/>
          <w:b w:val="0"/>
          <w:bCs w:val="0"/>
          <w:sz w:val="22"/>
          <w:szCs w:val="22"/>
          <w:highlight w:val="yellow"/>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p>
    <w:p>
      <w:pPr>
        <w:snapToGrid w:val="0"/>
        <w:jc w:val="left"/>
        <w:rPr>
          <w:rFonts w:hint="eastAsia" w:asciiTheme="minorEastAsia" w:hAnsiTheme="minorEastAsia" w:eastAsiaTheme="minorEastAsia" w:cstheme="minorEastAsia"/>
          <w:b w:val="0"/>
          <w:bCs w:val="0"/>
          <w:color w:val="000000" w:themeColor="text1"/>
          <w:kern w:val="0"/>
          <w:sz w:val="22"/>
          <w:szCs w:val="22"/>
          <w:lang w:val="en-US" w:eastAsia="zh-CN"/>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sectPr>
          <w:footerReference r:id="rId3" w:type="default"/>
          <w:pgSz w:w="11906" w:h="16838"/>
          <w:pgMar w:top="1531" w:right="1984" w:bottom="1531" w:left="2098" w:header="851" w:footer="992" w:gutter="0"/>
          <w:pgBorders>
            <w:top w:val="none" w:sz="0" w:space="0"/>
            <w:left w:val="none" w:sz="0" w:space="0"/>
            <w:bottom w:val="none" w:sz="0" w:space="0"/>
            <w:right w:val="none" w:sz="0" w:space="0"/>
          </w:pgBorders>
          <w:cols w:space="720" w:num="1"/>
          <w:docGrid w:type="lines" w:linePitch="312" w:charSpace="0"/>
        </w:sectPr>
      </w:pP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第一部分  概况</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一、主要职责</w:t>
      </w:r>
    </w:p>
    <w:p>
      <w:pPr>
        <w:autoSpaceDE w:val="0"/>
        <w:autoSpaceDN w:val="0"/>
        <w:adjustRightInd w:val="0"/>
        <w:spacing w:line="600" w:lineRule="exact"/>
        <w:ind w:firstLine="600"/>
        <w:jc w:val="left"/>
        <w:rPr>
          <w:rFonts w:ascii="Times New Roman" w:eastAsia="仿宋_GB2312"/>
          <w:sz w:val="30"/>
          <w:szCs w:val="30"/>
        </w:rPr>
      </w:pPr>
      <w:r>
        <w:rPr>
          <w:rFonts w:hint="eastAsia" w:ascii="Times New Roman" w:hAnsi="Times New Roman" w:eastAsia="仿宋_GB2312" w:cs="仿宋_GB2312"/>
          <w:sz w:val="30"/>
          <w:szCs w:val="30"/>
          <w:highlight w:val="none"/>
          <w:lang w:eastAsia="zh-CN"/>
        </w:rPr>
        <w:t>承担文物征集、保护、宣传、研究等相关事务性工作；承担非物质文化遗产挖掘、整理、保护等相关事务性工作；承担旅游服务相关事务性工作；对博物馆工作进行指导。</w:t>
      </w:r>
    </w:p>
    <w:p>
      <w:pPr>
        <w:widowControl/>
        <w:spacing w:before="0" w:beforeLines="0" w:beforeAutospacing="0" w:after="0" w:afterLines="0" w:afterAutospacing="0" w:line="240" w:lineRule="auto"/>
        <w:ind w:firstLine="600" w:firstLineChars="200"/>
        <w:jc w:val="left"/>
        <w:outlineLvl w:val="1"/>
        <w:rPr>
          <w:rFonts w:ascii="宋体" w:eastAsia="黑体"/>
          <w:sz w:val="30"/>
          <w:szCs w:val="30"/>
        </w:rPr>
      </w:pPr>
      <w:r>
        <w:rPr>
          <w:rFonts w:ascii="宋体" w:eastAsia="黑体"/>
          <w:b w:val="0"/>
          <w:sz w:val="30"/>
          <w:szCs w:val="30"/>
        </w:rPr>
        <w:t>二、机构设置</w:t>
      </w:r>
    </w:p>
    <w:p>
      <w:pPr>
        <w:widowControl/>
        <w:spacing w:before="0" w:beforeLines="0" w:beforeAutospacing="0" w:after="0" w:afterLines="0" w:afterAutospacing="0" w:line="240" w:lineRule="auto"/>
        <w:ind w:firstLine="600" w:firstLineChars="200"/>
        <w:jc w:val="left"/>
        <w:rPr>
          <w:rFonts w:hint="eastAsia" w:eastAsia="仿宋_GB2312" w:asciiTheme="minorEastAsia" w:hAnsiTheme="minorEastAsia" w:cstheme="minorEastAsia"/>
          <w:b w:val="0"/>
          <w:bCs w:val="0"/>
          <w:i w:val="0"/>
          <w:iCs w:val="0"/>
          <w:caps w:val="0"/>
          <w:color w:val="000000"/>
          <w:spacing w:val="0"/>
          <w:sz w:val="22"/>
          <w:szCs w:val="22"/>
          <w:highlight w:val="none"/>
          <w:shd w:val="clear" w:fill="FFFFFF"/>
          <w:lang w:val="en-US" w:eastAsia="zh-CN"/>
        </w:rPr>
        <w:sectPr>
          <w:headerReference r:id="rId4" w:type="default"/>
          <w:footerReference r:id="rId5" w:type="default"/>
          <w:pgSz w:w="11906" w:h="16838"/>
          <w:pgMar w:top="1531" w:right="1984" w:bottom="1531" w:left="2098"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r>
        <w:rPr>
          <w:rFonts w:ascii="Times New Roman" w:eastAsia="仿宋_GB2312"/>
          <w:b w:val="0"/>
          <w:sz w:val="30"/>
          <w:szCs w:val="30"/>
        </w:rPr>
        <w:t>天津市南开区文化遗产和旅游服务中心内设</w:t>
      </w:r>
      <w:r>
        <w:rPr>
          <w:rFonts w:hint="eastAsia" w:ascii="Times New Roman" w:eastAsia="仿宋_GB2312"/>
          <w:b w:val="0"/>
          <w:sz w:val="30"/>
          <w:szCs w:val="30"/>
          <w:lang w:val="en-US" w:eastAsia="zh-CN"/>
        </w:rPr>
        <w:t>4</w:t>
      </w:r>
      <w:r>
        <w:rPr>
          <w:rFonts w:ascii="Times New Roman" w:eastAsia="仿宋_GB2312"/>
          <w:b w:val="0"/>
          <w:sz w:val="30"/>
          <w:szCs w:val="30"/>
        </w:rPr>
        <w:t>个职能</w:t>
      </w:r>
      <w:r>
        <w:rPr>
          <w:rFonts w:hint="eastAsia" w:ascii="Times New Roman" w:eastAsia="仿宋_GB2312"/>
          <w:b w:val="0"/>
          <w:sz w:val="30"/>
          <w:szCs w:val="30"/>
          <w:lang w:eastAsia="zh-CN"/>
        </w:rPr>
        <w:t>部室</w:t>
      </w:r>
      <w:r>
        <w:rPr>
          <w:rFonts w:ascii="Times New Roman" w:eastAsia="仿宋_GB2312"/>
          <w:b w:val="0"/>
          <w:sz w:val="30"/>
          <w:szCs w:val="30"/>
        </w:rPr>
        <w:t>。纳入天津市南开区文化遗产和旅游服务中心2024年度部门决算编制范围的单位包括：</w:t>
      </w:r>
      <w:r>
        <w:rPr>
          <w:rFonts w:hint="eastAsia" w:ascii="Times New Roman" w:eastAsia="仿宋_GB2312"/>
          <w:b w:val="0"/>
          <w:sz w:val="30"/>
          <w:szCs w:val="30"/>
        </w:rPr>
        <w:t>天津市南开区文化遗产和旅游服务中心</w:t>
      </w:r>
      <w:r>
        <w:rPr>
          <w:rFonts w:hint="eastAsia" w:ascii="Times New Roman" w:eastAsia="仿宋_GB2312"/>
          <w:b w:val="0"/>
          <w:sz w:val="30"/>
          <w:szCs w:val="30"/>
          <w:lang w:eastAsia="zh-CN"/>
        </w:rPr>
        <w:t>。</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第二部分  2024年度部门决算报表</w:t>
      </w:r>
    </w:p>
    <w:p>
      <w:pPr>
        <w:pStyle w:val="28"/>
        <w:keepNext w:val="0"/>
        <w:keepLines w:val="0"/>
        <w:widowControl/>
        <w:suppressLineNumbers w:val="0"/>
        <w:rPr>
          <w:rFonts w:hint="eastAsia" w:ascii="仿宋" w:hAnsi="仿宋" w:eastAsia="仿宋" w:cs="仿宋"/>
          <w:b/>
          <w:bCs/>
          <w:sz w:val="30"/>
          <w:szCs w:val="30"/>
          <w:highlight w:val="none"/>
          <w:u w:val="none"/>
          <w:lang w:val="en-US" w:eastAsia="zh-CN"/>
        </w:rPr>
      </w:pPr>
      <w:r>
        <w:rPr>
          <w:rFonts w:hint="eastAsia" w:ascii="仿宋" w:hAnsi="仿宋" w:eastAsia="仿宋" w:cs="仿宋"/>
          <w:b/>
          <w:bCs/>
          <w:sz w:val="30"/>
          <w:szCs w:val="30"/>
        </w:rPr>
        <w:t>一、收入支出决算总表</w:t>
      </w:r>
      <w:r>
        <w:rPr>
          <w:rFonts w:hint="eastAsia" w:ascii="仿宋" w:hAnsi="仿宋" w:eastAsia="仿宋" w:cs="仿宋"/>
          <w:b/>
          <w:bCs/>
          <w:sz w:val="30"/>
          <w:szCs w:val="30"/>
          <w:highlight w:val="none"/>
          <w:u w:val="none"/>
          <w:lang w:val="en-US" w:eastAsia="zh-CN"/>
        </w:rPr>
        <w:t xml:space="preserve"> </w:t>
      </w:r>
    </w:p>
    <w:tbl>
      <w:tblPr>
        <w:tblStyle w:val="11"/>
        <w:tblW w:w="139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697"/>
        <w:gridCol w:w="2650"/>
        <w:gridCol w:w="3598"/>
        <w:gridCol w:w="30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0945" w:type="dxa"/>
            <w:gridSpan w:val="3"/>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部门（单位）：天津市南开区文化遗产和旅游服务中心 </w:t>
            </w:r>
          </w:p>
        </w:tc>
        <w:tc>
          <w:tcPr>
            <w:tcW w:w="3044"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Style w:val="27"/>
                <w:rFonts w:hint="eastAsia" w:asciiTheme="minorEastAsia" w:hAnsiTheme="minorEastAsia" w:eastAsiaTheme="minorEastAsia" w:cstheme="minorEastAsia"/>
                <w:b w:val="0"/>
                <w:bCs w:val="0"/>
                <w:sz w:val="22"/>
                <w:szCs w:val="22"/>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2650"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c>
          <w:tcPr>
            <w:tcW w:w="3044" w:type="dxa"/>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四、财政专户管理资金</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五、事业收入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4,516,539.27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六、事业单位经营收入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324,087.84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七、上级补助收入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八、附属单位上缴收入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九、其他收入</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650"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十、使用非财政拨款结余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二十四、结余分配</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十一、年初结转和结余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二十五、年末结转和结余</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其中：财政拨款结转和结余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其他结转和结余</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3598"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3044"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9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收入总计</w:t>
            </w:r>
          </w:p>
        </w:tc>
        <w:tc>
          <w:tcPr>
            <w:tcW w:w="2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359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支出总计</w:t>
            </w:r>
          </w:p>
        </w:tc>
        <w:tc>
          <w:tcPr>
            <w:tcW w:w="304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89" w:type="dxa"/>
            <w:gridSpan w:val="4"/>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注：本表反映本年度的总收支和年末结转结余情况。财政专户管理资金是指教育收费；事业收入不含教育收费。</w:t>
            </w:r>
          </w:p>
        </w:tc>
      </w:tr>
    </w:tbl>
    <w:p>
      <w:pPr>
        <w:rPr>
          <w:rFonts w:hint="eastAsia" w:asciiTheme="minorEastAsia" w:hAnsiTheme="minorEastAsia" w:eastAsiaTheme="minorEastAsia" w:cstheme="minorEastAsia"/>
          <w:b w:val="0"/>
          <w:bCs w:val="0"/>
          <w:sz w:val="22"/>
          <w:szCs w:val="22"/>
          <w:lang w:val="en-US" w:eastAsia="zh-CN"/>
        </w:rPr>
      </w:pPr>
      <w:r>
        <w:rPr>
          <w:rFonts w:hint="eastAsia" w:asciiTheme="minorEastAsia" w:hAnsiTheme="minorEastAsia" w:eastAsiaTheme="minorEastAsia" w:cstheme="minorEastAsia"/>
          <w:b w:val="0"/>
          <w:bCs w:val="0"/>
          <w:sz w:val="22"/>
          <w:szCs w:val="22"/>
          <w:highlight w:val="none"/>
          <w:u w:val="none"/>
          <w:lang w:val="en-US" w:eastAsia="zh-CN"/>
        </w:rPr>
        <w:br w:type="page"/>
      </w:r>
    </w:p>
    <w:p>
      <w:pPr>
        <w:pStyle w:val="28"/>
        <w:keepNext w:val="0"/>
        <w:keepLines w:val="0"/>
        <w:widowControl/>
        <w:suppressLineNumbers w:val="0"/>
        <w:jc w:val="left"/>
        <w:rPr>
          <w:rFonts w:hint="eastAsia" w:ascii="仿宋" w:hAnsi="仿宋" w:eastAsia="仿宋" w:cs="仿宋"/>
          <w:b/>
          <w:bCs/>
          <w:color w:val="000000"/>
          <w:sz w:val="30"/>
          <w:szCs w:val="30"/>
        </w:rPr>
      </w:pPr>
      <w:r>
        <w:rPr>
          <w:rFonts w:hint="eastAsia" w:ascii="仿宋" w:hAnsi="仿宋" w:eastAsia="仿宋" w:cs="仿宋"/>
          <w:b/>
          <w:bCs/>
          <w:color w:val="000000"/>
          <w:sz w:val="30"/>
          <w:szCs w:val="30"/>
          <w:lang w:val="en-US" w:eastAsia="zh-CN"/>
        </w:rPr>
        <w:t>二、收入决算表(按功能分类列示)</w:t>
      </w:r>
      <w:r>
        <w:rPr>
          <w:rFonts w:hint="eastAsia" w:ascii="仿宋" w:hAnsi="仿宋" w:eastAsia="仿宋" w:cs="仿宋"/>
          <w:b/>
          <w:bCs/>
          <w:color w:val="000000"/>
          <w:sz w:val="30"/>
          <w:szCs w:val="30"/>
        </w:rPr>
        <w:t xml:space="preserve">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27"/>
        <w:gridCol w:w="2888"/>
        <w:gridCol w:w="1387"/>
        <w:gridCol w:w="1250"/>
        <w:gridCol w:w="1300"/>
        <w:gridCol w:w="1238"/>
        <w:gridCol w:w="1175"/>
        <w:gridCol w:w="1246"/>
        <w:gridCol w:w="1216"/>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727" w:type="dxa"/>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部门（单位）：天津市南开区文化遗产和旅游服务中心 </w:t>
            </w:r>
          </w:p>
        </w:tc>
        <w:tc>
          <w:tcPr>
            <w:tcW w:w="1264" w:type="dxa"/>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391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项      目</w:t>
            </w:r>
          </w:p>
        </w:tc>
        <w:tc>
          <w:tcPr>
            <w:tcW w:w="138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本年收入合计</w:t>
            </w:r>
          </w:p>
        </w:tc>
        <w:tc>
          <w:tcPr>
            <w:tcW w:w="125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财政拨款收入</w:t>
            </w:r>
          </w:p>
        </w:tc>
        <w:tc>
          <w:tcPr>
            <w:tcW w:w="13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上级补助收入</w:t>
            </w:r>
          </w:p>
        </w:tc>
        <w:tc>
          <w:tcPr>
            <w:tcW w:w="2413" w:type="dxa"/>
            <w:gridSpan w:val="2"/>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事业收入</w:t>
            </w:r>
          </w:p>
        </w:tc>
        <w:tc>
          <w:tcPr>
            <w:tcW w:w="12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经营收入</w:t>
            </w:r>
          </w:p>
        </w:tc>
        <w:tc>
          <w:tcPr>
            <w:tcW w:w="121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附属单位上缴收入</w:t>
            </w:r>
          </w:p>
        </w:tc>
        <w:tc>
          <w:tcPr>
            <w:tcW w:w="1264"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02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科目编码</w:t>
            </w:r>
          </w:p>
        </w:tc>
        <w:tc>
          <w:tcPr>
            <w:tcW w:w="28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科目名称</w:t>
            </w:r>
          </w:p>
        </w:tc>
        <w:tc>
          <w:tcPr>
            <w:tcW w:w="138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5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3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小计</w:t>
            </w:r>
          </w:p>
        </w:tc>
        <w:tc>
          <w:tcPr>
            <w:tcW w:w="11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其中：教育收费</w:t>
            </w:r>
          </w:p>
        </w:tc>
        <w:tc>
          <w:tcPr>
            <w:tcW w:w="12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0" w:hRule="atLeast"/>
        </w:trPr>
        <w:tc>
          <w:tcPr>
            <w:tcW w:w="3915" w:type="dxa"/>
            <w:gridSpan w:val="2"/>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合计</w:t>
            </w:r>
          </w:p>
        </w:tc>
        <w:tc>
          <w:tcPr>
            <w:tcW w:w="1387"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4,975,664.79</w:t>
            </w:r>
          </w:p>
        </w:tc>
        <w:tc>
          <w:tcPr>
            <w:tcW w:w="1250"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4,975,664.79</w:t>
            </w:r>
          </w:p>
        </w:tc>
        <w:tc>
          <w:tcPr>
            <w:tcW w:w="1300"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nil"/>
              <w:left w:val="nil"/>
              <w:bottom w:val="nil"/>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文化旅游体育与传媒支出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4,516,539.27</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4,516,539.27</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文化和旅游</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1,341,722.40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1,341,722.40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2070109</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群众文化</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386,722.40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386,722.40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2070111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文化创作与保护</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955,000.00</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955,000.00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20702</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文物</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3,174,816.87</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3,174,816.87</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2070205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博物馆</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3,174,816.87</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3,174,816.87</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社会保障和就业支出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324,087.84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324,087.84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行政事业单位养老支出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324,087.84</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324,087.84</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2080505</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机关事业单位基本养老保险缴费支出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216,058.56</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216,058.56</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2080506</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机关事业单位职业年金缴费支出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108,029.28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108,029.28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卫生健康支出</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135,037.68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135,037.68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行政事业单位医疗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135,037.68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135,037.68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0" w:hRule="atLeast"/>
        </w:trPr>
        <w:tc>
          <w:tcPr>
            <w:tcW w:w="10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2101102</w:t>
            </w:r>
          </w:p>
        </w:tc>
        <w:tc>
          <w:tcPr>
            <w:tcW w:w="2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事业单位医疗</w:t>
            </w:r>
          </w:p>
        </w:tc>
        <w:tc>
          <w:tcPr>
            <w:tcW w:w="13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135,037.68</w:t>
            </w:r>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r>
              <w:rPr>
                <w:rFonts w:hint="eastAsia" w:asciiTheme="minorEastAsia" w:hAnsiTheme="minorEastAsia" w:eastAsiaTheme="minorEastAsia" w:cstheme="minorEastAsia"/>
                <w:b w:val="0"/>
                <w:bCs w:val="0"/>
                <w:i w:val="0"/>
                <w:iCs w:val="0"/>
                <w:color w:val="000000"/>
                <w:kern w:val="0"/>
                <w:sz w:val="15"/>
                <w:szCs w:val="15"/>
                <w:u w:val="none"/>
                <w:lang w:val="en-US" w:eastAsia="zh-CN" w:bidi="ar"/>
              </w:rPr>
              <w:t>135,037.68</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91"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注：本表反映本年度取得的各项收入情况。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三、收入决算表(按单位列示)</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27"/>
        <w:gridCol w:w="1050"/>
        <w:gridCol w:w="550"/>
        <w:gridCol w:w="613"/>
        <w:gridCol w:w="650"/>
        <w:gridCol w:w="612"/>
        <w:gridCol w:w="663"/>
        <w:gridCol w:w="712"/>
        <w:gridCol w:w="650"/>
        <w:gridCol w:w="688"/>
        <w:gridCol w:w="650"/>
        <w:gridCol w:w="662"/>
        <w:gridCol w:w="353"/>
        <w:gridCol w:w="260"/>
        <w:gridCol w:w="625"/>
        <w:gridCol w:w="700"/>
        <w:gridCol w:w="712"/>
        <w:gridCol w:w="688"/>
        <w:gridCol w:w="712"/>
        <w:gridCol w:w="638"/>
        <w:gridCol w:w="638"/>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6027" w:type="dxa"/>
            <w:gridSpan w:val="9"/>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 xml:space="preserve">部门（单位）：天津市南开区文化遗产和旅游服务中心 </w:t>
            </w:r>
          </w:p>
        </w:tc>
        <w:tc>
          <w:tcPr>
            <w:tcW w:w="68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50"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6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353"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885" w:type="dxa"/>
            <w:gridSpan w:val="2"/>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00"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1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8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712"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638" w:type="dxa"/>
            <w:tcBorders>
              <w:top w:val="nil"/>
              <w:left w:val="nil"/>
              <w:bottom w:val="nil"/>
              <w:right w:val="nil"/>
            </w:tcBorders>
            <w:shd w:val="clear" w:color="auto" w:fill="auto"/>
            <w:noWrap/>
            <w:vAlign w:val="bottom"/>
          </w:tcPr>
          <w:p>
            <w:pPr>
              <w:rPr>
                <w:rFonts w:hint="eastAsia" w:asciiTheme="minorEastAsia" w:hAnsiTheme="minorEastAsia" w:eastAsiaTheme="minorEastAsia" w:cstheme="minorEastAsia"/>
                <w:b w:val="0"/>
                <w:bCs w:val="0"/>
                <w:i w:val="0"/>
                <w:iCs w:val="0"/>
                <w:color w:val="000000"/>
                <w:sz w:val="18"/>
                <w:szCs w:val="18"/>
                <w:u w:val="none"/>
              </w:rPr>
            </w:pPr>
          </w:p>
        </w:tc>
        <w:tc>
          <w:tcPr>
            <w:tcW w:w="1277" w:type="dxa"/>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5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部门（单位）代码</w:t>
            </w:r>
          </w:p>
        </w:tc>
        <w:tc>
          <w:tcPr>
            <w:tcW w:w="10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部门（单位）名称</w:t>
            </w:r>
          </w:p>
        </w:tc>
        <w:tc>
          <w:tcPr>
            <w:tcW w:w="550"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合计</w:t>
            </w:r>
          </w:p>
        </w:tc>
        <w:tc>
          <w:tcPr>
            <w:tcW w:w="6513" w:type="dxa"/>
            <w:gridSpan w:val="11"/>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本年收入</w:t>
            </w:r>
          </w:p>
        </w:tc>
        <w:tc>
          <w:tcPr>
            <w:tcW w:w="5352" w:type="dxa"/>
            <w:gridSpan w:val="8"/>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上年结转和结余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6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66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71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事业收入</w:t>
            </w:r>
          </w:p>
        </w:tc>
        <w:tc>
          <w:tcPr>
            <w:tcW w:w="68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事业单位经营收入</w:t>
            </w:r>
          </w:p>
        </w:tc>
        <w:tc>
          <w:tcPr>
            <w:tcW w:w="6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上级补助收入</w:t>
            </w:r>
          </w:p>
        </w:tc>
        <w:tc>
          <w:tcPr>
            <w:tcW w:w="662"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附属单位上缴收入</w:t>
            </w:r>
          </w:p>
        </w:tc>
        <w:tc>
          <w:tcPr>
            <w:tcW w:w="613" w:type="dxa"/>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其他收入</w:t>
            </w:r>
          </w:p>
        </w:tc>
        <w:tc>
          <w:tcPr>
            <w:tcW w:w="62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2812" w:type="dxa"/>
            <w:gridSpan w:val="4"/>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财政拨款结转结余</w:t>
            </w:r>
          </w:p>
        </w:tc>
        <w:tc>
          <w:tcPr>
            <w:tcW w:w="1915" w:type="dxa"/>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非财政拨款结转结余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5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10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550" w:type="dxa"/>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6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71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8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62"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13" w:type="dxa"/>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62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Theme="minorEastAsia" w:hAnsiTheme="minorEastAsia" w:eastAsiaTheme="minorEastAsia" w:cstheme="minorEastAsia"/>
                <w:b w:val="0"/>
                <w:bCs w:val="0"/>
                <w:i w:val="0"/>
                <w:iCs w:val="0"/>
                <w:color w:val="000000"/>
                <w:sz w:val="13"/>
                <w:szCs w:val="13"/>
                <w:u w:val="none"/>
              </w:rPr>
            </w:pPr>
          </w:p>
        </w:tc>
        <w:tc>
          <w:tcPr>
            <w:tcW w:w="70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71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一般公共预算</w:t>
            </w:r>
          </w:p>
        </w:tc>
        <w:tc>
          <w:tcPr>
            <w:tcW w:w="68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政府性基金预算</w:t>
            </w:r>
          </w:p>
        </w:tc>
        <w:tc>
          <w:tcPr>
            <w:tcW w:w="71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国有资本经营预算</w:t>
            </w:r>
          </w:p>
        </w:tc>
        <w:tc>
          <w:tcPr>
            <w:tcW w:w="6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小计</w:t>
            </w:r>
          </w:p>
        </w:tc>
        <w:tc>
          <w:tcPr>
            <w:tcW w:w="63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财政专户管理资金</w:t>
            </w:r>
          </w:p>
        </w:tc>
        <w:tc>
          <w:tcPr>
            <w:tcW w:w="63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3"/>
                <w:szCs w:val="13"/>
                <w:u w:val="none"/>
              </w:rPr>
            </w:pPr>
            <w:r>
              <w:rPr>
                <w:rFonts w:hint="eastAsia" w:asciiTheme="minorEastAsia" w:hAnsiTheme="minorEastAsia" w:eastAsiaTheme="minorEastAsia" w:cstheme="minorEastAsia"/>
                <w:b w:val="0"/>
                <w:bCs w:val="0"/>
                <w:i w:val="0"/>
                <w:iCs w:val="0"/>
                <w:color w:val="000000"/>
                <w:kern w:val="0"/>
                <w:sz w:val="13"/>
                <w:szCs w:val="13"/>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36" w:hRule="atLeast"/>
        </w:trPr>
        <w:tc>
          <w:tcPr>
            <w:tcW w:w="157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合计</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4,975,664.79</w:t>
            </w:r>
          </w:p>
        </w:tc>
        <w:tc>
          <w:tcPr>
            <w:tcW w:w="61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4,975,664.79</w:t>
            </w: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4,975,664.79</w:t>
            </w:r>
          </w:p>
        </w:tc>
        <w:tc>
          <w:tcPr>
            <w:tcW w:w="6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0" w:hRule="atLeast"/>
        </w:trPr>
        <w:tc>
          <w:tcPr>
            <w:tcW w:w="5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363203</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天津市南开区文化遗产和旅游服务中心</w:t>
            </w: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4,975,664.79</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4,975,664.79</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r>
              <w:rPr>
                <w:rFonts w:hint="eastAsia" w:asciiTheme="minorEastAsia" w:hAnsiTheme="minorEastAsia" w:eastAsiaTheme="minorEastAsia" w:cstheme="minorEastAsia"/>
                <w:b w:val="0"/>
                <w:bCs w:val="0"/>
                <w:i w:val="0"/>
                <w:iCs w:val="0"/>
                <w:color w:val="000000"/>
                <w:kern w:val="0"/>
                <w:sz w:val="11"/>
                <w:szCs w:val="11"/>
                <w:u w:val="none"/>
                <w:lang w:val="en-US" w:eastAsia="zh-CN" w:bidi="ar"/>
              </w:rPr>
              <w:t>4,975,664.79</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7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11"/>
                <w:szCs w:val="1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92" w:type="dxa"/>
            <w:gridSpan w:val="22"/>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18"/>
                <w:szCs w:val="18"/>
                <w:u w:val="none"/>
              </w:rPr>
            </w:pPr>
            <w:r>
              <w:rPr>
                <w:rFonts w:hint="eastAsia" w:asciiTheme="minorEastAsia" w:hAnsiTheme="minorEastAsia" w:eastAsiaTheme="minorEastAsia" w:cstheme="minorEastAsia"/>
                <w:b w:val="0"/>
                <w:bCs w:val="0"/>
                <w:i w:val="0"/>
                <w:iCs w:val="0"/>
                <w:color w:val="000000"/>
                <w:kern w:val="0"/>
                <w:sz w:val="18"/>
                <w:szCs w:val="18"/>
                <w:u w:val="none"/>
                <w:lang w:val="en-US" w:eastAsia="zh-CN" w:bidi="ar"/>
              </w:rPr>
              <w:t>注：本表反映本年度取得的各项收入情况。财政专户管理资金是指教育收费；事业收入不含教育收费。</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四、支出决算表 </w:t>
      </w:r>
    </w:p>
    <w:tbl>
      <w:tblPr>
        <w:tblStyle w:val="11"/>
        <w:tblW w:w="139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5"/>
        <w:gridCol w:w="2188"/>
        <w:gridCol w:w="1845"/>
        <w:gridCol w:w="1800"/>
        <w:gridCol w:w="1800"/>
        <w:gridCol w:w="1815"/>
        <w:gridCol w:w="1628"/>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401"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部门（单位）：天津市南开区文化遗产和旅游服务中心 </w:t>
            </w:r>
          </w:p>
        </w:tc>
        <w:tc>
          <w:tcPr>
            <w:tcW w:w="1589"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支出功能分类科目</w:t>
            </w:r>
          </w:p>
        </w:tc>
        <w:tc>
          <w:tcPr>
            <w:tcW w:w="1845"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基本支出</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项目支出</w:t>
            </w:r>
          </w:p>
        </w:tc>
        <w:tc>
          <w:tcPr>
            <w:tcW w:w="1815"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上缴上级支出</w:t>
            </w:r>
          </w:p>
        </w:tc>
        <w:tc>
          <w:tcPr>
            <w:tcW w:w="162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经营支出</w:t>
            </w:r>
          </w:p>
        </w:tc>
        <w:tc>
          <w:tcPr>
            <w:tcW w:w="1589"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218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4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351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3,245,241.92</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1,730,422.87</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4,516,539.27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2,786,116.40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1,730,422.87</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1,341,722.40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1,341,722.40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386,722.40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386,722.40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文化创作与保护</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955,000.00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955,000.00</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20702</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文物</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3,174,816.87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2,786,116.40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388,700.47</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2070205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博物馆</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3,174,816.87</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2,786,116.40</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388,700.47</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社会保障和就业支出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324,087.84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324,087.84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行政事业单位养老支出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324,087.84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324,087.84</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2080505</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机关事业单位基本养老保险缴费支出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216,058.56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216,058.56</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2080506</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机关事业单位职业年金缴费支出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108,029.28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108,029.28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卫生健康支出</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行政事业单位医疗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2101102</w:t>
            </w:r>
          </w:p>
        </w:tc>
        <w:tc>
          <w:tcPr>
            <w:tcW w:w="21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事业单位医疗</w:t>
            </w:r>
          </w:p>
        </w:tc>
        <w:tc>
          <w:tcPr>
            <w:tcW w:w="1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9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注：本表反映本年度各项支出情况。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五、财政拨款收入支出决算总表</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17"/>
        <w:gridCol w:w="1883"/>
        <w:gridCol w:w="2350"/>
        <w:gridCol w:w="1850"/>
        <w:gridCol w:w="1791"/>
        <w:gridCol w:w="1827"/>
        <w:gridCol w:w="19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018"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部门（单位）：天津市南开区文化遗产和旅游服务中心 </w:t>
            </w:r>
          </w:p>
        </w:tc>
        <w:tc>
          <w:tcPr>
            <w:tcW w:w="197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2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收入</w:t>
            </w:r>
          </w:p>
        </w:tc>
        <w:tc>
          <w:tcPr>
            <w:tcW w:w="9791" w:type="dxa"/>
            <w:gridSpan w:val="5"/>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    目</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一般公共预算财政拨款</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政府性基金预算财政拨款</w:t>
            </w: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一、一般公共服务支出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二、公共安全支出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三、教育支出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四、科学技术支出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五、文化旅游体育与传媒支出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4,516,539.27</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4,516,539.27</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六、社会保障和就业支出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324,087.84</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324,087.84</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七、卫生健康支出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八、节能环保支出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九、城乡社区支出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十、农林水支出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十一、交通运输支出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十二、资源勘探工业信息等支出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十三、商业服务业等支出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十四、金融支出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十五、援助其他地区支出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十六、自然资源海洋气象等支出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十七、住房保障支出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十八、粮油物资储备支出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十九、国有资本经营预算支出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二十、灾害防治及应急管理支出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二十一、其他支出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二十二、债务付息支出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二十三、抗疫特别国债安排的支出</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本年收入合计</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本年支出合计</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年初财政拨款结转和结余</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年末财政拨款结转和结余</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一般公共预算财政拨款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政府性基金预算财政拨款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国有资本经营预算财政拨款</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5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79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2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31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8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23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8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17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4,975,664.79</w:t>
            </w:r>
          </w:p>
        </w:tc>
        <w:tc>
          <w:tcPr>
            <w:tcW w:w="182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97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2" w:hRule="atLeast"/>
        </w:trPr>
        <w:tc>
          <w:tcPr>
            <w:tcW w:w="13991"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注：本表反映本年度一般公共预算财政拨款、政府性基金预算财政拨款和国有资本经营预算财政拨款的总收支和年末结转结余情况。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numPr>
          <w:ilvl w:val="0"/>
          <w:numId w:val="2"/>
        </w:numPr>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一般公共预算财政拨款支出决算表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19"/>
        <w:gridCol w:w="4092"/>
        <w:gridCol w:w="1800"/>
        <w:gridCol w:w="1662"/>
        <w:gridCol w:w="1738"/>
        <w:gridCol w:w="1708"/>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319" w:type="dxa"/>
            <w:gridSpan w:val="6"/>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天津市南开区文化遗产和旅游服务中心 </w:t>
            </w:r>
          </w:p>
        </w:tc>
        <w:tc>
          <w:tcPr>
            <w:tcW w:w="167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80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5108"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673"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19"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4092"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80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662"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173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人员经费</w:t>
            </w:r>
          </w:p>
        </w:tc>
        <w:tc>
          <w:tcPr>
            <w:tcW w:w="170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公用经费</w:t>
            </w:r>
          </w:p>
        </w:tc>
        <w:tc>
          <w:tcPr>
            <w:tcW w:w="1673"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atLeast"/>
        </w:trPr>
        <w:tc>
          <w:tcPr>
            <w:tcW w:w="541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4,975,664.79</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3,245,241.92</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3,008,143.72</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237,098.20</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1,730,422.87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文化旅游体育与传媒支出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4,516,539.27</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2,786,116.40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2,549,018.20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237,098.20</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1,730,422.87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文化和旅游</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1,341,722.40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1,341,722.40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2070109</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群众文化</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386,722.40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386,722.40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2070111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文化创作与保护</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955,000.00</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955,000.00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20702</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文物</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3,174,816.87</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2,786,116.40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2,549,018.20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237,098.20</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388,700.47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2070205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博物馆</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3,174,816.87</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2,786,116.40</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2,549,018.20</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237,098.20</w:t>
            </w: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388,700.47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社会保障和就业支出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324,087.84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324,087.84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324,087.84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行政事业单位养老支出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324,087.84</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324,087.84</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324,087.84</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2080505</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机关事业单位基本养老保险缴费支出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216,058.56</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216,058.56</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216,058.56</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2080506</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机关事业单位职业年金缴费支出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108,029.28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108,029.28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108,029.28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卫生健康支出</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行政事业单位医疗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2101102</w:t>
            </w:r>
          </w:p>
        </w:tc>
        <w:tc>
          <w:tcPr>
            <w:tcW w:w="40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事业单位医疗</w:t>
            </w:r>
          </w:p>
        </w:tc>
        <w:tc>
          <w:tcPr>
            <w:tcW w:w="18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6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135,037.68</w:t>
            </w:r>
          </w:p>
        </w:tc>
        <w:tc>
          <w:tcPr>
            <w:tcW w:w="17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92" w:type="dxa"/>
            <w:gridSpan w:val="7"/>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注：本表反映本年度一般公共预算财政拨款支出情况。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七、一般公共预算财政拨款基本支出决算明细表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28"/>
        <w:gridCol w:w="1869"/>
        <w:gridCol w:w="1884"/>
        <w:gridCol w:w="877"/>
        <w:gridCol w:w="1800"/>
        <w:gridCol w:w="1831"/>
        <w:gridCol w:w="1092"/>
        <w:gridCol w:w="1984"/>
        <w:gridCol w:w="17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265" w:type="dxa"/>
            <w:gridSpan w:val="8"/>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部门（单位）：天津市南开区文化遗产和旅游服务中心 </w:t>
            </w:r>
          </w:p>
        </w:tc>
        <w:tc>
          <w:tcPr>
            <w:tcW w:w="172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68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w:t>
            </w:r>
          </w:p>
        </w:tc>
        <w:tc>
          <w:tcPr>
            <w:tcW w:w="9310"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工资福利支出</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2,912,126.32</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237,098.20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国内债务发行费用</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基本工资</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656,519.20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6,729.64</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30704</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国外债务发行费用</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津贴补贴</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298,838.80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印刷费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资本性支出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30203</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咨询费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23,400.00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房屋建筑物购建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30106</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伙食补助费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手续费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1,173.00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办公设备购置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30107</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绩效工资</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690,756.80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水费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专用设备购置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30108</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机关事业单位基本养老保险缴费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216,058.56</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电费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37,535.47</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31005</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基础设施建设</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30109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职业年金缴费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108,029.28</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邮电费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4,000.00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31006</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大型修缮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30110</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职工基本医疗保险缴费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135,037.68</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取暖费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47,300.00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31007</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信息网络及软件购置更新</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公务员医疗补助缴费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30209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物业管理费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31008</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物资储备</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其他社会保障缴费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9,453.00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差旅费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39,801.50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31009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土地补偿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住房公积金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726,402.00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因公出国（境）费用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安置补助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30114</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30213</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维修(护)费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地上附着物和青苗补偿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30199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其他工资福利支出</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71,031.00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租赁费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拆迁补偿</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96,017.40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会议费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离休费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培训费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31019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其他交通工具购置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30302</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退休费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95,957.40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公务接待费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文物和陈列品购置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30303</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退职（役）费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30218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专用材料费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31022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无形资产购置</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30304</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抚恤金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30224</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被装购置费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31099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30305</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生活补助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30225</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专用燃料费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对企业补助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30306</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救济费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30226</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劳务费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31201</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资本金注入</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30307</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医疗费补助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委托业务费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31203</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政府投资基金股权投资</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30308</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助学金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30228</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工会经费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14,744.39</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31204</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费用补贴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30309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奖励金</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60.00</w:t>
            </w: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30229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福利费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37,414.20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31205</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利息补贴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30310</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个人农业生产补贴</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公务用车运行维护费</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31206</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其他资本性补助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30311</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代缴社会保险费</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30239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其他交通费用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31299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其他对企业补助</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30399</w:t>
            </w:r>
          </w:p>
        </w:tc>
        <w:tc>
          <w:tcPr>
            <w:tcW w:w="18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其他对个人和家庭的补助</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30240</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税金及附加费用</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其他支出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30299</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其他商品和服务支出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25,000.00</w:t>
            </w: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39907</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国家赔偿费用支出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债务利息及费用支出</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39908</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对民间非营利组织和群众性自治组织补贴</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30701</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国内债务付息</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39909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经常性赠与</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30702</w:t>
            </w:r>
          </w:p>
        </w:tc>
        <w:tc>
          <w:tcPr>
            <w:tcW w:w="18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国外债务付息</w:t>
            </w:r>
          </w:p>
        </w:tc>
        <w:tc>
          <w:tcPr>
            <w:tcW w:w="183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39910</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资本性赠与</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928"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69"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84" w:type="dxa"/>
            <w:tcBorders>
              <w:top w:val="nil"/>
              <w:left w:val="nil"/>
              <w:bottom w:val="single" w:color="000000" w:sz="4" w:space="0"/>
              <w:right w:val="single" w:color="000000" w:sz="4" w:space="0"/>
            </w:tcBorders>
            <w:shd w:val="clear" w:color="auto" w:fill="auto"/>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877"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00"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831" w:type="dxa"/>
            <w:tcBorders>
              <w:top w:val="nil"/>
              <w:left w:val="nil"/>
              <w:bottom w:val="single" w:color="000000" w:sz="4" w:space="0"/>
              <w:right w:val="single" w:color="000000" w:sz="4" w:space="0"/>
            </w:tcBorders>
            <w:shd w:val="clear" w:color="auto" w:fill="auto"/>
            <w:noWrap/>
            <w:vAlign w:val="center"/>
          </w:tcPr>
          <w:p>
            <w:pPr>
              <w:jc w:val="left"/>
              <w:rPr>
                <w:rFonts w:hint="eastAsia" w:asciiTheme="minorEastAsia" w:hAnsiTheme="minorEastAsia" w:eastAsiaTheme="minorEastAsia" w:cstheme="minorEastAsia"/>
                <w:b w:val="0"/>
                <w:bCs w:val="0"/>
                <w:i w:val="0"/>
                <w:iCs w:val="0"/>
                <w:color w:val="000000"/>
                <w:sz w:val="22"/>
                <w:szCs w:val="22"/>
                <w:u w:val="none"/>
              </w:rPr>
            </w:pPr>
          </w:p>
        </w:tc>
        <w:tc>
          <w:tcPr>
            <w:tcW w:w="109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39999</w:t>
            </w:r>
          </w:p>
        </w:tc>
        <w:tc>
          <w:tcPr>
            <w:tcW w:w="19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  其他支出</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79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人员经费合计</w:t>
            </w:r>
          </w:p>
        </w:tc>
        <w:tc>
          <w:tcPr>
            <w:tcW w:w="18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3,008,143.72</w:t>
            </w:r>
          </w:p>
        </w:tc>
        <w:tc>
          <w:tcPr>
            <w:tcW w:w="7584" w:type="dxa"/>
            <w:gridSpan w:val="5"/>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公用经费合计</w:t>
            </w:r>
          </w:p>
        </w:tc>
        <w:tc>
          <w:tcPr>
            <w:tcW w:w="172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237,098.20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91" w:type="dxa"/>
            <w:gridSpan w:val="9"/>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注：本表反映本年度一般公共预算财政拨款基本支出明细情况。</w:t>
            </w:r>
          </w:p>
        </w:tc>
      </w:tr>
    </w:tbl>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八、政府性基金预算财政拨款收入支出决算表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81"/>
        <w:gridCol w:w="3851"/>
        <w:gridCol w:w="1510"/>
        <w:gridCol w:w="1537"/>
        <w:gridCol w:w="1429"/>
        <w:gridCol w:w="1428"/>
        <w:gridCol w:w="1509"/>
        <w:gridCol w:w="14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545"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天津市南开区文化遗产和旅游服务中心 </w:t>
            </w:r>
          </w:p>
        </w:tc>
        <w:tc>
          <w:tcPr>
            <w:tcW w:w="1447"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510"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153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4366"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1447"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281"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3851"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510"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3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42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小计</w:t>
            </w:r>
          </w:p>
        </w:tc>
        <w:tc>
          <w:tcPr>
            <w:tcW w:w="142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50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1447"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0" w:hRule="atLeast"/>
        </w:trPr>
        <w:tc>
          <w:tcPr>
            <w:tcW w:w="513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注：本表反映本年度政府性基金预算财政拨款收入、支出及结转和结余情况。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天津市南开区文化遗产和旅游服务中心2024年政府性基金预算财政拨款收入支出决算表为空表。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Theme="minorEastAsia" w:hAnsiTheme="minorEastAsia" w:eastAsiaTheme="minorEastAsia" w:cstheme="minorEastAsia"/>
          <w:b w:val="0"/>
          <w:bCs w:val="0"/>
          <w:color w:val="auto"/>
          <w:kern w:val="0"/>
          <w:sz w:val="22"/>
          <w:szCs w:val="22"/>
          <w:highlight w:val="none"/>
        </w:rPr>
      </w:pPr>
      <w:r>
        <w:rPr>
          <w:rFonts w:hint="eastAsia" w:ascii="仿宋" w:hAnsi="仿宋" w:eastAsia="仿宋" w:cs="仿宋"/>
          <w:b/>
          <w:bCs/>
          <w:color w:val="000000"/>
          <w:sz w:val="30"/>
          <w:szCs w:val="30"/>
          <w:lang w:val="en-US" w:eastAsia="zh-CN"/>
        </w:rPr>
        <w:t xml:space="preserve">九、国有资本经营预算财政拨款支出决算表 </w:t>
      </w:r>
    </w:p>
    <w:tbl>
      <w:tblPr>
        <w:tblStyle w:val="11"/>
        <w:tblW w:w="139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2"/>
        <w:gridCol w:w="3442"/>
        <w:gridCol w:w="1619"/>
        <w:gridCol w:w="1579"/>
        <w:gridCol w:w="1523"/>
        <w:gridCol w:w="1606"/>
        <w:gridCol w:w="1468"/>
        <w:gridCol w:w="14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559"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ascii="宋体-简" w:hAnsi="宋体-简" w:eastAsia="宋体-简" w:cs="宋体-简"/>
                <w:i w:val="0"/>
                <w:iCs w:val="0"/>
                <w:color w:val="000000"/>
                <w:sz w:val="20"/>
                <w:szCs w:val="20"/>
                <w:u w:val="none"/>
              </w:rPr>
            </w:pPr>
            <w:r>
              <w:rPr>
                <w:rFonts w:hint="eastAsia" w:ascii="宋体-简" w:hAnsi="宋体-简" w:eastAsia="宋体-简" w:cs="宋体-简"/>
                <w:i w:val="0"/>
                <w:iCs w:val="0"/>
                <w:color w:val="000000"/>
                <w:kern w:val="0"/>
                <w:sz w:val="20"/>
                <w:szCs w:val="20"/>
                <w:u w:val="none"/>
                <w:lang w:val="en-US" w:eastAsia="zh-CN" w:bidi="ar"/>
              </w:rPr>
              <w:t>部门（单位）：</w:t>
            </w:r>
            <w:r>
              <w:rPr>
                <w:rFonts w:ascii="Arial" w:hAnsi="Arial" w:eastAsia="宋体-简" w:cs="Arial"/>
                <w:i w:val="0"/>
                <w:iCs w:val="0"/>
                <w:color w:val="000000"/>
                <w:kern w:val="0"/>
                <w:sz w:val="20"/>
                <w:szCs w:val="20"/>
                <w:u w:val="none"/>
                <w:lang w:val="en-US" w:eastAsia="zh-CN" w:bidi="ar"/>
              </w:rPr>
              <w:t xml:space="preserve">天津市南开区文化遗产和旅游服务中心 </w:t>
            </w:r>
          </w:p>
        </w:tc>
        <w:tc>
          <w:tcPr>
            <w:tcW w:w="1433"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支出功能分类科目</w:t>
            </w:r>
          </w:p>
        </w:tc>
        <w:tc>
          <w:tcPr>
            <w:tcW w:w="161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年初结转和结余</w:t>
            </w:r>
          </w:p>
        </w:tc>
        <w:tc>
          <w:tcPr>
            <w:tcW w:w="157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本年收入</w:t>
            </w:r>
          </w:p>
        </w:tc>
        <w:tc>
          <w:tcPr>
            <w:tcW w:w="459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本年支出</w:t>
            </w:r>
          </w:p>
        </w:tc>
        <w:tc>
          <w:tcPr>
            <w:tcW w:w="143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科目编码</w:t>
            </w:r>
          </w:p>
        </w:tc>
        <w:tc>
          <w:tcPr>
            <w:tcW w:w="34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科目名称</w:t>
            </w:r>
          </w:p>
        </w:tc>
        <w:tc>
          <w:tcPr>
            <w:tcW w:w="161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7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 xml:space="preserve">基本支出  </w:t>
            </w:r>
          </w:p>
        </w:tc>
        <w:tc>
          <w:tcPr>
            <w:tcW w:w="14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项目支出</w:t>
            </w:r>
          </w:p>
        </w:tc>
        <w:tc>
          <w:tcPr>
            <w:tcW w:w="143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80" w:hRule="atLeast"/>
        </w:trPr>
        <w:tc>
          <w:tcPr>
            <w:tcW w:w="476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2"/>
                <w:szCs w:val="22"/>
                <w:u w:val="none"/>
              </w:rPr>
            </w:pPr>
            <w:r>
              <w:rPr>
                <w:rFonts w:hint="eastAsia" w:asciiTheme="minorEastAsia" w:hAnsiTheme="minorEastAsia" w:eastAsiaTheme="minorEastAsia" w:cstheme="minorEastAsia"/>
                <w:i w:val="0"/>
                <w:iCs w:val="0"/>
                <w:color w:val="000000"/>
                <w:kern w:val="0"/>
                <w:sz w:val="22"/>
                <w:szCs w:val="22"/>
                <w:u w:val="none"/>
                <w:lang w:val="en-US" w:eastAsia="zh-CN" w:bidi="ar"/>
              </w:rPr>
              <w:t>合计</w:t>
            </w:r>
          </w:p>
        </w:tc>
        <w:tc>
          <w:tcPr>
            <w:tcW w:w="16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6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92"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注：本表反映本年度国有资本经营预算财政拨款收入、支出及结转和结余情况。</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天津市南开区文化遗产和旅游服务中心2024年国有资本经营预算财政拨款收入支出决算表为空表。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十、财政拨款“三公”经费支出决算表 </w:t>
      </w:r>
    </w:p>
    <w:tbl>
      <w:tblPr>
        <w:tblStyle w:val="11"/>
        <w:tblW w:w="13638"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69"/>
        <w:gridCol w:w="2108"/>
        <w:gridCol w:w="2400"/>
        <w:gridCol w:w="2385"/>
        <w:gridCol w:w="2430"/>
        <w:gridCol w:w="21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1492" w:type="dxa"/>
            <w:gridSpan w:val="5"/>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部门（单位）：天津市南开区文化遗产和旅游服务中心 </w:t>
            </w:r>
          </w:p>
        </w:tc>
        <w:tc>
          <w:tcPr>
            <w:tcW w:w="2146"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16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2108"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因公出国（境）费</w:t>
            </w:r>
          </w:p>
        </w:tc>
        <w:tc>
          <w:tcPr>
            <w:tcW w:w="7215" w:type="dxa"/>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公务用车购置及运行维护费</w:t>
            </w:r>
          </w:p>
        </w:tc>
        <w:tc>
          <w:tcPr>
            <w:tcW w:w="2146" w:type="dxa"/>
            <w:vMerge w:val="restar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216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小计</w:t>
            </w:r>
          </w:p>
        </w:tc>
        <w:tc>
          <w:tcPr>
            <w:tcW w:w="2385"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公务用车购置费</w:t>
            </w:r>
          </w:p>
        </w:tc>
        <w:tc>
          <w:tcPr>
            <w:tcW w:w="2430"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公务用车运行维护费</w:t>
            </w:r>
          </w:p>
        </w:tc>
        <w:tc>
          <w:tcPr>
            <w:tcW w:w="2146" w:type="dxa"/>
            <w:vMerge w:val="continue"/>
            <w:tcBorders>
              <w:top w:val="single" w:color="000000" w:sz="4" w:space="0"/>
              <w:left w:val="nil"/>
              <w:bottom w:val="single" w:color="000000" w:sz="4" w:space="0"/>
              <w:right w:val="single" w:color="000000" w:sz="4" w:space="0"/>
            </w:tcBorders>
            <w:shd w:val="clear" w:color="auto" w:fill="auto"/>
            <w:noWrap/>
            <w:vAlign w:val="center"/>
          </w:tcPr>
          <w:p>
            <w:pPr>
              <w:jc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21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21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638" w:type="dxa"/>
            <w:gridSpan w:val="6"/>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注：本表反映本年度“三公”经费支出决算情况。其中决算数是包括当年财政拨款和以前年度结转资金安排的实际支出。</w:t>
            </w:r>
          </w:p>
        </w:tc>
      </w:tr>
    </w:tbl>
    <w:p>
      <w:pPr>
        <w:widowControl/>
        <w:spacing w:before="0" w:beforeLines="0" w:beforeAutospacing="0" w:after="0" w:afterLines="0" w:afterAutospacing="0" w:line="240" w:lineRule="auto"/>
        <w:ind w:firstLine="600" w:firstLineChars="200"/>
        <w:jc w:val="left"/>
        <w:rPr>
          <w:rFonts w:ascii="宋体" w:eastAsia="仿宋_GB2312"/>
          <w:sz w:val="30"/>
          <w:szCs w:val="30"/>
        </w:rPr>
      </w:pPr>
      <w:r>
        <w:rPr>
          <w:rFonts w:ascii="宋体" w:eastAsia="仿宋_GB2312"/>
          <w:b w:val="0"/>
          <w:sz w:val="30"/>
          <w:szCs w:val="30"/>
        </w:rPr>
        <w:t>天津市南开区文化遗产和旅游服务中心2024年财政拨款“三公”经费支出决算表为空表。</w:t>
      </w:r>
    </w:p>
    <w:p>
      <w:pPr>
        <w:rPr>
          <w:rFonts w:hint="eastAsia" w:asciiTheme="minorEastAsia" w:hAnsiTheme="minorEastAsia" w:eastAsiaTheme="minorEastAsia" w:cstheme="minorEastAsia"/>
          <w:b w:val="0"/>
          <w:bCs w:val="0"/>
          <w:color w:val="auto"/>
          <w:kern w:val="0"/>
          <w:sz w:val="22"/>
          <w:szCs w:val="22"/>
          <w:highlight w:val="none"/>
        </w:rPr>
      </w:pPr>
      <w:r>
        <w:rPr>
          <w:rFonts w:hint="eastAsia" w:asciiTheme="minorEastAsia" w:hAnsiTheme="minorEastAsia" w:eastAsiaTheme="minorEastAsia" w:cstheme="minorEastAsia"/>
          <w:b w:val="0"/>
          <w:bCs w:val="0"/>
          <w:color w:val="auto"/>
          <w:kern w:val="0"/>
          <w:sz w:val="22"/>
          <w:szCs w:val="22"/>
          <w:highlight w:val="none"/>
        </w:rPr>
        <w:br w:type="page"/>
      </w:r>
    </w:p>
    <w:p>
      <w:pPr>
        <w:pStyle w:val="28"/>
        <w:keepNext w:val="0"/>
        <w:keepLines w:val="0"/>
        <w:widowControl/>
        <w:suppressLineNumbers w:val="0"/>
        <w:jc w:val="left"/>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val="en-US" w:eastAsia="zh-CN"/>
        </w:rPr>
        <w:t xml:space="preserve">十一、项目支出决算表 </w:t>
      </w:r>
    </w:p>
    <w:tbl>
      <w:tblPr>
        <w:tblStyle w:val="11"/>
        <w:tblW w:w="139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2"/>
        <w:gridCol w:w="2862"/>
        <w:gridCol w:w="1738"/>
        <w:gridCol w:w="1616"/>
        <w:gridCol w:w="1707"/>
        <w:gridCol w:w="1693"/>
        <w:gridCol w:w="1674"/>
        <w:gridCol w:w="15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20" w:hRule="atLeast"/>
        </w:trPr>
        <w:tc>
          <w:tcPr>
            <w:tcW w:w="12402" w:type="dxa"/>
            <w:gridSpan w:val="7"/>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 xml:space="preserve">部门（单位）：天津市南开区文化遗产和旅游服务中心 </w:t>
            </w:r>
          </w:p>
        </w:tc>
        <w:tc>
          <w:tcPr>
            <w:tcW w:w="1589" w:type="dxa"/>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项目</w:t>
            </w:r>
          </w:p>
        </w:tc>
        <w:tc>
          <w:tcPr>
            <w:tcW w:w="10017" w:type="dxa"/>
            <w:gridSpan w:val="6"/>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112"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科目编码</w:t>
            </w:r>
          </w:p>
        </w:tc>
        <w:tc>
          <w:tcPr>
            <w:tcW w:w="2862" w:type="dxa"/>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科目名称（二级项目名称）</w:t>
            </w:r>
          </w:p>
        </w:tc>
        <w:tc>
          <w:tcPr>
            <w:tcW w:w="1738"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616"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一般公共预算</w:t>
            </w:r>
          </w:p>
        </w:tc>
        <w:tc>
          <w:tcPr>
            <w:tcW w:w="1707"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政府性基金预算</w:t>
            </w:r>
          </w:p>
        </w:tc>
        <w:tc>
          <w:tcPr>
            <w:tcW w:w="1693"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国有资本经营预算</w:t>
            </w:r>
          </w:p>
        </w:tc>
        <w:tc>
          <w:tcPr>
            <w:tcW w:w="1674"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财政专户管理资金</w:t>
            </w:r>
          </w:p>
        </w:tc>
        <w:tc>
          <w:tcPr>
            <w:tcW w:w="1589" w:type="dxa"/>
            <w:tcBorders>
              <w:top w:val="nil"/>
              <w:left w:val="nil"/>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80" w:hRule="atLeast"/>
        </w:trPr>
        <w:tc>
          <w:tcPr>
            <w:tcW w:w="397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合计</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1,730,422.87</w:t>
            </w:r>
          </w:p>
        </w:tc>
        <w:tc>
          <w:tcPr>
            <w:tcW w:w="16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1,730,422.87</w:t>
            </w:r>
          </w:p>
        </w:tc>
        <w:tc>
          <w:tcPr>
            <w:tcW w:w="17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文化旅游体育与传媒支出</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1,730,422.87</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1,730,422.87</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文化和旅游</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1,341,722.40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1,341,722.40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群众文化</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386,722.40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386,722.40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2070109</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2023年中央支持地方公共文化服务体系建设补助资金</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386,722.40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386,722.40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2070111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文化创作与保护</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955,000.00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955,000.00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2070111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2023年国家非物质文化遗产保护专项资金中医诊疗法津沽脏腑推拿</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150,000.00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2070111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2023年国家非物质文化遗产保护专项资金泥塑天津泥人张</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2070111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2024年国家非物质文化遗产保护专项资金泥塑天津泥人张</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230,000.00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230,000.00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2070111</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2023年国家非物质文化遗产保护专项资金中医诊疗法津沽脏腑推拿</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375,000.00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375,000.00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20702</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文物</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388,700.47</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388,700.47</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2070205</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博物馆</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388,700.47</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388,700.47</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2070205</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经费补助</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214,823.92</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214,823.92</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2070205</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2024年抚恤金第一批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30,672.00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30,672.00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2070205</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物业管理费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94,599.00</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94,599.00</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112"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2070205</w:t>
            </w:r>
          </w:p>
        </w:tc>
        <w:tc>
          <w:tcPr>
            <w:tcW w:w="286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伙食费</w:t>
            </w:r>
          </w:p>
        </w:tc>
        <w:tc>
          <w:tcPr>
            <w:tcW w:w="1738"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48,605.55</w:t>
            </w:r>
          </w:p>
        </w:tc>
        <w:tc>
          <w:tcPr>
            <w:tcW w:w="16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48,605.55</w:t>
            </w:r>
          </w:p>
        </w:tc>
        <w:tc>
          <w:tcPr>
            <w:tcW w:w="170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93"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674"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c>
          <w:tcPr>
            <w:tcW w:w="1589"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Theme="minorEastAsia" w:hAnsiTheme="minorEastAsia" w:eastAsiaTheme="minorEastAsia" w:cstheme="minorEastAsia"/>
                <w:b w:val="0"/>
                <w:bCs w:val="0"/>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8" w:hRule="atLeast"/>
        </w:trPr>
        <w:tc>
          <w:tcPr>
            <w:tcW w:w="13991"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Theme="minorEastAsia" w:hAnsiTheme="minorEastAsia" w:eastAsiaTheme="minorEastAsia" w:cstheme="minorEastAsia"/>
                <w:b w:val="0"/>
                <w:bCs w:val="0"/>
                <w:i w:val="0"/>
                <w:iCs w:val="0"/>
                <w:color w:val="000000"/>
                <w:sz w:val="22"/>
                <w:szCs w:val="22"/>
                <w:u w:val="none"/>
              </w:rPr>
            </w:pPr>
            <w:r>
              <w:rPr>
                <w:rFonts w:hint="eastAsia" w:asciiTheme="minorEastAsia" w:hAnsiTheme="minorEastAsia" w:eastAsiaTheme="minorEastAsia" w:cstheme="minorEastAsia"/>
                <w:b w:val="0"/>
                <w:bCs w:val="0"/>
                <w:i w:val="0"/>
                <w:iCs w:val="0"/>
                <w:color w:val="000000"/>
                <w:kern w:val="0"/>
                <w:sz w:val="22"/>
                <w:szCs w:val="22"/>
                <w:u w:val="none"/>
                <w:lang w:val="en-US" w:eastAsia="zh-CN" w:bidi="ar"/>
              </w:rPr>
              <w:t>注：本表反映本年度项目支出决算情况，其中支出数包括当年预算资金和以前年度结转资金安排的合计实际支出。</w:t>
            </w:r>
          </w:p>
        </w:tc>
      </w:tr>
    </w:tbl>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Theme="minorEastAsia" w:hAnsiTheme="minorEastAsia" w:eastAsiaTheme="minorEastAsia" w:cstheme="minorEastAsia"/>
          <w:b w:val="0"/>
          <w:bCs w:val="0"/>
          <w:color w:val="auto"/>
          <w:kern w:val="0"/>
          <w:sz w:val="22"/>
          <w:szCs w:val="22"/>
          <w:highlight w:val="none"/>
        </w:rPr>
        <w:sectPr>
          <w:pgSz w:w="16838" w:h="11906" w:orient="landscape"/>
          <w:pgMar w:top="2098" w:right="1531" w:bottom="1984" w:left="1531"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第三部分  2024年度部门决算情况说明</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一、收入支出决算总体情况说明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天津市南开区文化遗产和旅游服务中心2024年度收入、支出决算总计4,975,664.79元。与2023年度相比，收、支总计各增加1,389,059.63元，增长38.729%，主要原因是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，追加人员经费，且</w:t>
      </w:r>
      <w:r>
        <w:rPr>
          <w:rFonts w:hint="eastAsia" w:ascii="Times New Roman" w:eastAsia="仿宋_GB2312"/>
          <w:b w:val="0"/>
          <w:sz w:val="30"/>
          <w:szCs w:val="30"/>
          <w:lang w:eastAsia="zh-CN"/>
        </w:rPr>
        <w:t>增加国家级非物质文化遗产项目专项资金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收入包括：一般公共预算财政拨款收入4,975,664.79元。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支出包括：文化旅游体育与传媒支出4,516,539.27元、社会保障和就业支出324,087.84元、卫生健康支出135,037.68元。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二、收入决算情况说明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天津市南开区文化遗产和旅游服务中心2024年度本年收入合计4,975,664.79元，与2023年度相比增加1,389,059.63元，主要原因是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，追加人员经费，且</w:t>
      </w:r>
      <w:r>
        <w:rPr>
          <w:rFonts w:hint="eastAsia" w:ascii="Times New Roman" w:eastAsia="仿宋_GB2312"/>
          <w:b w:val="0"/>
          <w:sz w:val="30"/>
          <w:szCs w:val="30"/>
          <w:lang w:eastAsia="zh-CN"/>
        </w:rPr>
        <w:t>增加国家级非物质文化遗产项目专项资金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一般公共预算财政拨款收入4,975,664.79元，占100.000%。</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三、支出决算情况说明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天津市南开区文化遗产和旅游服务中心2024年度本年支出合计4,975,664.79元，与2023年度相比增加1,389,946.34元，主要原因是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，追加人员经费，且</w:t>
      </w:r>
      <w:r>
        <w:rPr>
          <w:rFonts w:hint="eastAsia" w:ascii="Times New Roman" w:eastAsia="仿宋_GB2312"/>
          <w:b w:val="0"/>
          <w:sz w:val="30"/>
          <w:szCs w:val="30"/>
          <w:lang w:eastAsia="zh-CN"/>
        </w:rPr>
        <w:t>增加国家级非物质文化遗产项目专项资金</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基本支出3,245,241.92元，占65.222%；项目支出1,730,422.87元，占34.778%。</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四、财政拨款收支决算总体情况说明</w:t>
      </w:r>
    </w:p>
    <w:p>
      <w:pPr>
        <w:widowControl/>
        <w:spacing w:before="0" w:beforeLines="0" w:beforeAutospacing="0" w:after="0" w:afterLines="0" w:afterAutospacing="0" w:line="360" w:lineRule="auto"/>
        <w:ind w:firstLine="600" w:firstLineChars="200"/>
        <w:jc w:val="left"/>
        <w:rPr>
          <w:rFonts w:ascii="Times New Roman" w:eastAsia="仿宋_GB2312"/>
          <w:b w:val="0"/>
          <w:sz w:val="30"/>
          <w:szCs w:val="30"/>
        </w:rPr>
      </w:pPr>
      <w:r>
        <w:rPr>
          <w:rFonts w:ascii="Times New Roman" w:eastAsia="仿宋_GB2312"/>
          <w:b w:val="0"/>
          <w:sz w:val="30"/>
          <w:szCs w:val="30"/>
        </w:rPr>
        <w:t>天津市南开区文化遗产和旅游服务中心2024年度财政拨款收入、支出决算总计4,975,664.79元。与2023年度相比，财政拨款收、支总计各增加1,389,115.21元，增长38.731%，主要原因是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，追加人员经费，且</w:t>
      </w:r>
      <w:r>
        <w:rPr>
          <w:rFonts w:hint="eastAsia" w:ascii="Times New Roman" w:eastAsia="仿宋_GB2312"/>
          <w:b w:val="0"/>
          <w:sz w:val="30"/>
          <w:szCs w:val="30"/>
          <w:lang w:eastAsia="zh-CN"/>
        </w:rPr>
        <w:t>增加国家级非物质文化遗产项目专项资金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outlineLvl w:val="1"/>
        <w:rPr>
          <w:rFonts w:ascii="Times New Roman" w:eastAsia="仿宋_GB2312"/>
          <w:sz w:val="30"/>
          <w:szCs w:val="30"/>
        </w:rPr>
      </w:pPr>
      <w:r>
        <w:rPr>
          <w:rFonts w:ascii="Times New Roman" w:eastAsia="仿宋_GB2312"/>
          <w:b w:val="0"/>
          <w:sz w:val="30"/>
          <w:szCs w:val="30"/>
        </w:rPr>
        <w:t>收入包括：一般公共预算财政拨款4,975,664.79元。</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支出包括：文化旅游体育与传媒支出4,516,539.27元、社会保障和就业支出324,087.84元、卫生健康支出135,037.68元。</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五、一般公共预算财政拨款支出决算情况说明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部门决算一般公共预算财政拨款支出合计4,975,664.79元，占本年支出合计的100.000%。与2023年度相比，一般公共预算财政拨款支出增加1,389,946.34元，增长38.763%，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，追加人员经费，且</w:t>
      </w:r>
      <w:r>
        <w:rPr>
          <w:rFonts w:hint="eastAsia" w:ascii="Times New Roman" w:eastAsia="仿宋_GB2312"/>
          <w:b w:val="0"/>
          <w:sz w:val="30"/>
          <w:szCs w:val="30"/>
          <w:lang w:eastAsia="zh-CN"/>
        </w:rPr>
        <w:t>增加国家级非物质文化遗产项目专项资金</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（二）支出结构情况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4,975,664.79元，主要用于以下方面：文化旅游体育与传媒支出（类）4,516,539.27元，占90.773%；社会保障和就业支出（类）324,087.84元，占6.513%；卫生健康支出（类）135,037.68元，占2.714%。</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（三）具体情况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2024年度一般公共预算财政拨款支出年初预算为4,564,887.75元，支出决算为4,975,664.79元，完成年初预算的108.999%。其中： </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1.​文化旅游体育与传媒支出(类)文化和旅游(款)群众文化(项)年初预算为575,000.00元，支出决算为386,722.40元，完成年初预算的67.256%，决算数小于年初预算数的主要原因是</w:t>
      </w:r>
      <w:r>
        <w:rPr>
          <w:rFonts w:hint="eastAsia" w:ascii="Times New Roman" w:eastAsia="仿宋_GB2312"/>
          <w:b w:val="0"/>
          <w:sz w:val="30"/>
          <w:szCs w:val="30"/>
          <w:lang w:eastAsia="zh-CN"/>
        </w:rPr>
        <w:t>部分群众文化活动款项未支付</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2.​文化旅游体育与传媒支出(类)文化和旅游(款)文化创作与保护(项)年初预算为725,000.00元，支出决算为955,000.00元，完成年初预算的131.724%，决算数大于年初预算数的主要原因是</w:t>
      </w:r>
      <w:r>
        <w:rPr>
          <w:rFonts w:hint="eastAsia" w:ascii="Times New Roman" w:eastAsia="仿宋_GB2312"/>
          <w:b w:val="0"/>
          <w:sz w:val="30"/>
          <w:szCs w:val="30"/>
          <w:lang w:eastAsia="zh-CN"/>
        </w:rPr>
        <w:t>增加国家级非物质文化遗产项目专项资金</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3.​文化旅游体育与传媒支出(类)文物(款)博物馆(项)年初预算为2,847,130.02元，支出决算为3,174,816.87元，完成年初预算的111.509%，决算数大于年初预算数的主要原因是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4.​社会保障和就业支出(类)行政事业单位养老支出(款)机关事业单位基本养老保险缴费支出(项)年初预算为196,591.87元，支出决算为216,058.56元，完成年初预算的109.902%，决算数大于年初预算数的主要原因是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5.​社会保障和就业支出(类)行政事业单位养老支出(款)机关事业单位职业年金缴费支出(项)年初预算为98,295.94元，支出决算为108,029.28元，完成年初预算的109.902%，决算数大于年初预算数的主要原因是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6.​卫生健康支出(类)行政事业单位医疗(款)事业单位医疗(项)年初预算为122,869.92元，支出决算为135,037.68元，完成年初预算的109.903%，决算数大于年初预算数的主要原因是</w:t>
      </w:r>
      <w:r>
        <w:rPr>
          <w:rFonts w:hint="eastAsia" w:ascii="Times New Roman" w:eastAsia="仿宋_GB2312"/>
          <w:b w:val="0"/>
          <w:sz w:val="30"/>
          <w:szCs w:val="30"/>
          <w:lang w:eastAsia="zh-CN"/>
        </w:rPr>
        <w:t>有新入职人员</w:t>
      </w:r>
      <w:r>
        <w:rPr>
          <w:rFonts w:hint="eastAsia" w:ascii="Times New Roman" w:eastAsia="仿宋_GB2312"/>
          <w:b w:val="0"/>
          <w:sz w:val="30"/>
          <w:szCs w:val="30"/>
          <w:lang w:val="en-US" w:eastAsia="zh-CN"/>
        </w:rPr>
        <w:t>，追加人员经费</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六、一般公共预算财政拨款基本支出决算情况说明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天津市南开区文化遗产和旅游服务中心2024年度部门决算一般公共预算财政拨款基本支出合计3,245,241.92元，与2023年度相比减少124,764.71元，主要原因是</w:t>
      </w:r>
      <w:r>
        <w:rPr>
          <w:rFonts w:hint="eastAsia" w:ascii="Times New Roman" w:eastAsia="仿宋_GB2312"/>
          <w:b w:val="0"/>
          <w:sz w:val="30"/>
          <w:szCs w:val="30"/>
          <w:lang w:eastAsia="zh-CN"/>
        </w:rPr>
        <w:t>进一步节约经费，压减办公开支</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人员经费3,008,143.72元，主要包括基本工资、津贴补贴、绩效工资、机关事业单位基本养老保险缴费、职业年金缴费、职工基本医疗保险缴费、其他社会保障缴费、住房公积金、其他工资福利支出、退休费和奖励金。</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公用经费237,098.20元，主要包括办公费、咨询费、手续费、电费、邮电费、取暖费、差旅费、工会经费、福利费和其他商品和服务支出。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七、政府性基金预算财政拨款收支决算情况说明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天津市南开区文化遗产和旅游服务中心2024年度无政府性基金预算财政拨款收入、支出和结转结余。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八、国有资本经营预算财政拨款收支决算情况说明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天津市南开区文化遗产和旅游服务中心2024年度无国有资本经营预算财政拨款收入、支出和结转结余。</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九、财政拨款“三公”经费支出决算情况说明</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（一）总体情况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2024年财政拨款“三公”经费预算0.00元，支出决算0.00元，与2024年预算相比持平；支出决算较上年持平；决算数与预算数持平的主要原因是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本年度未用财政拨款经费列支“三公”经费</w:t>
      </w:r>
      <w:r>
        <w:rPr>
          <w:rFonts w:ascii="Times New Roman" w:eastAsia="仿宋_GB2312"/>
          <w:b w:val="0"/>
          <w:sz w:val="30"/>
          <w:szCs w:val="30"/>
        </w:rPr>
        <w:t>。</w:t>
      </w:r>
    </w:p>
    <w:p>
      <w:pPr>
        <w:widowControl/>
        <w:spacing w:before="0" w:beforeLines="0" w:beforeAutospacing="0" w:after="0" w:afterLines="0" w:afterAutospacing="0" w:line="360" w:lineRule="auto"/>
        <w:ind w:firstLine="602" w:firstLineChars="200"/>
        <w:jc w:val="left"/>
        <w:rPr>
          <w:rFonts w:ascii="楷体" w:eastAsia="楷体"/>
          <w:sz w:val="30"/>
          <w:szCs w:val="30"/>
        </w:rPr>
      </w:pPr>
      <w:r>
        <w:rPr>
          <w:rFonts w:ascii="楷体" w:eastAsia="楷体"/>
          <w:b/>
          <w:sz w:val="30"/>
          <w:szCs w:val="30"/>
        </w:rPr>
        <w:t>（二）具体情况</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1.因公出国（境）费预算0.00元，支出决算0.00元，与预算相比持平；支出决算较上年持平；决算数与预算数持平的主要原因是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本年度未用财政拨款经费列支因公出国（境）费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2024年本单位组织的出国团组0个，出国0人次。</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2.公务用车购置及运行维护费预算0.00元，支出决算0.00元，与预算相比持平；支出决算较上年持平；决算数与预算数持平的主要原因是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本年度未用财政拨款经费列支公务用车购置费及公务用车运行维护费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本年度未用财政拨款经费列支公务用车购置费及公务用车运行维护费</w:t>
      </w:r>
      <w:r>
        <w:rPr>
          <w:rFonts w:ascii="Times New Roman" w:eastAsia="仿宋_GB2312"/>
          <w:b w:val="0"/>
          <w:sz w:val="30"/>
          <w:szCs w:val="30"/>
        </w:rPr>
        <w:t>。其中：</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公务用车运行维护费预算0.00元，支出决算0.00元，与预算相比持平；支出决算较上年持平；决算数与预算数持平的主要原因是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公务用车运行维护费；决算数较上年持平的主要原因是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公务用车运行维护费。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截至2024年12月31日，使用财政拨款开支运行维护费的公务用车保有量为0辆。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公务用车购置费预算0.00元，支出决算0.00元，与预算相比持平；支出决算较上年持平；决算数与预算数持平的主要原因是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本年度未用财政拨款经费列支公务用车购置费</w:t>
      </w:r>
      <w:r>
        <w:rPr>
          <w:rFonts w:ascii="Times New Roman" w:eastAsia="仿宋_GB2312"/>
          <w:b w:val="0"/>
          <w:sz w:val="30"/>
          <w:szCs w:val="30"/>
        </w:rPr>
        <w:t>；决算数较上年持平的主要原因是</w:t>
      </w:r>
      <w:r>
        <w:rPr>
          <w:rFonts w:hint="eastAsia" w:ascii="Times New Roman" w:hAnsi="Times New Roman" w:eastAsia="仿宋_GB2312" w:cs="仿宋_GB2312"/>
          <w:sz w:val="30"/>
          <w:szCs w:val="30"/>
          <w:highlight w:val="none"/>
          <w:lang w:eastAsia="zh-CN"/>
        </w:rPr>
        <w:t>本年度未用财政拨款经费列支公务用车购置费</w:t>
      </w:r>
      <w:r>
        <w:rPr>
          <w:rFonts w:ascii="Times New Roman" w:eastAsia="仿宋_GB2312"/>
          <w:b w:val="0"/>
          <w:sz w:val="30"/>
          <w:szCs w:val="30"/>
        </w:rPr>
        <w:t>。</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2024年购置公务用车0辆。</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3.公务接待费预算0.00元，支出决算0.00元，与预算相比持平；支出决算较上年持平；决算数与预算数持平的主要原因是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公务接待费；决算数较上年持平的主要原因是</w:t>
      </w:r>
      <w:r>
        <w:rPr>
          <w:rFonts w:hint="eastAsia" w:ascii="Times New Roman" w:hAnsi="Times New Roman" w:eastAsia="仿宋_GB2312" w:cs="仿宋_GB2312"/>
          <w:sz w:val="30"/>
          <w:szCs w:val="30"/>
          <w:highlight w:val="none"/>
          <w:lang w:eastAsia="zh-CN"/>
        </w:rPr>
        <w:t>本年度未用财政拨款经费列支</w:t>
      </w:r>
      <w:r>
        <w:rPr>
          <w:rFonts w:ascii="Times New Roman" w:eastAsia="仿宋_GB2312"/>
          <w:b w:val="0"/>
          <w:sz w:val="30"/>
          <w:szCs w:val="30"/>
        </w:rPr>
        <w:t>公务接待费。</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2024年本单位国内公务接待0批次，0人次；其中，外事接待0批次，0人次。</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十、机关运行经费支出情况说明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天津市南开区文化遗产和旅游服务中心2024年度无机关运行经费。</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十一、政府采购支出情况说明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天津市南开区文化遗产和旅游服务中心2024年度无政府采购支出。</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十二、国有资产占有使用情况说明</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天津市南开区文化遗产和旅游服务中心2024年度无国有资产占有使用情况。</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十三、预算绩效情况说明</w:t>
      </w:r>
    </w:p>
    <w:p>
      <w:pPr>
        <w:widowControl/>
        <w:spacing w:before="0" w:beforeLines="0" w:beforeAutospacing="0" w:after="0" w:afterLines="0" w:afterAutospacing="0" w:line="240" w:lineRule="auto"/>
        <w:ind w:firstLine="600" w:firstLineChars="200"/>
        <w:jc w:val="left"/>
        <w:rPr>
          <w:rFonts w:hint="default" w:ascii="Times New Roman" w:eastAsia="仿宋_GB2312"/>
          <w:sz w:val="30"/>
          <w:szCs w:val="30"/>
          <w:lang w:val="en-US" w:eastAsia="zh-CN"/>
        </w:rPr>
      </w:pPr>
      <w:r>
        <w:rPr>
          <w:rFonts w:ascii="Times New Roman" w:eastAsia="仿宋_GB2312"/>
          <w:b w:val="0"/>
          <w:sz w:val="30"/>
          <w:szCs w:val="30"/>
        </w:rPr>
        <w:t>根据预算绩效管理要求，天津市</w:t>
      </w:r>
      <w:r>
        <w:rPr>
          <w:rFonts w:hint="eastAsia" w:ascii="Times New Roman" w:eastAsia="仿宋_GB2312"/>
          <w:b w:val="0"/>
          <w:sz w:val="30"/>
          <w:szCs w:val="30"/>
          <w:lang w:eastAsia="zh-CN"/>
        </w:rPr>
        <w:t>南开区文化遗产和旅游服务中心</w:t>
      </w:r>
      <w:r>
        <w:rPr>
          <w:rFonts w:ascii="Times New Roman" w:eastAsia="仿宋_GB2312"/>
          <w:b w:val="0"/>
          <w:sz w:val="30"/>
          <w:szCs w:val="30"/>
        </w:rPr>
        <w:t>已对</w:t>
      </w:r>
      <w:r>
        <w:rPr>
          <w:rFonts w:hint="eastAsia" w:ascii="Times New Roman" w:eastAsia="仿宋_GB2312"/>
          <w:b w:val="0"/>
          <w:sz w:val="30"/>
          <w:szCs w:val="30"/>
          <w:lang w:val="en-US" w:eastAsia="zh-CN"/>
        </w:rPr>
        <w:t>9</w:t>
      </w:r>
      <w:r>
        <w:rPr>
          <w:rFonts w:ascii="Times New Roman" w:eastAsia="仿宋_GB2312"/>
          <w:b w:val="0"/>
          <w:sz w:val="30"/>
          <w:szCs w:val="30"/>
        </w:rPr>
        <w:t>个2024年度项目开展绩效自评，涉及金额</w:t>
      </w:r>
      <w:r>
        <w:rPr>
          <w:rFonts w:hint="eastAsia" w:ascii="Times New Roman" w:eastAsia="仿宋_GB2312"/>
          <w:b w:val="0"/>
          <w:sz w:val="30"/>
          <w:szCs w:val="30"/>
          <w:lang w:val="en-US" w:eastAsia="zh-CN"/>
        </w:rPr>
        <w:t>2,310,845.56</w:t>
      </w:r>
      <w:r>
        <w:rPr>
          <w:rFonts w:ascii="Times New Roman" w:eastAsia="仿宋_GB2312"/>
          <w:b w:val="0"/>
          <w:sz w:val="30"/>
          <w:szCs w:val="30"/>
        </w:rPr>
        <w:t>元，自评结果已随部门决算一并公开。</w:t>
      </w:r>
    </w:p>
    <w:p>
      <w:pPr>
        <w:widowControl/>
        <w:spacing w:before="0" w:beforeLines="0" w:beforeAutospacing="0" w:after="0" w:afterLines="0" w:afterAutospacing="0" w:line="360" w:lineRule="auto"/>
        <w:ind w:firstLine="602" w:firstLineChars="200"/>
        <w:jc w:val="left"/>
        <w:outlineLvl w:val="1"/>
        <w:rPr>
          <w:rFonts w:ascii="宋体" w:eastAsia="黑体"/>
          <w:sz w:val="30"/>
          <w:szCs w:val="30"/>
        </w:rPr>
      </w:pPr>
      <w:r>
        <w:rPr>
          <w:rFonts w:ascii="宋体" w:eastAsia="黑体"/>
          <w:b/>
          <w:sz w:val="30"/>
          <w:szCs w:val="30"/>
        </w:rPr>
        <w:t>十四、教育、医疗卫生、社会保障和就业、住房保障、涉农补贴等民生支出情况说明</w:t>
      </w:r>
    </w:p>
    <w:p>
      <w:pPr>
        <w:widowControl/>
        <w:spacing w:before="0" w:beforeLines="0" w:beforeAutospacing="0" w:after="0" w:afterLines="0" w:afterAutospacing="0" w:line="240" w:lineRule="auto"/>
        <w:ind w:firstLine="600" w:firstLineChars="200"/>
        <w:jc w:val="left"/>
        <w:rPr>
          <w:rFonts w:ascii="Times New Roman" w:eastAsia="仿宋_GB2312"/>
          <w:sz w:val="30"/>
          <w:szCs w:val="30"/>
        </w:rPr>
      </w:pPr>
      <w:r>
        <w:rPr>
          <w:rFonts w:ascii="Times New Roman" w:eastAsia="仿宋_GB2312"/>
          <w:b w:val="0"/>
          <w:sz w:val="30"/>
          <w:szCs w:val="30"/>
        </w:rPr>
        <w:t>天津市南开区文化遗产和旅游服务中心不涉及公开2024年度教育、医疗卫生、社会保障和就业、住房保障、涉农补贴等民生支出情况。</w:t>
      </w: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b w:val="0"/>
          <w:sz w:val="44"/>
          <w:szCs w:val="44"/>
        </w:rPr>
      </w:pPr>
    </w:p>
    <w:p>
      <w:pPr>
        <w:widowControl/>
        <w:spacing w:before="0" w:beforeLines="0" w:beforeAutospacing="0" w:after="0" w:afterLines="0" w:afterAutospacing="0" w:line="360" w:lineRule="auto"/>
        <w:jc w:val="center"/>
        <w:outlineLvl w:val="0"/>
        <w:rPr>
          <w:rFonts w:ascii="黑体" w:eastAsia="黑体"/>
          <w:sz w:val="44"/>
          <w:szCs w:val="44"/>
        </w:rPr>
      </w:pPr>
      <w:r>
        <w:rPr>
          <w:rFonts w:ascii="黑体" w:eastAsia="黑体"/>
          <w:b w:val="0"/>
          <w:sz w:val="44"/>
          <w:szCs w:val="44"/>
        </w:rPr>
        <w:t>第四部分 名词解释</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before="0" w:beforeLines="0" w:beforeAutospacing="0" w:after="0" w:afterLines="0" w:afterAutospacing="0" w:line="360" w:lineRule="auto"/>
        <w:ind w:firstLine="600" w:firstLineChars="200"/>
        <w:jc w:val="left"/>
        <w:rPr>
          <w:rFonts w:ascii="Times New Roman" w:eastAsia="仿宋_GB2312"/>
          <w:sz w:val="30"/>
          <w:szCs w:val="30"/>
        </w:rPr>
      </w:pPr>
      <w:r>
        <w:rPr>
          <w:rFonts w:ascii="Times New Roman" w:eastAsia="仿宋_GB2312"/>
          <w:b w:val="0"/>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p>
      <w:pPr>
        <w:widowControl/>
        <w:spacing w:before="0" w:beforeLines="0" w:beforeAutospacing="0" w:after="0" w:afterLines="0" w:afterAutospacing="0" w:line="360" w:lineRule="auto"/>
        <w:ind w:firstLine="640" w:firstLineChars="200"/>
        <w:jc w:val="left"/>
        <w:rPr>
          <w:rFonts w:ascii="Times New Roman" w:eastAsia="仿宋_GB2312"/>
          <w:sz w:val="32"/>
          <w:szCs w:val="32"/>
        </w:rPr>
      </w:pPr>
      <w:r>
        <w:rPr>
          <w:rFonts w:ascii="Times New Roman" w:eastAsia="仿宋_GB2312"/>
          <w:b w:val="0"/>
          <w:sz w:val="32"/>
          <w:szCs w:val="32"/>
        </w:rPr>
        <w:t>  </w:t>
      </w:r>
    </w:p>
    <w:p>
      <w:pPr>
        <w:rPr>
          <w:rFonts w:hint="default" w:asciiTheme="minorEastAsia" w:hAnsiTheme="minorEastAsia" w:cstheme="minorEastAsia"/>
          <w:b w:val="0"/>
          <w:bCs w:val="0"/>
          <w:i w:val="0"/>
          <w:iCs w:val="0"/>
          <w:caps w:val="0"/>
          <w:color w:val="333333"/>
          <w:spacing w:val="0"/>
          <w:sz w:val="22"/>
          <w:szCs w:val="22"/>
          <w:highlight w:val="none"/>
          <w:shd w:val="clear" w:fill="FFFFFF"/>
          <w:lang w:val="en-US" w:eastAsia="zh-CN"/>
        </w:rPr>
      </w:pPr>
    </w:p>
    <w:sectPr>
      <w:pgSz w:w="11906" w:h="16838"/>
      <w:pgMar w:top="2098" w:right="1417" w:bottom="1871" w:left="1417" w:header="851" w:footer="992" w:gutter="0"/>
      <w:pgBorders>
        <w:top w:val="none" w:sz="0" w:space="0"/>
        <w:left w:val="none" w:sz="0" w:space="0"/>
        <w:bottom w:val="none" w:sz="0" w:space="0"/>
        <w:right w:val="none" w:sz="0" w:space="0"/>
      </w:pgBorders>
      <w:pgNumType w:fmt="decimal"/>
      <w:cols w:space="0" w:num="1"/>
      <w:rtlGutter w:val="0"/>
      <w:docGrid w:type="lines" w:linePitch="32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F32CCD2D-769D-4FF2-A4F3-3E20E57F003D}"/>
  </w:font>
  <w:font w:name="黑体">
    <w:panose1 w:val="02010609060101010101"/>
    <w:charset w:val="86"/>
    <w:family w:val="auto"/>
    <w:pitch w:val="default"/>
    <w:sig w:usb0="800002BF" w:usb1="38CF7CFA" w:usb2="00000016" w:usb3="00000000" w:csb0="00040001" w:csb1="00000000"/>
    <w:embedRegular r:id="rId2" w:fontKey="{AB5B2F9C-5C31-4B93-B21F-2EAC58DBC90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3" w:fontKey="{F7A5918D-53D4-449A-A142-9011C1C86331}"/>
  </w:font>
  <w:font w:name="Calibri Light">
    <w:panose1 w:val="020F0302020204030204"/>
    <w:charset w:val="00"/>
    <w:family w:val="auto"/>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helvetica">
    <w:altName w:val="Segoe Print"/>
    <w:panose1 w:val="00000000000000000000"/>
    <w:charset w:val="00"/>
    <w:family w:val="auto"/>
    <w:pitch w:val="default"/>
    <w:sig w:usb0="00000000" w:usb1="00000000" w:usb2="00000000" w:usb3="00000000" w:csb0="2000019F" w:csb1="4F010000"/>
  </w:font>
  <w:font w:name="Fz_S_BiaoSong_Jt">
    <w:altName w:val="Segoe Print"/>
    <w:panose1 w:val="00000000000000000000"/>
    <w:charset w:val="00"/>
    <w:family w:val="auto"/>
    <w:pitch w:val="default"/>
    <w:sig w:usb0="00000000" w:usb1="00000000" w:usb2="00000000" w:usb3="00000000" w:csb0="00000000" w:csb1="00000000"/>
  </w:font>
  <w:font w:name="仿宋_GB2312">
    <w:panose1 w:val="02010609030101010101"/>
    <w:charset w:val="00"/>
    <w:family w:val="auto"/>
    <w:pitch w:val="default"/>
    <w:sig w:usb0="00000000" w:usb1="00000000" w:usb2="00000000" w:usb3="00000000" w:csb0="00000000" w:csb1="00000000"/>
  </w:font>
  <w:font w:name="宋体-简">
    <w:altName w:val="宋体"/>
    <w:panose1 w:val="02010800040101010101"/>
    <w:charset w:val="86"/>
    <w:family w:val="auto"/>
    <w:pitch w:val="default"/>
    <w:sig w:usb0="00000000" w:usb1="00000000" w:usb2="00000000" w:usb3="00000000" w:csb0="00040000" w:csb1="00000000"/>
    <w:embedRegular r:id="rId4" w:fontKey="{19D33F54-1453-4EE7-8700-B50A382863E2}"/>
  </w:font>
  <w:font w:name="楷体">
    <w:panose1 w:val="02010609060101010101"/>
    <w:charset w:val="86"/>
    <w:family w:val="auto"/>
    <w:pitch w:val="default"/>
    <w:sig w:usb0="800002BF" w:usb1="38CF7CFA" w:usb2="00000016" w:usb3="00000000" w:csb0="00040001" w:csb1="00000000"/>
    <w:embedRegular r:id="rId5" w:fontKey="{7C40630D-4C63-4D90-B933-B559885E4ED9}"/>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F1D044"/>
    <w:multiLevelType w:val="singleLevel"/>
    <w:tmpl w:val="EBF1D044"/>
    <w:lvl w:ilvl="0" w:tentative="0">
      <w:start w:val="6"/>
      <w:numFmt w:val="chineseCounting"/>
      <w:suff w:val="nothing"/>
      <w:lvlText w:val="%1、"/>
      <w:lvlJc w:val="left"/>
      <w:rPr>
        <w:rFonts w:hint="eastAsia"/>
      </w:rPr>
    </w:lvl>
  </w:abstractNum>
  <w:abstractNum w:abstractNumId="1">
    <w:nsid w:val="5F16A424"/>
    <w:multiLevelType w:val="multilevel"/>
    <w:tmpl w:val="5F16A424"/>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pStyle w:val="5"/>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embedTrueTypeFonts/>
  <w:saveSubsetFonts/>
  <w:bordersDoNotSurroundHeader w:val="0"/>
  <w:bordersDoNotSurroundFooter w:val="0"/>
  <w:documentProtection w:enforcement="0"/>
  <w:defaultTabStop w:val="420"/>
  <w:drawingGridVerticalSpacing w:val="16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jb3VudCI6NjksImhkaWQiOiJiMzk2N2EzZjUyYWViODRjZjJhMDZjM2YyYjk4MTExMiIsInVzZXJDb3VudCI6MX0="/>
  </w:docVars>
  <w:rsids>
    <w:rsidRoot w:val="00000000"/>
    <w:rsid w:val="00086151"/>
    <w:rsid w:val="00236F8C"/>
    <w:rsid w:val="00822154"/>
    <w:rsid w:val="00C65689"/>
    <w:rsid w:val="00CC2C8E"/>
    <w:rsid w:val="016646EA"/>
    <w:rsid w:val="01A03C5A"/>
    <w:rsid w:val="01A5267D"/>
    <w:rsid w:val="01AF6A8D"/>
    <w:rsid w:val="024808A2"/>
    <w:rsid w:val="025C3821"/>
    <w:rsid w:val="02DA3B1B"/>
    <w:rsid w:val="02E57B4D"/>
    <w:rsid w:val="03450B90"/>
    <w:rsid w:val="037B12D4"/>
    <w:rsid w:val="03804D63"/>
    <w:rsid w:val="03FB73B0"/>
    <w:rsid w:val="04806B11"/>
    <w:rsid w:val="049C1B9D"/>
    <w:rsid w:val="04BD008C"/>
    <w:rsid w:val="04C55939"/>
    <w:rsid w:val="04DA28BB"/>
    <w:rsid w:val="04F528BE"/>
    <w:rsid w:val="050E10CE"/>
    <w:rsid w:val="054F2DFB"/>
    <w:rsid w:val="05991C82"/>
    <w:rsid w:val="05CD1EC8"/>
    <w:rsid w:val="061416A9"/>
    <w:rsid w:val="061D60A6"/>
    <w:rsid w:val="06236884"/>
    <w:rsid w:val="06B07006"/>
    <w:rsid w:val="06FC7C2A"/>
    <w:rsid w:val="07533AFE"/>
    <w:rsid w:val="07AC18F2"/>
    <w:rsid w:val="07AC351E"/>
    <w:rsid w:val="07B3657A"/>
    <w:rsid w:val="07C857D0"/>
    <w:rsid w:val="083F3A0A"/>
    <w:rsid w:val="08AB5AAF"/>
    <w:rsid w:val="09012C64"/>
    <w:rsid w:val="093B2E99"/>
    <w:rsid w:val="095D7943"/>
    <w:rsid w:val="09C006C6"/>
    <w:rsid w:val="0A10621F"/>
    <w:rsid w:val="0A464C4F"/>
    <w:rsid w:val="0A6729A3"/>
    <w:rsid w:val="0A694877"/>
    <w:rsid w:val="0AA954BE"/>
    <w:rsid w:val="0AE70639"/>
    <w:rsid w:val="0B4F5E6D"/>
    <w:rsid w:val="0B54502F"/>
    <w:rsid w:val="0B753AE2"/>
    <w:rsid w:val="0BB67D0A"/>
    <w:rsid w:val="0BC56230"/>
    <w:rsid w:val="0BCF21BD"/>
    <w:rsid w:val="0C4E53E8"/>
    <w:rsid w:val="0C6712D6"/>
    <w:rsid w:val="0C9F7900"/>
    <w:rsid w:val="0CB23317"/>
    <w:rsid w:val="0D101068"/>
    <w:rsid w:val="0D4E13BE"/>
    <w:rsid w:val="0D7557DF"/>
    <w:rsid w:val="0D853E34"/>
    <w:rsid w:val="0D9C2A57"/>
    <w:rsid w:val="0DC3019B"/>
    <w:rsid w:val="0DFA5D82"/>
    <w:rsid w:val="0E1E52CE"/>
    <w:rsid w:val="0E722011"/>
    <w:rsid w:val="0E866524"/>
    <w:rsid w:val="0E9268D3"/>
    <w:rsid w:val="0E957F1F"/>
    <w:rsid w:val="0F0E7284"/>
    <w:rsid w:val="0F28110F"/>
    <w:rsid w:val="0F37083F"/>
    <w:rsid w:val="0F7470AF"/>
    <w:rsid w:val="0F891DB8"/>
    <w:rsid w:val="0F8D3287"/>
    <w:rsid w:val="0FAA3B86"/>
    <w:rsid w:val="10191346"/>
    <w:rsid w:val="102A01A6"/>
    <w:rsid w:val="105A290D"/>
    <w:rsid w:val="10754A6C"/>
    <w:rsid w:val="108B537D"/>
    <w:rsid w:val="10B11DB1"/>
    <w:rsid w:val="10E649D4"/>
    <w:rsid w:val="11177F57"/>
    <w:rsid w:val="11217C97"/>
    <w:rsid w:val="11464C20"/>
    <w:rsid w:val="115E4926"/>
    <w:rsid w:val="118A1FFA"/>
    <w:rsid w:val="11D24C32"/>
    <w:rsid w:val="11E35B5A"/>
    <w:rsid w:val="11E42DD6"/>
    <w:rsid w:val="125F5A1B"/>
    <w:rsid w:val="126979D6"/>
    <w:rsid w:val="129E45A7"/>
    <w:rsid w:val="13074404"/>
    <w:rsid w:val="136A5C00"/>
    <w:rsid w:val="13B97B08"/>
    <w:rsid w:val="13C527AC"/>
    <w:rsid w:val="143C61AE"/>
    <w:rsid w:val="14711797"/>
    <w:rsid w:val="147B6F17"/>
    <w:rsid w:val="14D42061"/>
    <w:rsid w:val="15081C8B"/>
    <w:rsid w:val="15090D5C"/>
    <w:rsid w:val="15472EFD"/>
    <w:rsid w:val="15CF053D"/>
    <w:rsid w:val="15E0131A"/>
    <w:rsid w:val="15E11DC0"/>
    <w:rsid w:val="16457D9F"/>
    <w:rsid w:val="17223EFF"/>
    <w:rsid w:val="17AA5F28"/>
    <w:rsid w:val="17B713F6"/>
    <w:rsid w:val="184350A0"/>
    <w:rsid w:val="18935485"/>
    <w:rsid w:val="18A34206"/>
    <w:rsid w:val="18DE3B2C"/>
    <w:rsid w:val="1906685D"/>
    <w:rsid w:val="19111683"/>
    <w:rsid w:val="19353916"/>
    <w:rsid w:val="193E101D"/>
    <w:rsid w:val="19C10AF1"/>
    <w:rsid w:val="1A017CDA"/>
    <w:rsid w:val="1A2672DE"/>
    <w:rsid w:val="1AA81D42"/>
    <w:rsid w:val="1AB433D9"/>
    <w:rsid w:val="1AFB6D70"/>
    <w:rsid w:val="1B1B11EE"/>
    <w:rsid w:val="1B3719E0"/>
    <w:rsid w:val="1B4C15B6"/>
    <w:rsid w:val="1B6261C3"/>
    <w:rsid w:val="1B731730"/>
    <w:rsid w:val="1B882BB5"/>
    <w:rsid w:val="1B9B33C7"/>
    <w:rsid w:val="1B9D7FEC"/>
    <w:rsid w:val="1BA55461"/>
    <w:rsid w:val="1BE74496"/>
    <w:rsid w:val="1C3D67D1"/>
    <w:rsid w:val="1C40731A"/>
    <w:rsid w:val="1C506572"/>
    <w:rsid w:val="1C560392"/>
    <w:rsid w:val="1C581532"/>
    <w:rsid w:val="1C9F2E05"/>
    <w:rsid w:val="1CA15E03"/>
    <w:rsid w:val="1CA24F0C"/>
    <w:rsid w:val="1CF8716C"/>
    <w:rsid w:val="1D1638FE"/>
    <w:rsid w:val="1D1E545A"/>
    <w:rsid w:val="1D4B1F5B"/>
    <w:rsid w:val="1D6C5CA0"/>
    <w:rsid w:val="1D725586"/>
    <w:rsid w:val="1D745B4F"/>
    <w:rsid w:val="1D867987"/>
    <w:rsid w:val="1D944010"/>
    <w:rsid w:val="1DD70E85"/>
    <w:rsid w:val="1DE74AD7"/>
    <w:rsid w:val="1DF60A19"/>
    <w:rsid w:val="1DFA6713"/>
    <w:rsid w:val="1E050843"/>
    <w:rsid w:val="1E2D3FB0"/>
    <w:rsid w:val="1E2E50F1"/>
    <w:rsid w:val="1E3B4E26"/>
    <w:rsid w:val="1EDF707D"/>
    <w:rsid w:val="1F394761"/>
    <w:rsid w:val="1F65664C"/>
    <w:rsid w:val="1F7C149A"/>
    <w:rsid w:val="1F84140D"/>
    <w:rsid w:val="1F9B7FFD"/>
    <w:rsid w:val="1F9C7614"/>
    <w:rsid w:val="1FBE1971"/>
    <w:rsid w:val="2008768D"/>
    <w:rsid w:val="204B327F"/>
    <w:rsid w:val="204C2B10"/>
    <w:rsid w:val="207D30AD"/>
    <w:rsid w:val="209064B9"/>
    <w:rsid w:val="20970D81"/>
    <w:rsid w:val="20D165D5"/>
    <w:rsid w:val="210878E6"/>
    <w:rsid w:val="210E1408"/>
    <w:rsid w:val="211069AD"/>
    <w:rsid w:val="21573FAB"/>
    <w:rsid w:val="2172069C"/>
    <w:rsid w:val="21987BC4"/>
    <w:rsid w:val="21BE314A"/>
    <w:rsid w:val="220451AB"/>
    <w:rsid w:val="2237486E"/>
    <w:rsid w:val="223D1378"/>
    <w:rsid w:val="22451BC7"/>
    <w:rsid w:val="22940650"/>
    <w:rsid w:val="22AD4B1E"/>
    <w:rsid w:val="22C43743"/>
    <w:rsid w:val="22D31DF3"/>
    <w:rsid w:val="22FD3CF7"/>
    <w:rsid w:val="232C221B"/>
    <w:rsid w:val="2356249E"/>
    <w:rsid w:val="236E713A"/>
    <w:rsid w:val="23700968"/>
    <w:rsid w:val="238761A6"/>
    <w:rsid w:val="23920578"/>
    <w:rsid w:val="23BB6F9A"/>
    <w:rsid w:val="23FC3864"/>
    <w:rsid w:val="242D37C0"/>
    <w:rsid w:val="24857B00"/>
    <w:rsid w:val="24F25212"/>
    <w:rsid w:val="251B0465"/>
    <w:rsid w:val="251C7598"/>
    <w:rsid w:val="254B0AC6"/>
    <w:rsid w:val="25571AB6"/>
    <w:rsid w:val="25B40AD6"/>
    <w:rsid w:val="25BE7872"/>
    <w:rsid w:val="25BF702A"/>
    <w:rsid w:val="26390459"/>
    <w:rsid w:val="264D2D17"/>
    <w:rsid w:val="26D50E55"/>
    <w:rsid w:val="271A539C"/>
    <w:rsid w:val="273429C0"/>
    <w:rsid w:val="273823FA"/>
    <w:rsid w:val="274972D4"/>
    <w:rsid w:val="277D528B"/>
    <w:rsid w:val="27AA3D97"/>
    <w:rsid w:val="280A3758"/>
    <w:rsid w:val="28292E99"/>
    <w:rsid w:val="28562C10"/>
    <w:rsid w:val="289057C5"/>
    <w:rsid w:val="28A67C7A"/>
    <w:rsid w:val="28EA3248"/>
    <w:rsid w:val="28F879DA"/>
    <w:rsid w:val="294B7731"/>
    <w:rsid w:val="29514455"/>
    <w:rsid w:val="29530A33"/>
    <w:rsid w:val="29D21FF2"/>
    <w:rsid w:val="2A611B0F"/>
    <w:rsid w:val="2AC1762B"/>
    <w:rsid w:val="2AE845D0"/>
    <w:rsid w:val="2B4975FB"/>
    <w:rsid w:val="2B695031"/>
    <w:rsid w:val="2B735A8F"/>
    <w:rsid w:val="2BA7478D"/>
    <w:rsid w:val="2BB038DB"/>
    <w:rsid w:val="2BB62F07"/>
    <w:rsid w:val="2BB761E0"/>
    <w:rsid w:val="2BB812F9"/>
    <w:rsid w:val="2BE35C27"/>
    <w:rsid w:val="2BFA504B"/>
    <w:rsid w:val="2BFF2BAC"/>
    <w:rsid w:val="2C681F1F"/>
    <w:rsid w:val="2C8608DC"/>
    <w:rsid w:val="2CA4764A"/>
    <w:rsid w:val="2CC42ECA"/>
    <w:rsid w:val="2CDA4349"/>
    <w:rsid w:val="2D225539"/>
    <w:rsid w:val="2D4618D2"/>
    <w:rsid w:val="2D5F021B"/>
    <w:rsid w:val="2D6E1286"/>
    <w:rsid w:val="2D70583E"/>
    <w:rsid w:val="2E0725DC"/>
    <w:rsid w:val="2E1B4BB8"/>
    <w:rsid w:val="2E256CB6"/>
    <w:rsid w:val="2E5F27E4"/>
    <w:rsid w:val="2EBD223E"/>
    <w:rsid w:val="2EC10AD1"/>
    <w:rsid w:val="2ECB6A5A"/>
    <w:rsid w:val="2EE65418"/>
    <w:rsid w:val="2EFC0112"/>
    <w:rsid w:val="2F0F6197"/>
    <w:rsid w:val="2F2B730D"/>
    <w:rsid w:val="2F9F3DC1"/>
    <w:rsid w:val="2FDD68F6"/>
    <w:rsid w:val="2FFC7AC2"/>
    <w:rsid w:val="301430AF"/>
    <w:rsid w:val="30592437"/>
    <w:rsid w:val="30630612"/>
    <w:rsid w:val="30746475"/>
    <w:rsid w:val="308E59B0"/>
    <w:rsid w:val="30B10568"/>
    <w:rsid w:val="30E55DD3"/>
    <w:rsid w:val="30E60399"/>
    <w:rsid w:val="31356AA5"/>
    <w:rsid w:val="313E22F0"/>
    <w:rsid w:val="31B0194C"/>
    <w:rsid w:val="31CE17D1"/>
    <w:rsid w:val="32270449"/>
    <w:rsid w:val="323E4515"/>
    <w:rsid w:val="3286389B"/>
    <w:rsid w:val="32994FDB"/>
    <w:rsid w:val="32CF5C94"/>
    <w:rsid w:val="32D337C7"/>
    <w:rsid w:val="32E200EC"/>
    <w:rsid w:val="32E5408B"/>
    <w:rsid w:val="32EB0D70"/>
    <w:rsid w:val="332824BC"/>
    <w:rsid w:val="332868BB"/>
    <w:rsid w:val="333211F3"/>
    <w:rsid w:val="33504B41"/>
    <w:rsid w:val="338B4A07"/>
    <w:rsid w:val="33944811"/>
    <w:rsid w:val="33CE0488"/>
    <w:rsid w:val="341D31EE"/>
    <w:rsid w:val="34262463"/>
    <w:rsid w:val="34296F31"/>
    <w:rsid w:val="34340A27"/>
    <w:rsid w:val="346A2989"/>
    <w:rsid w:val="348865E9"/>
    <w:rsid w:val="348F70D5"/>
    <w:rsid w:val="349D2BAD"/>
    <w:rsid w:val="34B25886"/>
    <w:rsid w:val="35277FF8"/>
    <w:rsid w:val="35763460"/>
    <w:rsid w:val="35776F72"/>
    <w:rsid w:val="35997371"/>
    <w:rsid w:val="35DD4D47"/>
    <w:rsid w:val="35FDAB06"/>
    <w:rsid w:val="360134DF"/>
    <w:rsid w:val="360B1E2F"/>
    <w:rsid w:val="360D500F"/>
    <w:rsid w:val="36330424"/>
    <w:rsid w:val="36FE3ABA"/>
    <w:rsid w:val="37072BDE"/>
    <w:rsid w:val="37455334"/>
    <w:rsid w:val="37527C32"/>
    <w:rsid w:val="376F0A96"/>
    <w:rsid w:val="37731921"/>
    <w:rsid w:val="37E509C0"/>
    <w:rsid w:val="37E96FB8"/>
    <w:rsid w:val="38222D85"/>
    <w:rsid w:val="38803721"/>
    <w:rsid w:val="38925A62"/>
    <w:rsid w:val="389F5F4F"/>
    <w:rsid w:val="38C36BA2"/>
    <w:rsid w:val="38E11CEF"/>
    <w:rsid w:val="38F6595C"/>
    <w:rsid w:val="391702A7"/>
    <w:rsid w:val="39286EB6"/>
    <w:rsid w:val="39601DF4"/>
    <w:rsid w:val="396960F3"/>
    <w:rsid w:val="39840D35"/>
    <w:rsid w:val="39A97DAF"/>
    <w:rsid w:val="39CD1330"/>
    <w:rsid w:val="39DD1AFF"/>
    <w:rsid w:val="3A0568EB"/>
    <w:rsid w:val="3A2510B9"/>
    <w:rsid w:val="3A2B1DFC"/>
    <w:rsid w:val="3AA6422C"/>
    <w:rsid w:val="3AAF46D5"/>
    <w:rsid w:val="3AF562AE"/>
    <w:rsid w:val="3B135A0E"/>
    <w:rsid w:val="3B272BBC"/>
    <w:rsid w:val="3B374FEE"/>
    <w:rsid w:val="3B4410EE"/>
    <w:rsid w:val="3B56159C"/>
    <w:rsid w:val="3B596DF7"/>
    <w:rsid w:val="3B7D732B"/>
    <w:rsid w:val="3BD30423"/>
    <w:rsid w:val="3C6C0B58"/>
    <w:rsid w:val="3CBE41D5"/>
    <w:rsid w:val="3D446B0E"/>
    <w:rsid w:val="3D745844"/>
    <w:rsid w:val="3D953A6B"/>
    <w:rsid w:val="3DBB5979"/>
    <w:rsid w:val="3DD56F21"/>
    <w:rsid w:val="3DEF6699"/>
    <w:rsid w:val="3DFD4677"/>
    <w:rsid w:val="3E1057AF"/>
    <w:rsid w:val="3E6C0DFA"/>
    <w:rsid w:val="3E740322"/>
    <w:rsid w:val="3E7F4380"/>
    <w:rsid w:val="3E8D171B"/>
    <w:rsid w:val="3EA5630D"/>
    <w:rsid w:val="3EBA731B"/>
    <w:rsid w:val="3EE33949"/>
    <w:rsid w:val="3EFB5800"/>
    <w:rsid w:val="3F3B4E59"/>
    <w:rsid w:val="3F6E677C"/>
    <w:rsid w:val="3F712F46"/>
    <w:rsid w:val="3FBC0EF7"/>
    <w:rsid w:val="3FCD2AB9"/>
    <w:rsid w:val="3FCFF788"/>
    <w:rsid w:val="3FD17600"/>
    <w:rsid w:val="402E7C36"/>
    <w:rsid w:val="4050218A"/>
    <w:rsid w:val="405C7868"/>
    <w:rsid w:val="407712A8"/>
    <w:rsid w:val="408B24EB"/>
    <w:rsid w:val="408D1DBF"/>
    <w:rsid w:val="40C652D1"/>
    <w:rsid w:val="41443CFA"/>
    <w:rsid w:val="417044B8"/>
    <w:rsid w:val="41A203A0"/>
    <w:rsid w:val="41A25D3E"/>
    <w:rsid w:val="41C77987"/>
    <w:rsid w:val="41E83F8C"/>
    <w:rsid w:val="422D1842"/>
    <w:rsid w:val="425B7C31"/>
    <w:rsid w:val="427D66D0"/>
    <w:rsid w:val="42BC7E02"/>
    <w:rsid w:val="42C82575"/>
    <w:rsid w:val="43022EE1"/>
    <w:rsid w:val="431A5F8F"/>
    <w:rsid w:val="431F247A"/>
    <w:rsid w:val="43335E8F"/>
    <w:rsid w:val="433F2968"/>
    <w:rsid w:val="43655F7F"/>
    <w:rsid w:val="43676E20"/>
    <w:rsid w:val="43A31040"/>
    <w:rsid w:val="43BF774E"/>
    <w:rsid w:val="43CD062F"/>
    <w:rsid w:val="43E214F9"/>
    <w:rsid w:val="43F06264"/>
    <w:rsid w:val="44404C8E"/>
    <w:rsid w:val="447537F1"/>
    <w:rsid w:val="44870D07"/>
    <w:rsid w:val="44D33826"/>
    <w:rsid w:val="45344EFF"/>
    <w:rsid w:val="45513D03"/>
    <w:rsid w:val="45541E1C"/>
    <w:rsid w:val="45FE7734"/>
    <w:rsid w:val="461F0A8B"/>
    <w:rsid w:val="4648721E"/>
    <w:rsid w:val="46663E71"/>
    <w:rsid w:val="466A37AC"/>
    <w:rsid w:val="468A1A00"/>
    <w:rsid w:val="46CB071B"/>
    <w:rsid w:val="46DE140B"/>
    <w:rsid w:val="46E77334"/>
    <w:rsid w:val="46F22E29"/>
    <w:rsid w:val="46F7142F"/>
    <w:rsid w:val="47107AE3"/>
    <w:rsid w:val="473C62ED"/>
    <w:rsid w:val="47617242"/>
    <w:rsid w:val="478C16C9"/>
    <w:rsid w:val="47BD246B"/>
    <w:rsid w:val="47CB2B0C"/>
    <w:rsid w:val="47E773CE"/>
    <w:rsid w:val="47EE2C9A"/>
    <w:rsid w:val="47EE71C5"/>
    <w:rsid w:val="47F00499"/>
    <w:rsid w:val="48015FF5"/>
    <w:rsid w:val="483820D2"/>
    <w:rsid w:val="48692CD0"/>
    <w:rsid w:val="48AE3D01"/>
    <w:rsid w:val="48B96318"/>
    <w:rsid w:val="49067B2F"/>
    <w:rsid w:val="49677E31"/>
    <w:rsid w:val="496C2225"/>
    <w:rsid w:val="49A20889"/>
    <w:rsid w:val="49A35E02"/>
    <w:rsid w:val="49AE2880"/>
    <w:rsid w:val="49F42EAF"/>
    <w:rsid w:val="4A337323"/>
    <w:rsid w:val="4A5B28DC"/>
    <w:rsid w:val="4AA06B93"/>
    <w:rsid w:val="4ADB18EB"/>
    <w:rsid w:val="4B3A6FE7"/>
    <w:rsid w:val="4B96118E"/>
    <w:rsid w:val="4BAE1B66"/>
    <w:rsid w:val="4BC806E6"/>
    <w:rsid w:val="4BED4708"/>
    <w:rsid w:val="4BF133DC"/>
    <w:rsid w:val="4C2E4987"/>
    <w:rsid w:val="4C3715CF"/>
    <w:rsid w:val="4C4117A4"/>
    <w:rsid w:val="4C507D4A"/>
    <w:rsid w:val="4CB65017"/>
    <w:rsid w:val="4CDF5563"/>
    <w:rsid w:val="4CFB2214"/>
    <w:rsid w:val="4D2C4D26"/>
    <w:rsid w:val="4D335E0E"/>
    <w:rsid w:val="4D4E4EA3"/>
    <w:rsid w:val="4D9A5B1B"/>
    <w:rsid w:val="4DA55D85"/>
    <w:rsid w:val="4DBB20DB"/>
    <w:rsid w:val="4DC85120"/>
    <w:rsid w:val="4DDC3F22"/>
    <w:rsid w:val="4DE66FB2"/>
    <w:rsid w:val="4DEC6CB8"/>
    <w:rsid w:val="4E1040C7"/>
    <w:rsid w:val="4E1760BF"/>
    <w:rsid w:val="4E30647F"/>
    <w:rsid w:val="4EBA03C3"/>
    <w:rsid w:val="4EBC5459"/>
    <w:rsid w:val="4ED94CB0"/>
    <w:rsid w:val="4EEC2ED3"/>
    <w:rsid w:val="4F0E56EA"/>
    <w:rsid w:val="4F12370A"/>
    <w:rsid w:val="4F2E11BC"/>
    <w:rsid w:val="4F326DA2"/>
    <w:rsid w:val="4F3C4343"/>
    <w:rsid w:val="4F416688"/>
    <w:rsid w:val="4F5620B0"/>
    <w:rsid w:val="4F616EB4"/>
    <w:rsid w:val="4F6654EE"/>
    <w:rsid w:val="4F7379C6"/>
    <w:rsid w:val="4F872BDB"/>
    <w:rsid w:val="4F934F18"/>
    <w:rsid w:val="4FA033E9"/>
    <w:rsid w:val="4FA743DA"/>
    <w:rsid w:val="4FB3565A"/>
    <w:rsid w:val="4FC4714D"/>
    <w:rsid w:val="503D1C79"/>
    <w:rsid w:val="5072771C"/>
    <w:rsid w:val="507A4D1A"/>
    <w:rsid w:val="507A6406"/>
    <w:rsid w:val="50853863"/>
    <w:rsid w:val="508A4590"/>
    <w:rsid w:val="50F1461D"/>
    <w:rsid w:val="50FE5411"/>
    <w:rsid w:val="510B072E"/>
    <w:rsid w:val="511B0BF4"/>
    <w:rsid w:val="51264306"/>
    <w:rsid w:val="514E62C9"/>
    <w:rsid w:val="516123CE"/>
    <w:rsid w:val="51932FAD"/>
    <w:rsid w:val="51B177A9"/>
    <w:rsid w:val="51B41EEE"/>
    <w:rsid w:val="51E066EB"/>
    <w:rsid w:val="52640E8B"/>
    <w:rsid w:val="5267570A"/>
    <w:rsid w:val="52707792"/>
    <w:rsid w:val="52A12CDC"/>
    <w:rsid w:val="52DF0C92"/>
    <w:rsid w:val="52E1159C"/>
    <w:rsid w:val="52E34D6A"/>
    <w:rsid w:val="531E524E"/>
    <w:rsid w:val="534072EB"/>
    <w:rsid w:val="537648BE"/>
    <w:rsid w:val="538E2D0B"/>
    <w:rsid w:val="53922782"/>
    <w:rsid w:val="539C1424"/>
    <w:rsid w:val="53A639C0"/>
    <w:rsid w:val="53F00A24"/>
    <w:rsid w:val="53F63DBA"/>
    <w:rsid w:val="5448624E"/>
    <w:rsid w:val="546E2B1A"/>
    <w:rsid w:val="5482555F"/>
    <w:rsid w:val="54A31DD8"/>
    <w:rsid w:val="54AA6F8B"/>
    <w:rsid w:val="54D26583"/>
    <w:rsid w:val="55363E67"/>
    <w:rsid w:val="556E6DF7"/>
    <w:rsid w:val="55965CE3"/>
    <w:rsid w:val="559D47CE"/>
    <w:rsid w:val="55BE1959"/>
    <w:rsid w:val="55C0134C"/>
    <w:rsid w:val="56232437"/>
    <w:rsid w:val="562D39F0"/>
    <w:rsid w:val="56541A75"/>
    <w:rsid w:val="568832FC"/>
    <w:rsid w:val="568C4181"/>
    <w:rsid w:val="570725A9"/>
    <w:rsid w:val="5714693E"/>
    <w:rsid w:val="571D0C9C"/>
    <w:rsid w:val="573A16CE"/>
    <w:rsid w:val="579C7F80"/>
    <w:rsid w:val="57B30D7C"/>
    <w:rsid w:val="57F9AC10"/>
    <w:rsid w:val="58166B03"/>
    <w:rsid w:val="583E3C94"/>
    <w:rsid w:val="58721734"/>
    <w:rsid w:val="58900246"/>
    <w:rsid w:val="58977358"/>
    <w:rsid w:val="58D53944"/>
    <w:rsid w:val="58D65478"/>
    <w:rsid w:val="58F52487"/>
    <w:rsid w:val="590422E6"/>
    <w:rsid w:val="592257E5"/>
    <w:rsid w:val="59655E33"/>
    <w:rsid w:val="59CF5BD9"/>
    <w:rsid w:val="59E20C3C"/>
    <w:rsid w:val="5A1D5B0A"/>
    <w:rsid w:val="5A3B4B4E"/>
    <w:rsid w:val="5A4804CA"/>
    <w:rsid w:val="5A594C85"/>
    <w:rsid w:val="5A5B0A6E"/>
    <w:rsid w:val="5A8842AA"/>
    <w:rsid w:val="5AEB1E3C"/>
    <w:rsid w:val="5B052E61"/>
    <w:rsid w:val="5B2507CA"/>
    <w:rsid w:val="5B2A474A"/>
    <w:rsid w:val="5B2D237E"/>
    <w:rsid w:val="5B830730"/>
    <w:rsid w:val="5BBB2DD6"/>
    <w:rsid w:val="5BE263B6"/>
    <w:rsid w:val="5C8E5C5A"/>
    <w:rsid w:val="5C965E61"/>
    <w:rsid w:val="5CF0089C"/>
    <w:rsid w:val="5CF5796F"/>
    <w:rsid w:val="5D242A11"/>
    <w:rsid w:val="5D9217C2"/>
    <w:rsid w:val="5DAD06BF"/>
    <w:rsid w:val="5DC92CE9"/>
    <w:rsid w:val="5DE23CB3"/>
    <w:rsid w:val="5DE97EEC"/>
    <w:rsid w:val="5DFA5EB0"/>
    <w:rsid w:val="5E000E4D"/>
    <w:rsid w:val="5E0B583E"/>
    <w:rsid w:val="5E201A7B"/>
    <w:rsid w:val="5EA45884"/>
    <w:rsid w:val="5EBD0484"/>
    <w:rsid w:val="5F2C5C7C"/>
    <w:rsid w:val="5F36141C"/>
    <w:rsid w:val="5FC5273F"/>
    <w:rsid w:val="604F6C39"/>
    <w:rsid w:val="60806DF2"/>
    <w:rsid w:val="61072DA5"/>
    <w:rsid w:val="611C0817"/>
    <w:rsid w:val="61224A52"/>
    <w:rsid w:val="61520CCB"/>
    <w:rsid w:val="61851A29"/>
    <w:rsid w:val="622D1522"/>
    <w:rsid w:val="622E0574"/>
    <w:rsid w:val="62683B6B"/>
    <w:rsid w:val="6275761C"/>
    <w:rsid w:val="62816E52"/>
    <w:rsid w:val="62AB7BE6"/>
    <w:rsid w:val="62AC5944"/>
    <w:rsid w:val="632F3F8A"/>
    <w:rsid w:val="63716241"/>
    <w:rsid w:val="637279B4"/>
    <w:rsid w:val="63817D2B"/>
    <w:rsid w:val="63BD1FA9"/>
    <w:rsid w:val="63D175D1"/>
    <w:rsid w:val="63D27965"/>
    <w:rsid w:val="63F4667E"/>
    <w:rsid w:val="64095516"/>
    <w:rsid w:val="641A2468"/>
    <w:rsid w:val="64372F20"/>
    <w:rsid w:val="648944D0"/>
    <w:rsid w:val="64DC72D7"/>
    <w:rsid w:val="64FA42B4"/>
    <w:rsid w:val="653619A6"/>
    <w:rsid w:val="65610A02"/>
    <w:rsid w:val="65A11EA3"/>
    <w:rsid w:val="65AC3D66"/>
    <w:rsid w:val="65BB5334"/>
    <w:rsid w:val="663E1DBA"/>
    <w:rsid w:val="665D0213"/>
    <w:rsid w:val="668506C7"/>
    <w:rsid w:val="669E59F1"/>
    <w:rsid w:val="66A2024B"/>
    <w:rsid w:val="6704732B"/>
    <w:rsid w:val="670F6731"/>
    <w:rsid w:val="67585CB0"/>
    <w:rsid w:val="67770F0C"/>
    <w:rsid w:val="67B03535"/>
    <w:rsid w:val="68174F69"/>
    <w:rsid w:val="682C436A"/>
    <w:rsid w:val="68382778"/>
    <w:rsid w:val="68391F41"/>
    <w:rsid w:val="68436B8C"/>
    <w:rsid w:val="68797358"/>
    <w:rsid w:val="6884624F"/>
    <w:rsid w:val="68A519DF"/>
    <w:rsid w:val="68C4160B"/>
    <w:rsid w:val="68C41C30"/>
    <w:rsid w:val="68CF3BA4"/>
    <w:rsid w:val="690C44DA"/>
    <w:rsid w:val="69257FA7"/>
    <w:rsid w:val="693F26C7"/>
    <w:rsid w:val="697E12B2"/>
    <w:rsid w:val="69C8706D"/>
    <w:rsid w:val="6A0E3FB4"/>
    <w:rsid w:val="6A292754"/>
    <w:rsid w:val="6A5E3B28"/>
    <w:rsid w:val="6A6B1EBE"/>
    <w:rsid w:val="6A8F43F7"/>
    <w:rsid w:val="6AD625F3"/>
    <w:rsid w:val="6B7218BE"/>
    <w:rsid w:val="6B750BA9"/>
    <w:rsid w:val="6BB93285"/>
    <w:rsid w:val="6BEDF527"/>
    <w:rsid w:val="6C0C698C"/>
    <w:rsid w:val="6C222401"/>
    <w:rsid w:val="6C56267F"/>
    <w:rsid w:val="6C826EF9"/>
    <w:rsid w:val="6CAE4C93"/>
    <w:rsid w:val="6CB14F16"/>
    <w:rsid w:val="6CEC2069"/>
    <w:rsid w:val="6D0B1869"/>
    <w:rsid w:val="6D65402D"/>
    <w:rsid w:val="6D683822"/>
    <w:rsid w:val="6D8D136C"/>
    <w:rsid w:val="6DBF2759"/>
    <w:rsid w:val="6DC96F36"/>
    <w:rsid w:val="6DFA3EBF"/>
    <w:rsid w:val="6E3E63D2"/>
    <w:rsid w:val="6E5F7BE6"/>
    <w:rsid w:val="6E6918C6"/>
    <w:rsid w:val="6EEB4AC4"/>
    <w:rsid w:val="6F212DD6"/>
    <w:rsid w:val="6F3B5912"/>
    <w:rsid w:val="6FA14A81"/>
    <w:rsid w:val="6FA3261F"/>
    <w:rsid w:val="6FB44BAA"/>
    <w:rsid w:val="6FD78D8A"/>
    <w:rsid w:val="6FFDCF89"/>
    <w:rsid w:val="700D6539"/>
    <w:rsid w:val="704203E3"/>
    <w:rsid w:val="7058046B"/>
    <w:rsid w:val="707F2079"/>
    <w:rsid w:val="70922734"/>
    <w:rsid w:val="70CD16CB"/>
    <w:rsid w:val="70CE6DC7"/>
    <w:rsid w:val="710B3646"/>
    <w:rsid w:val="711759F2"/>
    <w:rsid w:val="713C4ED8"/>
    <w:rsid w:val="71407642"/>
    <w:rsid w:val="71641210"/>
    <w:rsid w:val="71D95B7C"/>
    <w:rsid w:val="71EA6A50"/>
    <w:rsid w:val="71FE31A8"/>
    <w:rsid w:val="720C30AE"/>
    <w:rsid w:val="721A7983"/>
    <w:rsid w:val="721F6113"/>
    <w:rsid w:val="7233782C"/>
    <w:rsid w:val="729C0443"/>
    <w:rsid w:val="73177841"/>
    <w:rsid w:val="733774FE"/>
    <w:rsid w:val="73617E1B"/>
    <w:rsid w:val="736D7653"/>
    <w:rsid w:val="736D7F85"/>
    <w:rsid w:val="738035CB"/>
    <w:rsid w:val="73852C46"/>
    <w:rsid w:val="7396335C"/>
    <w:rsid w:val="73F46595"/>
    <w:rsid w:val="74283FA2"/>
    <w:rsid w:val="742C135B"/>
    <w:rsid w:val="74463733"/>
    <w:rsid w:val="748A2F40"/>
    <w:rsid w:val="74D84FF7"/>
    <w:rsid w:val="74F85778"/>
    <w:rsid w:val="75272439"/>
    <w:rsid w:val="758F1E9B"/>
    <w:rsid w:val="75CE266B"/>
    <w:rsid w:val="75DD86E9"/>
    <w:rsid w:val="76120141"/>
    <w:rsid w:val="768216BE"/>
    <w:rsid w:val="76924256"/>
    <w:rsid w:val="76C23B43"/>
    <w:rsid w:val="76FD6F97"/>
    <w:rsid w:val="770218E8"/>
    <w:rsid w:val="779469CE"/>
    <w:rsid w:val="77C875A5"/>
    <w:rsid w:val="78A27DF6"/>
    <w:rsid w:val="79285B3A"/>
    <w:rsid w:val="79490B03"/>
    <w:rsid w:val="79625CA9"/>
    <w:rsid w:val="79A91196"/>
    <w:rsid w:val="7A0B32D3"/>
    <w:rsid w:val="7A41544A"/>
    <w:rsid w:val="7AC13CD3"/>
    <w:rsid w:val="7AE10264"/>
    <w:rsid w:val="7AE4248E"/>
    <w:rsid w:val="7AF47613"/>
    <w:rsid w:val="7B4A207F"/>
    <w:rsid w:val="7B550C59"/>
    <w:rsid w:val="7B936F45"/>
    <w:rsid w:val="7BA47419"/>
    <w:rsid w:val="7BB10D45"/>
    <w:rsid w:val="7BB44151"/>
    <w:rsid w:val="7C656A39"/>
    <w:rsid w:val="7CB93996"/>
    <w:rsid w:val="7CBE0F99"/>
    <w:rsid w:val="7D093576"/>
    <w:rsid w:val="7D115EA6"/>
    <w:rsid w:val="7D4E45F1"/>
    <w:rsid w:val="7DFB6D82"/>
    <w:rsid w:val="7DFED4AA"/>
    <w:rsid w:val="7E1D71D1"/>
    <w:rsid w:val="7E246254"/>
    <w:rsid w:val="7E553215"/>
    <w:rsid w:val="7E6D090F"/>
    <w:rsid w:val="7ECC66B2"/>
    <w:rsid w:val="7F2914C3"/>
    <w:rsid w:val="7F5F2ED6"/>
    <w:rsid w:val="7F7BD542"/>
    <w:rsid w:val="7FA837EF"/>
    <w:rsid w:val="7FBC9352"/>
    <w:rsid w:val="7FC36955"/>
    <w:rsid w:val="7FE903A0"/>
    <w:rsid w:val="7FF07065"/>
    <w:rsid w:val="7FF97946"/>
    <w:rsid w:val="7FFE7888"/>
    <w:rsid w:val="7FFFB5DB"/>
    <w:rsid w:val="8E7B9B6B"/>
    <w:rsid w:val="9FFBFF3B"/>
    <w:rsid w:val="A3BFD1C8"/>
    <w:rsid w:val="AFFFAB52"/>
    <w:rsid w:val="B73F34E5"/>
    <w:rsid w:val="B8E28D64"/>
    <w:rsid w:val="BFA54E51"/>
    <w:rsid w:val="CDFC0DEF"/>
    <w:rsid w:val="D3E60E83"/>
    <w:rsid w:val="DB4FE050"/>
    <w:rsid w:val="DBFEF0D2"/>
    <w:rsid w:val="DFBD6FEF"/>
    <w:rsid w:val="E2DE949D"/>
    <w:rsid w:val="E4C8A119"/>
    <w:rsid w:val="E7F4D2DA"/>
    <w:rsid w:val="E9EF6F43"/>
    <w:rsid w:val="EBF02B0F"/>
    <w:rsid w:val="EEE74D43"/>
    <w:rsid w:val="EF7BA4A3"/>
    <w:rsid w:val="EFEFA57D"/>
    <w:rsid w:val="F65F61B1"/>
    <w:rsid w:val="F997E54E"/>
    <w:rsid w:val="FA7BD81E"/>
    <w:rsid w:val="FAF7E9AA"/>
    <w:rsid w:val="FB4C53D1"/>
    <w:rsid w:val="FBEF8F85"/>
    <w:rsid w:val="FCF3508D"/>
    <w:rsid w:val="FCFD37B6"/>
    <w:rsid w:val="FD6FC958"/>
    <w:rsid w:val="FDF7B17C"/>
    <w:rsid w:val="FEF7C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color w:val="auto"/>
      <w:kern w:val="0"/>
      <w:sz w:val="24"/>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340" w:after="50" w:afterLines="50" w:line="578" w:lineRule="auto"/>
      <w:ind w:left="425" w:hanging="425"/>
      <w:jc w:val="left"/>
      <w:outlineLvl w:val="0"/>
    </w:pPr>
    <w:rPr>
      <w:rFonts w:ascii="Times New Roman" w:hAnsi="Times New Roman" w:eastAsia="仿宋" w:cs="Times New Roman"/>
      <w:b/>
      <w:bCs/>
      <w:kern w:val="44"/>
      <w:sz w:val="36"/>
      <w:szCs w:val="44"/>
    </w:rPr>
  </w:style>
  <w:style w:type="paragraph" w:styleId="3">
    <w:name w:val="heading 2"/>
    <w:basedOn w:val="1"/>
    <w:next w:val="1"/>
    <w:link w:val="15"/>
    <w:semiHidden/>
    <w:unhideWhenUsed/>
    <w:qFormat/>
    <w:uiPriority w:val="9"/>
    <w:pPr>
      <w:widowControl w:val="0"/>
      <w:numPr>
        <w:ilvl w:val="1"/>
        <w:numId w:val="1"/>
      </w:numPr>
      <w:spacing w:line="416" w:lineRule="auto"/>
      <w:ind w:left="567" w:hanging="567"/>
      <w:outlineLvl w:val="1"/>
    </w:pPr>
    <w:rPr>
      <w:rFonts w:ascii="Calibri Light" w:hAnsi="Calibri Light" w:eastAsia="宋体" w:cs="Times New Roman"/>
      <w:b/>
      <w:bCs/>
      <w:sz w:val="28"/>
      <w:szCs w:val="32"/>
    </w:rPr>
  </w:style>
  <w:style w:type="paragraph" w:styleId="4">
    <w:name w:val="heading 3"/>
    <w:basedOn w:val="1"/>
    <w:next w:val="1"/>
    <w:semiHidden/>
    <w:unhideWhenUsed/>
    <w:qFormat/>
    <w:uiPriority w:val="9"/>
    <w:pPr>
      <w:keepNext/>
      <w:keepLines/>
      <w:numPr>
        <w:ilvl w:val="2"/>
        <w:numId w:val="1"/>
      </w:numPr>
      <w:spacing w:before="50" w:beforeLines="50" w:after="50" w:afterLines="50" w:line="416" w:lineRule="auto"/>
      <w:outlineLvl w:val="2"/>
    </w:pPr>
    <w:rPr>
      <w:rFonts w:ascii="宋体" w:hAnsi="宋体" w:eastAsia="宋体" w:cs="宋体"/>
      <w:b/>
      <w:bCs/>
      <w:sz w:val="32"/>
    </w:rPr>
  </w:style>
  <w:style w:type="paragraph" w:styleId="5">
    <w:name w:val="heading 4"/>
    <w:basedOn w:val="1"/>
    <w:next w:val="1"/>
    <w:semiHidden/>
    <w:unhideWhenUsed/>
    <w:qFormat/>
    <w:uiPriority w:val="9"/>
    <w:pPr>
      <w:keepNext/>
      <w:keepLines/>
      <w:numPr>
        <w:ilvl w:val="3"/>
        <w:numId w:val="1"/>
      </w:numPr>
      <w:spacing w:before="120" w:after="120"/>
      <w:outlineLvl w:val="3"/>
    </w:pPr>
    <w:rPr>
      <w:rFonts w:ascii="Calibri Light" w:hAnsi="Calibri Light" w:eastAsia="宋体" w:cs="Times New Roman"/>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Balloon Text"/>
    <w:basedOn w:val="1"/>
    <w:link w:val="24"/>
    <w:unhideWhenUsed/>
    <w:qFormat/>
    <w:uiPriority w:val="99"/>
    <w:rPr>
      <w:rFonts w:cstheme="minorBidi"/>
      <w:kern w:val="2"/>
      <w:sz w:val="18"/>
      <w:szCs w:val="18"/>
    </w:rPr>
  </w:style>
  <w:style w:type="paragraph" w:styleId="8">
    <w:name w:val="footer"/>
    <w:basedOn w:val="1"/>
    <w:link w:val="16"/>
    <w:qFormat/>
    <w:uiPriority w:val="99"/>
    <w:pPr>
      <w:tabs>
        <w:tab w:val="center" w:pos="4153"/>
        <w:tab w:val="right" w:pos="8306"/>
      </w:tabs>
      <w:snapToGrid w:val="0"/>
      <w:jc w:val="left"/>
    </w:pPr>
    <w:rPr>
      <w:rFonts w:cstheme="minorBidi"/>
      <w:kern w:val="2"/>
      <w:sz w:val="18"/>
      <w:szCs w:val="18"/>
    </w:rPr>
  </w:style>
  <w:style w:type="paragraph" w:styleId="9">
    <w:name w:val="header"/>
    <w:basedOn w:val="1"/>
    <w:link w:val="1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rFonts w:cstheme="minorBidi"/>
      <w:kern w:val="2"/>
      <w:sz w:val="18"/>
      <w:szCs w:val="18"/>
    </w:rPr>
  </w:style>
  <w:style w:type="paragraph" w:styleId="1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2">
    <w:name w:val="Table Grid"/>
    <w:qFormat/>
    <w:uiPriority w:val="0"/>
    <w:rPr>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14">
    <w:name w:val="Strong"/>
    <w:basedOn w:val="13"/>
    <w:qFormat/>
    <w:uiPriority w:val="22"/>
    <w:rPr>
      <w:b/>
    </w:rPr>
  </w:style>
  <w:style w:type="character" w:customStyle="1" w:styleId="15">
    <w:name w:val="标题 2 Char"/>
    <w:link w:val="3"/>
    <w:qFormat/>
    <w:uiPriority w:val="0"/>
    <w:rPr>
      <w:rFonts w:ascii="Calibri Light" w:hAnsi="Calibri Light" w:eastAsia="宋体" w:cs="Times New Roman"/>
      <w:b/>
      <w:bCs/>
      <w:sz w:val="28"/>
      <w:szCs w:val="32"/>
    </w:rPr>
  </w:style>
  <w:style w:type="character" w:customStyle="1" w:styleId="16">
    <w:name w:val="页脚 Char"/>
    <w:basedOn w:val="13"/>
    <w:link w:val="8"/>
    <w:qFormat/>
    <w:uiPriority w:val="99"/>
    <w:rPr>
      <w:rFonts w:asciiTheme="minorHAnsi" w:hAnsiTheme="minorHAnsi" w:eastAsiaTheme="minorEastAsia" w:cstheme="minorBidi"/>
      <w:sz w:val="18"/>
      <w:szCs w:val="18"/>
      <w:lang w:val="en-US" w:eastAsia="zh-CN" w:bidi="ar-SA"/>
    </w:rPr>
  </w:style>
  <w:style w:type="character" w:customStyle="1" w:styleId="17">
    <w:name w:val="页眉 Char"/>
    <w:basedOn w:val="13"/>
    <w:link w:val="9"/>
    <w:qFormat/>
    <w:uiPriority w:val="0"/>
    <w:rPr>
      <w:rFonts w:asciiTheme="minorHAnsi" w:hAnsiTheme="minorHAnsi" w:eastAsiaTheme="minorEastAsia" w:cstheme="minorBidi"/>
      <w:sz w:val="18"/>
      <w:szCs w:val="18"/>
      <w:lang w:val="en-US" w:eastAsia="zh-CN" w:bidi="ar-SA"/>
    </w:rPr>
  </w:style>
  <w:style w:type="character" w:customStyle="1" w:styleId="18">
    <w:name w:val="font11"/>
    <w:basedOn w:val="13"/>
    <w:qFormat/>
    <w:uiPriority w:val="0"/>
    <w:rPr>
      <w:rFonts w:hint="eastAsia" w:ascii="宋体" w:hAnsi="宋体" w:eastAsia="宋体" w:cs="宋体"/>
      <w:color w:val="000000"/>
      <w:sz w:val="20"/>
      <w:szCs w:val="20"/>
      <w:u w:val="none"/>
      <w:lang w:val="en-US" w:eastAsia="zh-CN" w:bidi="ar-SA"/>
    </w:rPr>
  </w:style>
  <w:style w:type="character" w:customStyle="1" w:styleId="19">
    <w:name w:val="font01"/>
    <w:basedOn w:val="13"/>
    <w:qFormat/>
    <w:uiPriority w:val="0"/>
    <w:rPr>
      <w:rFonts w:hint="eastAsia" w:ascii="宋体" w:hAnsi="宋体" w:eastAsia="宋体" w:cs="宋体"/>
      <w:color w:val="000000"/>
      <w:sz w:val="22"/>
      <w:szCs w:val="22"/>
      <w:u w:val="none"/>
      <w:lang w:val="en-US" w:eastAsia="zh-CN" w:bidi="ar-SA"/>
    </w:rPr>
  </w:style>
  <w:style w:type="character" w:customStyle="1" w:styleId="20">
    <w:name w:val="font41"/>
    <w:basedOn w:val="13"/>
    <w:qFormat/>
    <w:uiPriority w:val="0"/>
    <w:rPr>
      <w:rFonts w:hint="eastAsia" w:ascii="宋体" w:hAnsi="宋体" w:eastAsia="宋体" w:cs="宋体"/>
      <w:color w:val="000000"/>
      <w:sz w:val="24"/>
      <w:szCs w:val="24"/>
      <w:u w:val="none"/>
      <w:lang w:val="en-US" w:eastAsia="zh-CN" w:bidi="ar-SA"/>
    </w:rPr>
  </w:style>
  <w:style w:type="character" w:customStyle="1" w:styleId="21">
    <w:name w:val="font3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2">
    <w:name w:val="font91"/>
    <w:basedOn w:val="13"/>
    <w:qFormat/>
    <w:uiPriority w:val="0"/>
    <w:rPr>
      <w:rFonts w:hint="eastAsia" w:ascii="华文中宋" w:hAnsi="华文中宋" w:eastAsia="华文中宋" w:cs="华文中宋"/>
      <w:color w:val="000000"/>
      <w:sz w:val="32"/>
      <w:szCs w:val="32"/>
      <w:u w:val="none"/>
      <w:lang w:val="en-US" w:eastAsia="zh-CN" w:bidi="ar-SA"/>
    </w:rPr>
  </w:style>
  <w:style w:type="character" w:customStyle="1" w:styleId="23">
    <w:name w:val="font51"/>
    <w:basedOn w:val="13"/>
    <w:qFormat/>
    <w:uiPriority w:val="0"/>
    <w:rPr>
      <w:rFonts w:hint="eastAsia" w:ascii="宋体" w:hAnsi="宋体" w:eastAsia="宋体" w:cs="宋体"/>
      <w:color w:val="000000"/>
      <w:sz w:val="24"/>
      <w:szCs w:val="24"/>
      <w:u w:val="none"/>
      <w:lang w:val="en-US" w:eastAsia="zh-CN" w:bidi="ar-SA"/>
    </w:rPr>
  </w:style>
  <w:style w:type="character" w:customStyle="1" w:styleId="24">
    <w:name w:val="批注框文本 Char"/>
    <w:basedOn w:val="13"/>
    <w:link w:val="7"/>
    <w:semiHidden/>
    <w:qFormat/>
    <w:uiPriority w:val="99"/>
    <w:rPr>
      <w:rFonts w:asciiTheme="minorHAnsi" w:hAnsiTheme="minorHAnsi" w:eastAsiaTheme="minorEastAsia" w:cstheme="minorBidi"/>
      <w:sz w:val="18"/>
      <w:szCs w:val="18"/>
      <w:lang w:val="en-US" w:eastAsia="zh-CN" w:bidi="ar-SA"/>
    </w:rPr>
  </w:style>
  <w:style w:type="character" w:customStyle="1" w:styleId="25">
    <w:name w:val="font71"/>
    <w:basedOn w:val="13"/>
    <w:qFormat/>
    <w:uiPriority w:val="0"/>
    <w:rPr>
      <w:rFonts w:ascii="Arial" w:hAnsi="Arial" w:cs="Arial"/>
      <w:color w:val="000000"/>
      <w:sz w:val="20"/>
      <w:szCs w:val="20"/>
      <w:u w:val="none"/>
    </w:rPr>
  </w:style>
  <w:style w:type="character" w:customStyle="1" w:styleId="26">
    <w:name w:val="font61"/>
    <w:basedOn w:val="13"/>
    <w:qFormat/>
    <w:uiPriority w:val="0"/>
    <w:rPr>
      <w:rFonts w:hint="eastAsia" w:ascii="宋体" w:hAnsi="宋体" w:eastAsia="宋体" w:cs="宋体"/>
      <w:color w:val="000000"/>
      <w:sz w:val="20"/>
      <w:szCs w:val="20"/>
      <w:u w:val="none"/>
    </w:rPr>
  </w:style>
  <w:style w:type="character" w:customStyle="1" w:styleId="27">
    <w:name w:val="font21"/>
    <w:basedOn w:val="13"/>
    <w:qFormat/>
    <w:uiPriority w:val="0"/>
    <w:rPr>
      <w:rFonts w:hint="eastAsia" w:ascii="宋体" w:hAnsi="宋体" w:eastAsia="宋体" w:cs="宋体"/>
      <w:color w:val="000000"/>
      <w:sz w:val="20"/>
      <w:szCs w:val="20"/>
      <w:u w:val="none"/>
    </w:rPr>
  </w:style>
  <w:style w:type="paragraph" w:customStyle="1" w:styleId="28">
    <w:name w:val="p1"/>
    <w:basedOn w:val="1"/>
    <w:qFormat/>
    <w:uiPriority w:val="0"/>
    <w:pPr>
      <w:spacing w:before="0" w:beforeAutospacing="0" w:after="0" w:afterAutospacing="0"/>
      <w:ind w:left="0" w:right="0"/>
      <w:jc w:val="left"/>
    </w:pPr>
    <w:rPr>
      <w:rFonts w:ascii="helvetica" w:hAnsi="helvetica" w:eastAsia="helvetica" w:cs="helvetica"/>
      <w:color w:val="000000"/>
      <w:kern w:val="0"/>
      <w:sz w:val="30"/>
      <w:szCs w:val="3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34</Pages>
  <Words>7503</Words>
  <Characters>10732</Characters>
  <Lines>86</Lines>
  <Paragraphs>24</Paragraphs>
  <TotalTime>0</TotalTime>
  <ScaleCrop>false</ScaleCrop>
  <LinksUpToDate>false</LinksUpToDate>
  <CharactersWithSpaces>11008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2023-08-06T23:55:00Z</dcterms:created>
  <dc:creator>王明新TIAD</dc:creator>
  <cp:lastModifiedBy>Administrator</cp:lastModifiedBy>
  <cp:lastPrinted>2023-08-06T17:00:00Z</cp:lastPrinted>
  <dcterms:modified xsi:type="dcterms:W3CDTF">2025-09-19T03:05:50Z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8511E1CE63294B2B859B6207F1F06BFE</vt:lpwstr>
  </property>
  <property fmtid="{D5CDD505-2E9C-101B-9397-08002B2CF9AE}" pid="4" name="KSOTemplateUUID">
    <vt:lpwstr>v1.0_mb_S7ajbG3IpAnL1wSthNCxfw==</vt:lpwstr>
  </property>
  <property fmtid="{D5CDD505-2E9C-101B-9397-08002B2CF9AE}" pid="5" name="KSOTemplateDocerSaveRecord">
    <vt:lpwstr>eyJoZGlkIjoiODczM2M4Y2Y4MWZjZmRiODkyNDdiNmU1ZGM2NGRkOWEiLCJ1c2VySWQiOiI1OTM0MzU5MTkifQ==</vt:lpwstr>
  </property>
</Properties>
</file>