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widowControl/>
        <w:spacing w:before="0" w:beforeLines="0" w:beforeAutospacing="0" w:after="0" w:afterLines="0" w:afterAutospacing="0" w:line="240" w:lineRule="auto"/>
        <w:jc w:val="center"/>
        <w:rPr>
          <w:rFonts w:ascii="Fz_S_BiaoSong_Jt" w:eastAsia="Fz_S_BiaoSong_Jt"/>
          <w:sz w:val="48"/>
          <w:szCs w:val="48"/>
        </w:rPr>
      </w:pPr>
      <w:r>
        <w:rPr>
          <w:rFonts w:ascii="Fz_S_BiaoSong_Jt" w:eastAsia="Fz_S_BiaoSong_Jt"/>
          <w:b w:val="0"/>
          <w:sz w:val="48"/>
          <w:szCs w:val="48"/>
        </w:rPr>
        <w:t>天津市南开区文化和旅游局（本级）</w:t>
      </w:r>
    </w:p>
    <w:p>
      <w:pPr>
        <w:widowControl/>
        <w:spacing w:before="0" w:beforeLines="0" w:beforeAutospacing="0" w:after="0" w:afterLines="0" w:afterAutospacing="0" w:line="240" w:lineRule="auto"/>
        <w:jc w:val="center"/>
        <w:rPr>
          <w:rFonts w:ascii="Times New Roman" w:eastAsia="Fz_S_BiaoSong_Jt"/>
          <w:sz w:val="48"/>
          <w:szCs w:val="48"/>
        </w:rPr>
      </w:pPr>
      <w:r>
        <w:rPr>
          <w:rFonts w:ascii="Times New Roman" w:eastAsia="Fz_S_BiaoSong_Jt"/>
          <w:b w:val="0"/>
          <w:sz w:val="48"/>
          <w:szCs w:val="48"/>
        </w:rPr>
        <w:t>2024年度部门决算</w:t>
      </w:r>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rPr>
          <w:rFonts w:hint="eastAsia" w:asciiTheme="minorEastAsia" w:hAnsiTheme="minorEastAsia" w:eastAsiaTheme="minorEastAsia" w:cstheme="minorEastAsia"/>
          <w:b w:val="0"/>
          <w:bCs w:val="0"/>
          <w:color w:val="000000"/>
          <w:sz w:val="22"/>
          <w:szCs w:val="22"/>
        </w:rPr>
      </w:pPr>
      <w:r>
        <w:rPr>
          <w:rFonts w:hint="eastAsia" w:asciiTheme="minorEastAsia" w:hAnsiTheme="minorEastAsia" w:eastAsiaTheme="minorEastAsia" w:cstheme="minorEastAsia"/>
          <w:b w:val="0"/>
          <w:bCs w:val="0"/>
          <w:color w:val="000000"/>
          <w:sz w:val="22"/>
          <w:szCs w:val="22"/>
        </w:rPr>
        <w:br w:type="page"/>
      </w: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目  录</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第一部分   概况</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一、主要职责</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二、机构设置</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第二部分   2024年度部门决算报表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一、收入支出决算总表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二、收入决算表（按功能分类列示）</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三、收入决算表（按单位列示）</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四、支出决算表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五、财政拨款收入支出决算总表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六、一般公共预算财政拨款支出决算表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七、一般公共预算财政拨款基本支出决算明细表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八、政府性基金预算财政拨款收入支出决算表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九、国有资本经营预算财政拨款支出决算表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十、财政拨款“三公”经费支出决算表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十一、项目支出决算表</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第三部分   2024年度部门决算情况说明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一、收支决算总体情况说明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二、收入决算情况说明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三、支出决算情况说明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四、财政拨款收支决算总体情况说明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五、一般公共预算财政拨款支出决算情况说明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六、一般公共预算财政拨款基本支出决算情况说明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七、政府性基金预算财政拨款收支决算情况说明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八、国有资本经营预算财政拨款收支决算情况说明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九、财政拨款“三公”经费支出决算情况说明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十、机关运行经费支出情况说明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十一、政府采购支出情况说明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十二、国有资产占有使用情况说明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十三、预算绩效情况说明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十四、教育、医疗卫生、社会保障和就业、住房保障、涉农补贴等民生支出情况说明</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第四部分   名词解释</w:t>
      </w:r>
    </w:p>
    <w:p>
      <w:pPr>
        <w:rPr>
          <w:rFonts w:hint="eastAsia" w:asciiTheme="minorEastAsia" w:hAnsiTheme="minorEastAsia" w:eastAsiaTheme="minorEastAsia" w:cstheme="minorEastAsia"/>
          <w:b w:val="0"/>
          <w:bCs w:val="0"/>
          <w:sz w:val="22"/>
          <w:szCs w:val="22"/>
          <w:highlight w:val="yellow"/>
        </w:rPr>
      </w:pPr>
    </w:p>
    <w:p>
      <w:pPr>
        <w:snapToGrid w:val="0"/>
        <w:jc w:val="left"/>
        <w:rPr>
          <w:rFonts w:hint="eastAsia" w:asciiTheme="minorEastAsia" w:hAnsiTheme="minorEastAsia" w:eastAsiaTheme="minorEastAsia" w:cstheme="minorEastAsia"/>
          <w:b w:val="0"/>
          <w:bCs w:val="0"/>
          <w:color w:val="000000" w:themeColor="text1"/>
          <w:kern w:val="0"/>
          <w:sz w:val="22"/>
          <w:szCs w:val="22"/>
          <w:lang w:val="en-US"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p>
    <w:p>
      <w:pPr>
        <w:snapToGrid w:val="0"/>
        <w:jc w:val="left"/>
        <w:rPr>
          <w:rFonts w:hint="eastAsia" w:asciiTheme="minorEastAsia" w:hAnsiTheme="minorEastAsia" w:eastAsiaTheme="minorEastAsia" w:cstheme="minorEastAsia"/>
          <w:b w:val="0"/>
          <w:bCs w:val="0"/>
          <w:color w:val="000000" w:themeColor="text1"/>
          <w:kern w:val="0"/>
          <w:sz w:val="22"/>
          <w:szCs w:val="22"/>
          <w:lang w:val="en-US"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sectPr>
          <w:footerReference r:id="rId3" w:type="default"/>
          <w:pgSz w:w="11906" w:h="16838"/>
          <w:pgMar w:top="1531" w:right="1984" w:bottom="1531" w:left="2098" w:header="851" w:footer="992" w:gutter="0"/>
          <w:pgBorders>
            <w:top w:val="none" w:sz="0" w:space="0"/>
            <w:left w:val="none" w:sz="0" w:space="0"/>
            <w:bottom w:val="none" w:sz="0" w:space="0"/>
            <w:right w:val="none" w:sz="0" w:space="0"/>
          </w:pgBorders>
          <w:cols w:space="720" w:num="1"/>
          <w:docGrid w:type="lines" w:linePitch="312" w:charSpace="0"/>
        </w:sectPr>
      </w:pP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第一部分  概况</w:t>
      </w:r>
    </w:p>
    <w:p>
      <w:pPr>
        <w:widowControl/>
        <w:spacing w:before="0" w:beforeLines="0" w:beforeAutospacing="0" w:after="0" w:afterLines="0" w:afterAutospacing="0" w:line="240" w:lineRule="auto"/>
        <w:ind w:firstLine="600" w:firstLineChars="200"/>
        <w:jc w:val="left"/>
        <w:outlineLvl w:val="1"/>
        <w:rPr>
          <w:rFonts w:ascii="宋体" w:eastAsia="黑体"/>
          <w:sz w:val="30"/>
          <w:szCs w:val="30"/>
        </w:rPr>
      </w:pPr>
      <w:r>
        <w:rPr>
          <w:rFonts w:ascii="宋体" w:eastAsia="黑体"/>
          <w:b w:val="0"/>
          <w:sz w:val="30"/>
          <w:szCs w:val="30"/>
        </w:rPr>
        <w:t>一、主要职责</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rPr>
      </w:pPr>
      <w:r>
        <w:rPr>
          <w:rFonts w:hint="eastAsia" w:ascii="Times New Roman" w:eastAsia="仿宋_GB2312"/>
          <w:b w:val="0"/>
          <w:sz w:val="30"/>
          <w:szCs w:val="30"/>
        </w:rPr>
        <w:t>（一）贯彻执行国家和天津市关于文化、旅游和文物工作的方针政策和法律法规。拟定全区文化、旅游和文物工作发展规划并组织实施。</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rPr>
      </w:pPr>
      <w:r>
        <w:rPr>
          <w:rFonts w:hint="eastAsia" w:ascii="Times New Roman" w:eastAsia="仿宋_GB2312"/>
          <w:b w:val="0"/>
          <w:sz w:val="30"/>
          <w:szCs w:val="30"/>
        </w:rPr>
        <w:t>（二）管理全区重大文化、旅游活动。指导、管理艺术事业，推动各门类艺术的发展。管理、指导社会文化事业，指导全区重点文化设施建设和图书馆、少儿图书馆、文化宫（站）、基层文化设施建设。负责公共文化事业发展，推进公共文化和旅游体系建设及设施建设，深入实施文化惠民工程。</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rPr>
      </w:pPr>
      <w:r>
        <w:rPr>
          <w:rFonts w:hint="eastAsia" w:ascii="Times New Roman" w:eastAsia="仿宋_GB2312"/>
          <w:b w:val="0"/>
          <w:sz w:val="30"/>
          <w:szCs w:val="30"/>
        </w:rPr>
        <w:t>（三）负责全区文化和旅游市场经营行业监管，依法规范文化和旅游市场。</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rPr>
      </w:pPr>
      <w:r>
        <w:rPr>
          <w:rFonts w:hint="eastAsia" w:ascii="Times New Roman" w:eastAsia="仿宋_GB2312"/>
          <w:b w:val="0"/>
          <w:sz w:val="30"/>
          <w:szCs w:val="30"/>
        </w:rPr>
        <w:t>（四）指导全区文化市场综合执法工作，查处文化、旅游、文物等市场的违法行为，维护市场秩序。</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rPr>
      </w:pPr>
      <w:r>
        <w:rPr>
          <w:rFonts w:hint="eastAsia" w:ascii="Times New Roman" w:eastAsia="仿宋_GB2312"/>
          <w:b w:val="0"/>
          <w:sz w:val="30"/>
          <w:szCs w:val="30"/>
        </w:rPr>
        <w:t>（五）拟订全区非物质文化遗产发展保护规划，组织实施非物质文化遗产保护和优秀民族文化的传承普及工作。</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rPr>
      </w:pPr>
      <w:r>
        <w:rPr>
          <w:rFonts w:hint="eastAsia" w:ascii="Times New Roman" w:eastAsia="仿宋_GB2312"/>
          <w:b w:val="0"/>
          <w:sz w:val="30"/>
          <w:szCs w:val="30"/>
        </w:rPr>
        <w:t>（六）负责全区文物保护工作，组织开展文物保护宣传、文物征集。承担申报、确定文物保护单位的有关工作。管理、指导全区考古工作和博物馆的业务工作。</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rPr>
      </w:pPr>
      <w:r>
        <w:rPr>
          <w:rFonts w:hint="eastAsia" w:ascii="Times New Roman" w:eastAsia="仿宋_GB2312"/>
          <w:b w:val="0"/>
          <w:sz w:val="30"/>
          <w:szCs w:val="30"/>
        </w:rPr>
        <w:t>（七）负责全区文化和旅游资源的普查、挖掘、保护和利用工作。</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rPr>
      </w:pPr>
      <w:r>
        <w:rPr>
          <w:rFonts w:hint="eastAsia" w:ascii="Times New Roman" w:eastAsia="仿宋_GB2312"/>
          <w:b w:val="0"/>
          <w:sz w:val="30"/>
          <w:szCs w:val="30"/>
        </w:rPr>
        <w:t>（八）组织全区文化旅游的宣传和推广。指导、管理文化和旅游对外交流与合作。</w:t>
      </w:r>
    </w:p>
    <w:p>
      <w:pPr>
        <w:widowControl/>
        <w:spacing w:before="0" w:beforeLines="0" w:beforeAutospacing="0" w:after="0" w:afterLines="0" w:afterAutospacing="0" w:line="240" w:lineRule="auto"/>
        <w:ind w:firstLine="600" w:firstLineChars="200"/>
        <w:jc w:val="left"/>
        <w:rPr>
          <w:rFonts w:ascii="Times New Roman" w:eastAsia="仿宋_GB2312"/>
          <w:sz w:val="30"/>
          <w:szCs w:val="30"/>
        </w:rPr>
      </w:pPr>
      <w:r>
        <w:rPr>
          <w:rFonts w:hint="eastAsia" w:ascii="Times New Roman" w:eastAsia="仿宋_GB2312"/>
          <w:b w:val="0"/>
          <w:sz w:val="30"/>
          <w:szCs w:val="30"/>
        </w:rPr>
        <w:t>（九）承办区委、区政府交办的其他事项。</w:t>
      </w:r>
    </w:p>
    <w:p>
      <w:pPr>
        <w:widowControl/>
        <w:spacing w:before="0" w:beforeLines="0" w:beforeAutospacing="0" w:after="0" w:afterLines="0" w:afterAutospacing="0" w:line="240" w:lineRule="auto"/>
        <w:ind w:firstLine="600" w:firstLineChars="200"/>
        <w:jc w:val="left"/>
        <w:outlineLvl w:val="1"/>
        <w:rPr>
          <w:rFonts w:ascii="宋体" w:eastAsia="黑体"/>
          <w:sz w:val="30"/>
          <w:szCs w:val="30"/>
        </w:rPr>
      </w:pPr>
      <w:r>
        <w:rPr>
          <w:rFonts w:ascii="宋体" w:eastAsia="黑体"/>
          <w:b w:val="0"/>
          <w:sz w:val="30"/>
          <w:szCs w:val="30"/>
        </w:rPr>
        <w:t>二、机构设置</w:t>
      </w:r>
    </w:p>
    <w:p>
      <w:pPr>
        <w:widowControl/>
        <w:spacing w:before="0" w:beforeLines="0" w:beforeAutospacing="0" w:after="0" w:afterLines="0" w:afterAutospacing="0" w:line="240" w:lineRule="auto"/>
        <w:ind w:firstLine="600" w:firstLineChars="200"/>
        <w:jc w:val="left"/>
        <w:rPr>
          <w:rFonts w:hint="default" w:asciiTheme="minorEastAsia" w:hAnsiTheme="minorEastAsia" w:eastAsiaTheme="minorEastAsia" w:cstheme="minorEastAsia"/>
          <w:b w:val="0"/>
          <w:bCs w:val="0"/>
          <w:i w:val="0"/>
          <w:iCs w:val="0"/>
          <w:caps w:val="0"/>
          <w:color w:val="000000"/>
          <w:spacing w:val="0"/>
          <w:sz w:val="22"/>
          <w:szCs w:val="22"/>
          <w:highlight w:val="none"/>
          <w:shd w:val="clear" w:fill="FFFFFF"/>
          <w:lang w:val="en-US" w:eastAsia="zh-CN"/>
        </w:rPr>
        <w:sectPr>
          <w:headerReference r:id="rId4" w:type="default"/>
          <w:footerReference r:id="rId5" w:type="default"/>
          <w:pgSz w:w="11906" w:h="16838"/>
          <w:pgMar w:top="1531" w:right="1984" w:bottom="1531" w:left="2098"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r>
        <w:rPr>
          <w:rFonts w:ascii="Times New Roman" w:eastAsia="仿宋_GB2312"/>
          <w:b w:val="0"/>
          <w:sz w:val="30"/>
          <w:szCs w:val="30"/>
        </w:rPr>
        <w:t>天津市南开区文化和旅游局（本级）内设</w:t>
      </w:r>
      <w:r>
        <w:rPr>
          <w:rFonts w:hint="default" w:ascii="Times New Roman" w:eastAsia="仿宋_GB2312"/>
          <w:b w:val="0"/>
          <w:sz w:val="30"/>
          <w:szCs w:val="30"/>
          <w:lang w:val="en"/>
        </w:rPr>
        <w:t>5</w:t>
      </w:r>
      <w:r>
        <w:rPr>
          <w:rFonts w:ascii="Times New Roman" w:eastAsia="仿宋_GB2312"/>
          <w:b w:val="0"/>
          <w:sz w:val="30"/>
          <w:szCs w:val="30"/>
        </w:rPr>
        <w:t>个职能</w:t>
      </w:r>
      <w:r>
        <w:rPr>
          <w:rFonts w:hint="eastAsia" w:ascii="Times New Roman" w:eastAsia="仿宋_GB2312"/>
          <w:b w:val="0"/>
          <w:sz w:val="30"/>
          <w:szCs w:val="30"/>
          <w:lang w:eastAsia="zh-CN"/>
        </w:rPr>
        <w:t>科室</w:t>
      </w:r>
      <w:r>
        <w:rPr>
          <w:rFonts w:ascii="Times New Roman" w:eastAsia="仿宋_GB2312"/>
          <w:b w:val="0"/>
          <w:sz w:val="30"/>
          <w:szCs w:val="30"/>
        </w:rPr>
        <w:t>。纳入天津市南开区文化和旅游局（本级）2024年度部门决算编制范围的单位包括：</w:t>
      </w:r>
      <w:r>
        <w:rPr>
          <w:rFonts w:hint="eastAsia" w:ascii="Times New Roman" w:eastAsia="仿宋_GB2312"/>
          <w:b w:val="0"/>
          <w:sz w:val="30"/>
          <w:szCs w:val="30"/>
          <w:lang w:val="en-US" w:eastAsia="zh-CN"/>
        </w:rPr>
        <w:t>天津市南开区文化和旅游局（本级）。</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第二部分  2024年度部门决算报表</w:t>
      </w:r>
    </w:p>
    <w:p>
      <w:pPr>
        <w:pStyle w:val="28"/>
        <w:keepNext w:val="0"/>
        <w:keepLines w:val="0"/>
        <w:widowControl/>
        <w:suppressLineNumbers w:val="0"/>
        <w:rPr>
          <w:rFonts w:hint="eastAsia" w:ascii="仿宋" w:hAnsi="仿宋" w:eastAsia="仿宋" w:cs="仿宋"/>
          <w:b/>
          <w:bCs/>
          <w:sz w:val="30"/>
          <w:szCs w:val="30"/>
          <w:highlight w:val="none"/>
          <w:u w:val="none"/>
          <w:lang w:val="en-US" w:eastAsia="zh-CN"/>
        </w:rPr>
      </w:pPr>
      <w:r>
        <w:rPr>
          <w:rFonts w:hint="eastAsia" w:ascii="仿宋" w:hAnsi="仿宋" w:eastAsia="仿宋" w:cs="仿宋"/>
          <w:b/>
          <w:bCs/>
          <w:sz w:val="30"/>
          <w:szCs w:val="30"/>
        </w:rPr>
        <w:t>一、收入支出决算总表</w:t>
      </w:r>
      <w:r>
        <w:rPr>
          <w:rFonts w:hint="eastAsia" w:ascii="仿宋" w:hAnsi="仿宋" w:eastAsia="仿宋" w:cs="仿宋"/>
          <w:b/>
          <w:bCs/>
          <w:sz w:val="30"/>
          <w:szCs w:val="30"/>
          <w:highlight w:val="none"/>
          <w:u w:val="none"/>
          <w:lang w:val="en-US" w:eastAsia="zh-CN"/>
        </w:rPr>
        <w:t xml:space="preserve"> </w:t>
      </w:r>
    </w:p>
    <w:tbl>
      <w:tblPr>
        <w:tblStyle w:val="11"/>
        <w:tblW w:w="139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97"/>
        <w:gridCol w:w="2650"/>
        <w:gridCol w:w="3598"/>
        <w:gridCol w:w="30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0945" w:type="dxa"/>
            <w:gridSpan w:val="3"/>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部门（单位）：天津市南开区文化和旅游局（本级） </w:t>
            </w:r>
          </w:p>
        </w:tc>
        <w:tc>
          <w:tcPr>
            <w:tcW w:w="3044"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Style w:val="27"/>
                <w:rFonts w:hint="eastAsia" w:asciiTheme="minorEastAsia" w:hAnsiTheme="minorEastAsia" w:eastAsiaTheme="minorEastAsia" w:cstheme="minorEastAsia"/>
                <w:b w:val="0"/>
                <w:bCs w:val="0"/>
                <w:sz w:val="22"/>
                <w:szCs w:val="22"/>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w:t>
            </w:r>
          </w:p>
        </w:tc>
        <w:tc>
          <w:tcPr>
            <w:tcW w:w="2650"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w:t>
            </w:r>
          </w:p>
        </w:tc>
        <w:tc>
          <w:tcPr>
            <w:tcW w:w="3044"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一、一般公共预算财政拨款收入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6,588,137.59</w:t>
            </w: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一、一般公共服务支出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二、政府性基金预算财政拨款收入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二、公共安全支出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三、国有资本经营预算财政拨款收入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三、教育支出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四、财政专户管理资金</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四、科学技术支出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五、事业收入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五、文化旅游体育与传媒支出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4,684,535.59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六、事业单位经营收入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六、社会保障和就业支出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453,067.20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七、上级补助收入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七、卫生健康支出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4,935,738.00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八、附属单位上缴收入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八、节能环保支出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九、其他收入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九、城乡社区支出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十、农林水支出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十一、交通运输支出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十二、资源勘探工业信息等支出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十三、商业服务业等支出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十四、金融支出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十五、援助其他地区支出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十六、自然资源海洋气象等支出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十七、住房保障支出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十八、粮油物资储备支出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十九、国有资本经营预算支出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二十、灾害防治及应急管理支出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二十一、其他支出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二十二、债务付息支出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二十三、抗疫特别国债安排的支出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本年收入合计</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6,588,137.59</w:t>
            </w: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10,113,340.79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十、使用非财政拨款结余</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二十四、结余分配</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十一、年初结转和结余</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3,525,203.20</w:t>
            </w: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二十五、年末结转和结余</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其中：财政拨款结转和结余</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3,525,203.20</w:t>
            </w:r>
          </w:p>
        </w:tc>
        <w:tc>
          <w:tcPr>
            <w:tcW w:w="3598"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044"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其他结转和结余</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044"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收入总计</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10,113,340.79</w:t>
            </w: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支出总计</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10,113,340.79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89" w:type="dxa"/>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注：本表反映本年度的总收支和年末结转结余情况。财政专户管理资金是指教育收费；事业收入不含教育收费。</w:t>
            </w:r>
          </w:p>
        </w:tc>
      </w:tr>
    </w:tbl>
    <w:p>
      <w:pPr>
        <w:rPr>
          <w:rFonts w:hint="eastAsia" w:asciiTheme="minorEastAsia" w:hAnsiTheme="minorEastAsia" w:eastAsiaTheme="minorEastAsia" w:cstheme="minorEastAsia"/>
          <w:b w:val="0"/>
          <w:bCs w:val="0"/>
          <w:sz w:val="22"/>
          <w:szCs w:val="22"/>
          <w:lang w:val="en-US" w:eastAsia="zh-CN"/>
        </w:rPr>
      </w:pPr>
      <w:r>
        <w:rPr>
          <w:rFonts w:hint="eastAsia" w:asciiTheme="minorEastAsia" w:hAnsiTheme="minorEastAsia" w:eastAsiaTheme="minorEastAsia" w:cstheme="minorEastAsia"/>
          <w:b w:val="0"/>
          <w:bCs w:val="0"/>
          <w:sz w:val="22"/>
          <w:szCs w:val="22"/>
          <w:highlight w:val="none"/>
          <w:u w:val="none"/>
          <w:lang w:val="en-US" w:eastAsia="zh-CN"/>
        </w:rPr>
        <w:br w:type="page"/>
      </w:r>
    </w:p>
    <w:p>
      <w:pPr>
        <w:pStyle w:val="28"/>
        <w:keepNext w:val="0"/>
        <w:keepLines w:val="0"/>
        <w:widowControl/>
        <w:suppressLineNumbers w:val="0"/>
        <w:jc w:val="left"/>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二、收入决算表(按功能分类列示)</w:t>
      </w:r>
      <w:r>
        <w:rPr>
          <w:rFonts w:hint="eastAsia" w:ascii="仿宋" w:hAnsi="仿宋" w:eastAsia="仿宋" w:cs="仿宋"/>
          <w:b/>
          <w:bCs/>
          <w:color w:val="000000"/>
          <w:sz w:val="30"/>
          <w:szCs w:val="30"/>
        </w:rPr>
        <w:t xml:space="preserve"> </w:t>
      </w:r>
    </w:p>
    <w:tbl>
      <w:tblPr>
        <w:tblStyle w:val="11"/>
        <w:tblW w:w="139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7"/>
        <w:gridCol w:w="2888"/>
        <w:gridCol w:w="1387"/>
        <w:gridCol w:w="1250"/>
        <w:gridCol w:w="1300"/>
        <w:gridCol w:w="1238"/>
        <w:gridCol w:w="1175"/>
        <w:gridCol w:w="1246"/>
        <w:gridCol w:w="1216"/>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727" w:type="dxa"/>
            <w:gridSpan w:val="9"/>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部门（单位）：天津市南开区文化和旅游局（本级） </w:t>
            </w:r>
          </w:p>
        </w:tc>
        <w:tc>
          <w:tcPr>
            <w:tcW w:w="1264"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9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项      目</w:t>
            </w:r>
          </w:p>
        </w:tc>
        <w:tc>
          <w:tcPr>
            <w:tcW w:w="1387"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本年收入合计</w:t>
            </w:r>
          </w:p>
        </w:tc>
        <w:tc>
          <w:tcPr>
            <w:tcW w:w="125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财政拨款收入</w:t>
            </w:r>
          </w:p>
        </w:tc>
        <w:tc>
          <w:tcPr>
            <w:tcW w:w="130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上级补助收入</w:t>
            </w:r>
          </w:p>
        </w:tc>
        <w:tc>
          <w:tcPr>
            <w:tcW w:w="2413" w:type="dxa"/>
            <w:gridSpan w:val="2"/>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事业收入</w:t>
            </w:r>
          </w:p>
        </w:tc>
        <w:tc>
          <w:tcPr>
            <w:tcW w:w="1246"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经营收入</w:t>
            </w:r>
          </w:p>
        </w:tc>
        <w:tc>
          <w:tcPr>
            <w:tcW w:w="1216"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附属单位上缴收入</w:t>
            </w:r>
          </w:p>
        </w:tc>
        <w:tc>
          <w:tcPr>
            <w:tcW w:w="1264"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02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科目编码</w:t>
            </w:r>
          </w:p>
        </w:tc>
        <w:tc>
          <w:tcPr>
            <w:tcW w:w="28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科目名称</w:t>
            </w:r>
          </w:p>
        </w:tc>
        <w:tc>
          <w:tcPr>
            <w:tcW w:w="138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125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130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小计</w:t>
            </w:r>
          </w:p>
        </w:tc>
        <w:tc>
          <w:tcPr>
            <w:tcW w:w="11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其中：教育收费</w:t>
            </w:r>
          </w:p>
        </w:tc>
        <w:tc>
          <w:tcPr>
            <w:tcW w:w="124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3915" w:type="dxa"/>
            <w:gridSpan w:val="2"/>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合计</w:t>
            </w:r>
          </w:p>
        </w:tc>
        <w:tc>
          <w:tcPr>
            <w:tcW w:w="1387"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6,588,137.59</w:t>
            </w:r>
          </w:p>
        </w:tc>
        <w:tc>
          <w:tcPr>
            <w:tcW w:w="1250"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6,588,137.59</w:t>
            </w:r>
          </w:p>
        </w:tc>
        <w:tc>
          <w:tcPr>
            <w:tcW w:w="1300"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201</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一般公共服务支出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40,000.00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40,000.00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20133</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宣传事务</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40,000.00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40,000.00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2013399</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其他宣传事务支出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40,000.00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40,000.00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207</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文化旅游体育与传媒支出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4,684,535.59</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4,684,535.59</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20701</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文化和旅游</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4,684,535.59</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4,684,535.59</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2070101</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行政运行</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3,739,275.59</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3,739,275.59</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2070109</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群众文化</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945,260.00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945,260.00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社会保障和就业支出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453,067.20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453,067.20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行政事业单位养老支出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453,067.20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453,067.20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2080505</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机关事业单位基本养老保险缴费支出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302,044.80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302,044.80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2080506</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机关事业单位职业年金缴费支出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151,022.40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151,022.40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卫生健康支出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1,410,534.80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1,410,534.80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21004</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公共卫生</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1,184,000.00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1,184,000.00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2100410</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突发公共卫生事件应急处置</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1,184,000.00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1,184,000.00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行政事业单位医疗</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226,534.80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226,534.80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2101101</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行政单位医疗</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188,779.20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188,779.20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2101103</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公务员医疗补助</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37,755.60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37,755.60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1" w:type="dxa"/>
            <w:gridSpan w:val="10"/>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注：本表反映本年度取得的各项收入情况。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三、收入决算表(按单位列示)</w:t>
      </w:r>
    </w:p>
    <w:tbl>
      <w:tblPr>
        <w:tblStyle w:val="11"/>
        <w:tblW w:w="139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7"/>
        <w:gridCol w:w="1050"/>
        <w:gridCol w:w="550"/>
        <w:gridCol w:w="613"/>
        <w:gridCol w:w="650"/>
        <w:gridCol w:w="612"/>
        <w:gridCol w:w="663"/>
        <w:gridCol w:w="712"/>
        <w:gridCol w:w="650"/>
        <w:gridCol w:w="688"/>
        <w:gridCol w:w="650"/>
        <w:gridCol w:w="662"/>
        <w:gridCol w:w="353"/>
        <w:gridCol w:w="260"/>
        <w:gridCol w:w="625"/>
        <w:gridCol w:w="700"/>
        <w:gridCol w:w="712"/>
        <w:gridCol w:w="688"/>
        <w:gridCol w:w="712"/>
        <w:gridCol w:w="638"/>
        <w:gridCol w:w="638"/>
        <w:gridCol w:w="6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6027" w:type="dxa"/>
            <w:gridSpan w:val="9"/>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 xml:space="preserve">部门（单位）：天津市南开区文化和旅游局（本级） </w:t>
            </w:r>
          </w:p>
        </w:tc>
        <w:tc>
          <w:tcPr>
            <w:tcW w:w="688"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650"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662"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353"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885" w:type="dxa"/>
            <w:gridSpan w:val="2"/>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700"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712"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688"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712"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638"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1277" w:type="dxa"/>
            <w:gridSpan w:val="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部门（单位）代码</w:t>
            </w:r>
          </w:p>
        </w:tc>
        <w:tc>
          <w:tcPr>
            <w:tcW w:w="1050"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部门（单位）名称</w:t>
            </w:r>
          </w:p>
        </w:tc>
        <w:tc>
          <w:tcPr>
            <w:tcW w:w="550"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合计</w:t>
            </w:r>
          </w:p>
        </w:tc>
        <w:tc>
          <w:tcPr>
            <w:tcW w:w="6513" w:type="dxa"/>
            <w:gridSpan w:val="11"/>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本年收入</w:t>
            </w:r>
          </w:p>
        </w:tc>
        <w:tc>
          <w:tcPr>
            <w:tcW w:w="5352"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上年结转和结余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10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5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13"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65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一般公共预算</w:t>
            </w:r>
          </w:p>
        </w:tc>
        <w:tc>
          <w:tcPr>
            <w:tcW w:w="61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政府性基金预算</w:t>
            </w:r>
          </w:p>
        </w:tc>
        <w:tc>
          <w:tcPr>
            <w:tcW w:w="663"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国有资本经营预算</w:t>
            </w:r>
          </w:p>
        </w:tc>
        <w:tc>
          <w:tcPr>
            <w:tcW w:w="71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财政专户管理资金</w:t>
            </w:r>
          </w:p>
        </w:tc>
        <w:tc>
          <w:tcPr>
            <w:tcW w:w="65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事业收入</w:t>
            </w:r>
          </w:p>
        </w:tc>
        <w:tc>
          <w:tcPr>
            <w:tcW w:w="688"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事业单位经营收入</w:t>
            </w:r>
          </w:p>
        </w:tc>
        <w:tc>
          <w:tcPr>
            <w:tcW w:w="65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上级补助收入</w:t>
            </w:r>
          </w:p>
        </w:tc>
        <w:tc>
          <w:tcPr>
            <w:tcW w:w="66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附属单位上缴收入</w:t>
            </w:r>
          </w:p>
        </w:tc>
        <w:tc>
          <w:tcPr>
            <w:tcW w:w="613" w:type="dxa"/>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其他收入</w:t>
            </w:r>
          </w:p>
        </w:tc>
        <w:tc>
          <w:tcPr>
            <w:tcW w:w="62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2812" w:type="dxa"/>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财政拨款结转结余</w:t>
            </w:r>
          </w:p>
        </w:tc>
        <w:tc>
          <w:tcPr>
            <w:tcW w:w="1915"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非财政拨款结转结余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10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5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13"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5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1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63"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71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5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88"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5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6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13" w:type="dxa"/>
            <w:gridSpan w:val="2"/>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2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70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71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一般公共预算</w:t>
            </w:r>
          </w:p>
        </w:tc>
        <w:tc>
          <w:tcPr>
            <w:tcW w:w="68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政府性基金预算</w:t>
            </w:r>
          </w:p>
        </w:tc>
        <w:tc>
          <w:tcPr>
            <w:tcW w:w="71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国有资本经营预算</w:t>
            </w:r>
          </w:p>
        </w:tc>
        <w:tc>
          <w:tcPr>
            <w:tcW w:w="63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63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财政专户管理资金</w:t>
            </w:r>
          </w:p>
        </w:tc>
        <w:tc>
          <w:tcPr>
            <w:tcW w:w="63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77"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合计</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10,113,340.79</w:t>
            </w:r>
          </w:p>
        </w:tc>
        <w:tc>
          <w:tcPr>
            <w:tcW w:w="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6,588,137.59</w:t>
            </w:r>
          </w:p>
        </w:tc>
        <w:tc>
          <w:tcPr>
            <w:tcW w:w="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6,588,137.59</w:t>
            </w:r>
          </w:p>
        </w:tc>
        <w:tc>
          <w:tcPr>
            <w:tcW w:w="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13"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3,525,203.20</w:t>
            </w: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3,525,203.20</w:t>
            </w: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3,525,203.20</w:t>
            </w:r>
          </w:p>
        </w:tc>
        <w:tc>
          <w:tcPr>
            <w:tcW w:w="6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363101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天津市南开区文化和旅游局（本级）</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10,113,340.79</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6,588,137.59</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6,588,137.59</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3,525,203.20</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3,525,203.20</w:t>
            </w: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3,525,203.20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2" w:type="dxa"/>
            <w:gridSpan w:val="22"/>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注：本表反映本年度取得的各项收入情况。财政专户管理资金是指教育收费；事业收入不含教育收费。</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四、支出决算表 </w:t>
      </w:r>
    </w:p>
    <w:tbl>
      <w:tblPr>
        <w:tblStyle w:val="11"/>
        <w:tblW w:w="1399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5"/>
        <w:gridCol w:w="2188"/>
        <w:gridCol w:w="1845"/>
        <w:gridCol w:w="1800"/>
        <w:gridCol w:w="1800"/>
        <w:gridCol w:w="1815"/>
        <w:gridCol w:w="1628"/>
        <w:gridCol w:w="15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401" w:type="dxa"/>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部门（单位）：天津市南开区文化和旅游局（本级） </w:t>
            </w:r>
          </w:p>
        </w:tc>
        <w:tc>
          <w:tcPr>
            <w:tcW w:w="1589"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5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支出功能分类科目</w:t>
            </w:r>
          </w:p>
        </w:tc>
        <w:tc>
          <w:tcPr>
            <w:tcW w:w="1845"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180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基本支出</w:t>
            </w:r>
          </w:p>
        </w:tc>
        <w:tc>
          <w:tcPr>
            <w:tcW w:w="180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项目支出</w:t>
            </w:r>
          </w:p>
        </w:tc>
        <w:tc>
          <w:tcPr>
            <w:tcW w:w="1815"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上缴上级支出</w:t>
            </w:r>
          </w:p>
        </w:tc>
        <w:tc>
          <w:tcPr>
            <w:tcW w:w="1628"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经营支出</w:t>
            </w:r>
          </w:p>
        </w:tc>
        <w:tc>
          <w:tcPr>
            <w:tcW w:w="1589"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218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1845"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80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80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35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10,113,340.79</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4,418,877.59</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5,694,463.20</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一般公共服务支出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40,000.00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40,000.00</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20133</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宣传事务</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40,000.00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40,000.00</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2013399</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其他宣传事务支出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40,000.00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40,000.00</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文化旅游体育与传媒支出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4,684,535.59</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3,739,275.59</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945,260.00</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文化和旅游</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4,684,535.59</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3,739,275.59</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945,260.00</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2070101</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行政运行</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3,739,275.59</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3,739,275.59</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2070109</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群众文化</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945,260.00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945,260.00</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社会保障和就业支出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453,067.20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453,067.20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行政事业单位养老支出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453,067.20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453,067.20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2080505</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机关事业单位基本养老保险缴费支出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302,044.80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302,044.80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2080506</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机关事业单位职业年金缴费支出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151,022.40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151,022.40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卫生健康支出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4,935,738.00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226,534.80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4,709,203.20</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21004</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公共卫生</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4,709,203.20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4,709,203.20</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2100410</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突发公共卫生事件应急处置</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4,709,203.20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4,709,203.20</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行政事业单位医疗</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226,534.80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226,534.80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2101101</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行政单位医疗</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188,779.20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188,779.20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2101103</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公务员医疗补助</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37,755.60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37,755.60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0"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注：本表反映本年度各项支出情况。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五、财政拨款收入支出决算总表</w:t>
      </w:r>
    </w:p>
    <w:tbl>
      <w:tblPr>
        <w:tblStyle w:val="11"/>
        <w:tblW w:w="139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317"/>
        <w:gridCol w:w="1883"/>
        <w:gridCol w:w="2350"/>
        <w:gridCol w:w="1850"/>
        <w:gridCol w:w="1791"/>
        <w:gridCol w:w="1827"/>
        <w:gridCol w:w="19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018" w:type="dxa"/>
            <w:gridSpan w:val="6"/>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部门（单位）：天津市南开区文化和旅游局（本级） </w:t>
            </w:r>
          </w:p>
        </w:tc>
        <w:tc>
          <w:tcPr>
            <w:tcW w:w="197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w:t>
            </w:r>
          </w:p>
        </w:tc>
        <w:tc>
          <w:tcPr>
            <w:tcW w:w="9791" w:type="dxa"/>
            <w:gridSpan w:val="5"/>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一般公共预算财政拨款</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政府性基金预算财政拨款</w:t>
            </w: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6,588,137.59</w:t>
            </w: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一、一般公共服务支出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40,000.00</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40,000.00</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二、政府性基金预算财政拨款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二、公共安全支出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三、国有资本经营预算财政拨款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三、教育支出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四、科学技术支出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五、文化旅游体育与传媒支出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4,684,535.59</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4,684,535.59</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六、社会保障和就业支出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453,067.20</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453,067.20</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七、卫生健康支出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4,935,738.00</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4,935,738.00</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八、节能环保支出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九、城乡社区支出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十、农林水支出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十一、交通运输支出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十二、资源勘探工业信息等支出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十三、商业服务业等支出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十四、金融支出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十五、援助其他地区支出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十六、自然资源海洋气象等支出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十七、住房保障支出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十八、粮油物资储备支出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十九、国有资本经营预算支出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二十、灾害防治及应急管理支出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二十一、其他支出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二十二、债务付息支出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二十三、抗疫特别国债安排的支出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本年收入合计</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6,588,137.59</w:t>
            </w: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10,113,340.79</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10,113,340.79</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年初财政拨款结转和结余</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3,525,203.20</w:t>
            </w: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年末财政拨款结转和结余</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一般公共预算财政拨款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3,525,203.20</w:t>
            </w:r>
          </w:p>
        </w:tc>
        <w:tc>
          <w:tcPr>
            <w:tcW w:w="23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政府性基金预算财政拨款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国有资本经营预算财政拨款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10,113,340.79</w:t>
            </w: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10,113,340.79</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10,113,340.79</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13991" w:type="dxa"/>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注：本表反映本年度一般公共预算财政拨款、政府性基金预算财政拨款和国有资本经营预算财政拨款的总收支和年末结转结余情况。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numPr>
          <w:ilvl w:val="0"/>
          <w:numId w:val="2"/>
        </w:numPr>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一般公共预算财政拨款支出决算表 </w:t>
      </w:r>
    </w:p>
    <w:tbl>
      <w:tblPr>
        <w:tblStyle w:val="11"/>
        <w:tblW w:w="139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19"/>
        <w:gridCol w:w="4092"/>
        <w:gridCol w:w="1800"/>
        <w:gridCol w:w="1662"/>
        <w:gridCol w:w="1738"/>
        <w:gridCol w:w="1708"/>
        <w:gridCol w:w="16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319" w:type="dxa"/>
            <w:gridSpan w:val="6"/>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天津市南开区文化和旅游局（本级） </w:t>
            </w:r>
          </w:p>
        </w:tc>
        <w:tc>
          <w:tcPr>
            <w:tcW w:w="167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180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5108" w:type="dxa"/>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1673"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19" w:type="dxa"/>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4092"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180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1662"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小计</w:t>
            </w:r>
          </w:p>
        </w:tc>
        <w:tc>
          <w:tcPr>
            <w:tcW w:w="173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人员经费</w:t>
            </w:r>
          </w:p>
        </w:tc>
        <w:tc>
          <w:tcPr>
            <w:tcW w:w="170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公用经费</w:t>
            </w:r>
          </w:p>
        </w:tc>
        <w:tc>
          <w:tcPr>
            <w:tcW w:w="1673"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4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10,113,340.79</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4,418,877.59</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4,130,783.90</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288,093.69</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5,694,463.20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一般公共服务支出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40,000.00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20133</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宣传事务</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40,000.00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2013399</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其他宣传事务支出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40,000.00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207</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文化旅游体育与传媒支出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4,684,535.59</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3,739,275.59</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3,451,181.90</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288,093.69</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945,260.00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20701</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文化和旅游</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4,684,535.59</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3,739,275.59</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3,451,181.90</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288,093.69</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945,260.00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2070101</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行政运行</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3,739,275.59</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3,739,275.59</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3,451,181.90</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288,093.69</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2070109</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群众文化</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945,260.00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945,260.00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社会保障和就业支出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453,067.20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453,067.20</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453,067.20</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行政事业单位养老支出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453,067.20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453,067.20</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453,067.20</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2080505</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机关事业单位基本养老保险缴费支出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302,044.80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302,044.80</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302,044.80</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2080506</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机关事业单位职业年金缴费支出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151,022.40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151,022.40</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151,022.40</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卫生健康支出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4,935,738.00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226,534.80</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226,534.80</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4,709,203.20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21004</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公共卫生</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4,709,203.20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4,709,203.20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2100410</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突发公共卫生事件应急处置</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4,709,203.20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4,709,203.20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21011</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行政事业单位医疗</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226,534.80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226,534.80</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226,534.80</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2101101</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行政单位医疗</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188,779.20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188,779.20</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188,779.20</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2101103</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公务员医疗补助</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37,755.60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37,755.60</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37,755.60</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2" w:type="dxa"/>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注：本表反映本年度一般公共预算财政拨款支出情况。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七、一般公共预算财政拨款基本支出决算明细表 </w:t>
      </w:r>
    </w:p>
    <w:tbl>
      <w:tblPr>
        <w:tblStyle w:val="11"/>
        <w:tblW w:w="139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28"/>
        <w:gridCol w:w="1869"/>
        <w:gridCol w:w="1884"/>
        <w:gridCol w:w="877"/>
        <w:gridCol w:w="1800"/>
        <w:gridCol w:w="1831"/>
        <w:gridCol w:w="1092"/>
        <w:gridCol w:w="1984"/>
        <w:gridCol w:w="17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265" w:type="dxa"/>
            <w:gridSpan w:val="8"/>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部门（单位）：天津市南开区文化和旅游局（本级） </w:t>
            </w:r>
          </w:p>
        </w:tc>
        <w:tc>
          <w:tcPr>
            <w:tcW w:w="1726"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8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人员经费</w:t>
            </w:r>
          </w:p>
        </w:tc>
        <w:tc>
          <w:tcPr>
            <w:tcW w:w="9310" w:type="dxa"/>
            <w:gridSpan w:val="6"/>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工资福利支出</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4,019,361.70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商品和服务支出</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288,093.69</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30703</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国内债务发行费用</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30101</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基本工资</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669,804.00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30201</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办公费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32,999.50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30704</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国外债务发行费用</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30102</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津贴补贴</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894,338.20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30202</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印刷费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资本性支出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30103</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奖金</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786,250.00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30203</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咨询费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31001</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房屋建筑物购建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30106</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伙食补助费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30204</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手续费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2,942.66</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31002</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办公设备购置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30107</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绩效工资</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30205</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水费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31003</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专用设备购置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30108</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机关事业单位基本养老保险缴费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302,044.80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30206</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电费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31005</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基础设施建设</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30109</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职业年金缴费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151,022.40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30207</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邮电费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15,000.00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31006</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大型修缮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30110</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职工基本医疗保险缴费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188,779.20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30208</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取暖费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31007</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信息网络及软件购置更新</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30111</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公务员医疗补助缴费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37,755.60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30209</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物业管理费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31008</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物资储备</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30112</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其他社会保障缴费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3,775.50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30211</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差旅费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8,118.50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土地补偿</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30113</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住房公积金</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919,776.00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30212</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因公出国（境）费用</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31010</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安置补助</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30114</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医疗费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30213</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维修(护)费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31011</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地上附着物和青苗补偿</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30199</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其他工资福利支出</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65,816.00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30214</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租赁费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31012</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拆迁补偿</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对个人和家庭的补助</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111,422.20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30215</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会议费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31013</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公务用车购置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30301</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离休费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30216</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培训费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其他交通工具购置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30302</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退休费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84,142.20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30217</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公务接待费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31021</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文物和陈列品购置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30303</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退职（役）费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27,280.00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30218</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专用材料费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31022</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无形资产购置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30304</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抚恤金</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30224</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被装购置费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31099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其他资本性支出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30305</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生活补助</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30225</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专用燃料费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对企业补助</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30306</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救济费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30226</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劳务费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31201</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资本金注入</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30307</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医疗费补助</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30227</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委托业务费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20,000.00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31203</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政府投资基金股权投资</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30308</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助学金</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30228</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工会经费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18,932.23</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31204</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费用补贴</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30309</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奖励金</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30229</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福利费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32,550.80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31205</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利息补贴</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30310</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个人农业生产补贴</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30231</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公务用车运行维护费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31206</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其他资本性补助</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30311</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代缴社会保险费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30239</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其他交通费用</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135,550.00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31299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其他对企业补助</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30399</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其他对个人和家庭的补助</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30240</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税金及附加费用</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其他支出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69"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4"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30299</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其他商品和服务支出</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22,000.00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39907</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国家赔偿费用支出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69"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4"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债务利息及费用支出</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39908</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对民间非营利组织和群众性自治组织补贴</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69"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4"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30701</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国内债务付息</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经常性赠与</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69"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4"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30702</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国外债务付息</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39910</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资本性赠与</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69"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4"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0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31"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39999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其他支出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797"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人员经费合计</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4,130,783.90</w:t>
            </w:r>
          </w:p>
        </w:tc>
        <w:tc>
          <w:tcPr>
            <w:tcW w:w="7584"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公用经费合计</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288,093.69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1" w:type="dxa"/>
            <w:gridSpan w:val="9"/>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注：本表反映本年度一般公共预算财政拨款基本支出明细情况。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Theme="minorEastAsia" w:hAnsiTheme="minorEastAsia" w:eastAsiaTheme="minorEastAsia" w:cstheme="minorEastAsia"/>
          <w:b w:val="0"/>
          <w:bCs w:val="0"/>
          <w:color w:val="auto"/>
          <w:kern w:val="0"/>
          <w:sz w:val="22"/>
          <w:szCs w:val="22"/>
          <w:highlight w:val="none"/>
        </w:rPr>
      </w:pPr>
      <w:r>
        <w:rPr>
          <w:rFonts w:hint="eastAsia" w:ascii="仿宋" w:hAnsi="仿宋" w:eastAsia="仿宋" w:cs="仿宋"/>
          <w:b/>
          <w:bCs/>
          <w:color w:val="000000"/>
          <w:sz w:val="30"/>
          <w:szCs w:val="30"/>
          <w:lang w:val="en-US" w:eastAsia="zh-CN"/>
        </w:rPr>
        <w:t xml:space="preserve">八、政府性基金预算财政拨款收入支出决算表 </w:t>
      </w:r>
    </w:p>
    <w:tbl>
      <w:tblPr>
        <w:tblStyle w:val="11"/>
        <w:tblW w:w="139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81"/>
        <w:gridCol w:w="3851"/>
        <w:gridCol w:w="1510"/>
        <w:gridCol w:w="1537"/>
        <w:gridCol w:w="1429"/>
        <w:gridCol w:w="1428"/>
        <w:gridCol w:w="1509"/>
        <w:gridCol w:w="14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545" w:type="dxa"/>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天津市南开区文化和旅游局（本级） </w:t>
            </w:r>
          </w:p>
        </w:tc>
        <w:tc>
          <w:tcPr>
            <w:tcW w:w="1447"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1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151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年初结转和结余</w:t>
            </w:r>
          </w:p>
        </w:tc>
        <w:tc>
          <w:tcPr>
            <w:tcW w:w="1537"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本年收入</w:t>
            </w:r>
          </w:p>
        </w:tc>
        <w:tc>
          <w:tcPr>
            <w:tcW w:w="4366" w:type="dxa"/>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本年支出</w:t>
            </w:r>
          </w:p>
        </w:tc>
        <w:tc>
          <w:tcPr>
            <w:tcW w:w="1447"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281" w:type="dxa"/>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3851"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151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153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1429"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小计</w:t>
            </w:r>
          </w:p>
        </w:tc>
        <w:tc>
          <w:tcPr>
            <w:tcW w:w="142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1509"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c>
          <w:tcPr>
            <w:tcW w:w="144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51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2"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注：本表反映本年度政府性基金预算财政拨款收入、支出及结转和结余情况。</w:t>
            </w:r>
          </w:p>
        </w:tc>
      </w:tr>
    </w:tbl>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天津市南开区文化和旅游局（本级）2024年政府性基金预算财政拨款收入支出决算表为空表。</w:t>
      </w:r>
    </w:p>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Theme="minorEastAsia" w:hAnsiTheme="minorEastAsia" w:eastAsiaTheme="minorEastAsia" w:cstheme="minorEastAsia"/>
          <w:b w:val="0"/>
          <w:bCs w:val="0"/>
          <w:color w:val="auto"/>
          <w:kern w:val="0"/>
          <w:sz w:val="22"/>
          <w:szCs w:val="22"/>
          <w:highlight w:val="none"/>
        </w:rPr>
      </w:pPr>
      <w:r>
        <w:rPr>
          <w:rFonts w:hint="eastAsia" w:ascii="仿宋" w:hAnsi="仿宋" w:eastAsia="仿宋" w:cs="仿宋"/>
          <w:b/>
          <w:bCs/>
          <w:color w:val="000000"/>
          <w:sz w:val="30"/>
          <w:szCs w:val="30"/>
          <w:lang w:val="en-US" w:eastAsia="zh-CN"/>
        </w:rPr>
        <w:t xml:space="preserve">九、国有资本经营预算财政拨款支出决算表 </w:t>
      </w:r>
    </w:p>
    <w:tbl>
      <w:tblPr>
        <w:tblStyle w:val="11"/>
        <w:tblW w:w="139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2"/>
        <w:gridCol w:w="3442"/>
        <w:gridCol w:w="1619"/>
        <w:gridCol w:w="1579"/>
        <w:gridCol w:w="1523"/>
        <w:gridCol w:w="1606"/>
        <w:gridCol w:w="1468"/>
        <w:gridCol w:w="1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559" w:type="dxa"/>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天津市南开区文化和旅游局（本级） </w:t>
            </w:r>
          </w:p>
        </w:tc>
        <w:tc>
          <w:tcPr>
            <w:tcW w:w="143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161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年初结转和结余</w:t>
            </w:r>
          </w:p>
        </w:tc>
        <w:tc>
          <w:tcPr>
            <w:tcW w:w="157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本年收入</w:t>
            </w:r>
          </w:p>
        </w:tc>
        <w:tc>
          <w:tcPr>
            <w:tcW w:w="459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本年支出</w:t>
            </w:r>
          </w:p>
        </w:tc>
        <w:tc>
          <w:tcPr>
            <w:tcW w:w="143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3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16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15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1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47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1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2"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注：本表反映本年度国有资本经营预算财政拨款收入、支出及结转和结余情况。</w:t>
            </w:r>
          </w:p>
        </w:tc>
      </w:tr>
    </w:tbl>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天津市南开区文化和旅游局（本级）2024年国有资本经营预算财政拨款收入支出决算表为空表。</w:t>
      </w:r>
    </w:p>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十、财政拨款“三公”经费支出决算表 </w:t>
      </w:r>
    </w:p>
    <w:tbl>
      <w:tblPr>
        <w:tblStyle w:val="11"/>
        <w:tblW w:w="13638" w:type="dxa"/>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69"/>
        <w:gridCol w:w="2108"/>
        <w:gridCol w:w="2400"/>
        <w:gridCol w:w="2385"/>
        <w:gridCol w:w="2430"/>
        <w:gridCol w:w="21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1492" w:type="dxa"/>
            <w:gridSpan w:val="5"/>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部门（单位）：天津市南开区文化和旅游局（本级） </w:t>
            </w:r>
          </w:p>
        </w:tc>
        <w:tc>
          <w:tcPr>
            <w:tcW w:w="2146"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1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2108"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因公出国（境）费</w:t>
            </w:r>
          </w:p>
        </w:tc>
        <w:tc>
          <w:tcPr>
            <w:tcW w:w="7215" w:type="dxa"/>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公务用车购置及运行维护费</w:t>
            </w:r>
          </w:p>
        </w:tc>
        <w:tc>
          <w:tcPr>
            <w:tcW w:w="2146"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1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210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2400"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小计</w:t>
            </w:r>
          </w:p>
        </w:tc>
        <w:tc>
          <w:tcPr>
            <w:tcW w:w="2385"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公务用车购置费</w:t>
            </w:r>
          </w:p>
        </w:tc>
        <w:tc>
          <w:tcPr>
            <w:tcW w:w="2430"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公务用车运行维护费</w:t>
            </w:r>
          </w:p>
        </w:tc>
        <w:tc>
          <w:tcPr>
            <w:tcW w:w="214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638" w:type="dxa"/>
            <w:gridSpan w:val="6"/>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注：本表反映本年度“三公”经费支出决算情况。其中决算数是包括当年财政拨款和以前年度结转资金安排的实际支出。</w:t>
            </w:r>
          </w:p>
        </w:tc>
      </w:tr>
    </w:tbl>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天津市南开区文化和旅游局（本级）2024年财政拨款“三公”经费支出决算表为空表。</w:t>
      </w:r>
    </w:p>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十一、项目支出决算表 </w:t>
      </w:r>
    </w:p>
    <w:tbl>
      <w:tblPr>
        <w:tblStyle w:val="11"/>
        <w:tblW w:w="139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12"/>
        <w:gridCol w:w="2862"/>
        <w:gridCol w:w="1738"/>
        <w:gridCol w:w="1616"/>
        <w:gridCol w:w="1707"/>
        <w:gridCol w:w="1693"/>
        <w:gridCol w:w="1674"/>
        <w:gridCol w:w="15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402" w:type="dxa"/>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部门（单位）：天津市南开区文化和旅游局（本级） </w:t>
            </w:r>
          </w:p>
        </w:tc>
        <w:tc>
          <w:tcPr>
            <w:tcW w:w="1589"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9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项目</w:t>
            </w:r>
          </w:p>
        </w:tc>
        <w:tc>
          <w:tcPr>
            <w:tcW w:w="10017" w:type="dxa"/>
            <w:gridSpan w:val="6"/>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112" w:type="dxa"/>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2862" w:type="dxa"/>
            <w:tcBorders>
              <w:top w:val="nil"/>
              <w:left w:val="nil"/>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科目名称（二级项目名称）</w:t>
            </w:r>
          </w:p>
        </w:tc>
        <w:tc>
          <w:tcPr>
            <w:tcW w:w="173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616"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一般公共预算</w:t>
            </w:r>
          </w:p>
        </w:tc>
        <w:tc>
          <w:tcPr>
            <w:tcW w:w="1707"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政府性基金预算</w:t>
            </w:r>
          </w:p>
        </w:tc>
        <w:tc>
          <w:tcPr>
            <w:tcW w:w="1693"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国有资本经营预算</w:t>
            </w:r>
          </w:p>
        </w:tc>
        <w:tc>
          <w:tcPr>
            <w:tcW w:w="1674"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财政专户管理资金</w:t>
            </w:r>
          </w:p>
        </w:tc>
        <w:tc>
          <w:tcPr>
            <w:tcW w:w="1589"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39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5,694,463.20</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5,694,463.20</w:t>
            </w: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一般公共服务支出</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40,000.00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40,000.00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20133</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宣传事务</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40,000.00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40,000.00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2013399</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其他宣传事务支出</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40,000.00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40,000.00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2013399</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完善基础工作专项经费</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40,000.00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40,000.00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文化旅游体育与传媒支出</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945,260.00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945,260.00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文化和旅游</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945,260.00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945,260.00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2070109</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群众文化</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945,260.00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945,260.00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2070109</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2024年中央支持地方公共文化服务体系建设补助资金</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300,000.00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300,000.00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2070109</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2023年中央支持地方公共文化服务体系建设补助资金</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645,260.00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645,260.00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卫生健康支出</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4,709,203.20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4,709,203.20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21004</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公共卫生</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4,709,203.20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4,709,203.20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2100410</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突发公共卫生事件应急处置</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4,709,203.20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4,709,203.20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2100410</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统筹隔离点费用补助资金</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808,203.20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808,203.20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2100410</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新冠肺炎疫情防控定点救治医院闭环管理隔离点专项资金</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2,717,000.00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2,717,000.00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2100410</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新冠疫情防控定点医疗机构闭环管理经费</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1,184,000.00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1,184,000.00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1"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注：本表反映本年度项目支出决算情况，其中支出数包括当年预算资金和以前年度结转资金安排的合计实际支出。</w:t>
            </w:r>
          </w:p>
        </w:tc>
      </w:tr>
    </w:tbl>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b w:val="0"/>
          <w:bCs w:val="0"/>
          <w:color w:val="auto"/>
          <w:kern w:val="0"/>
          <w:sz w:val="22"/>
          <w:szCs w:val="22"/>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b w:val="0"/>
          <w:bCs w:val="0"/>
          <w:color w:val="auto"/>
          <w:kern w:val="0"/>
          <w:sz w:val="22"/>
          <w:szCs w:val="22"/>
          <w:highlight w:val="none"/>
        </w:rPr>
        <w:sectPr>
          <w:pgSz w:w="16838" w:h="11906" w:orient="landscape"/>
          <w:pgMar w:top="2098" w:right="1531" w:bottom="1984" w:left="1531"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widowControl/>
        <w:spacing w:before="0" w:beforeLines="0" w:beforeAutospacing="0" w:after="0" w:afterLines="0" w:afterAutospacing="0" w:line="360" w:lineRule="auto"/>
        <w:jc w:val="center"/>
        <w:outlineLvl w:val="0"/>
        <w:rPr>
          <w:rFonts w:ascii="黑体" w:eastAsia="黑体"/>
          <w:sz w:val="44"/>
          <w:szCs w:val="44"/>
        </w:rPr>
      </w:pPr>
      <w:r>
        <w:rPr>
          <w:rFonts w:ascii="黑体" w:eastAsia="黑体"/>
          <w:b w:val="0"/>
          <w:sz w:val="44"/>
          <w:szCs w:val="44"/>
        </w:rPr>
        <w:t>第三部分  2024年度部门决算情况说明</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一、收入支出决算总体情况说明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天津市南开区文化和旅游局（本级）2024年度收入、支出决算总计10,113,340.79元。与2023年度相比，收、支总计各减少274,421,872.62元，下降96.446%，主要原因是</w:t>
      </w:r>
      <w:r>
        <w:rPr>
          <w:rFonts w:hint="eastAsia" w:ascii="Times New Roman" w:eastAsia="仿宋_GB2312"/>
          <w:b w:val="0"/>
          <w:sz w:val="30"/>
          <w:szCs w:val="30"/>
          <w:lang w:eastAsia="zh-CN"/>
        </w:rPr>
        <w:t>疫情防控补助资金减少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收入包括：一般公共预算财政拨款收入6,588,137.59元。</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支出包括：一般公共服务支出40,000.00元、文化旅游体育与传媒支出4,684,535.59元、社会保障和就业支出453,067.20元、卫生健康支出4,935,738.00元。</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二、收入决算情况说明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天津市南开区文化和旅游局（本级）2024年度本年收入合计6,588,137.59元，与2023年度相比减少277,947,075.82元，主要原因是</w:t>
      </w:r>
      <w:r>
        <w:rPr>
          <w:rFonts w:hint="eastAsia" w:ascii="Times New Roman" w:eastAsia="仿宋_GB2312"/>
          <w:b w:val="0"/>
          <w:sz w:val="30"/>
          <w:szCs w:val="30"/>
          <w:lang w:eastAsia="zh-CN"/>
        </w:rPr>
        <w:t>疫情防控补助资金减少</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一般公共预算财政拨款收入6,588,137.59元，占100.000%。</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三、支出决算情况说明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天津市南开区文化和旅游局（本级）2024年度本年支出合计10,113,340.79元，与2023年度相比减少270,896,669.40元，主要原因是</w:t>
      </w:r>
      <w:r>
        <w:rPr>
          <w:rFonts w:hint="eastAsia" w:ascii="Times New Roman" w:eastAsia="仿宋_GB2312"/>
          <w:b w:val="0"/>
          <w:sz w:val="30"/>
          <w:szCs w:val="30"/>
          <w:lang w:eastAsia="zh-CN"/>
        </w:rPr>
        <w:t>疫情防控补助资金减少</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基本支出4,418,877.59元，占43.694%；项目支出5,694,463.20元，占56.306%。</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四、财政拨款收支决算总体情况说明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天津市南开区文化和旅游局（本级）2024年度财政拨款收入、支出决算总计10,113,340.79元。与2023年度相比，财政拨款收、支总计各减少274,421,872.62元，下降96.446%，主要原因是</w:t>
      </w:r>
      <w:r>
        <w:rPr>
          <w:rFonts w:hint="eastAsia" w:ascii="Times New Roman" w:eastAsia="仿宋_GB2312"/>
          <w:b w:val="0"/>
          <w:sz w:val="30"/>
          <w:szCs w:val="30"/>
          <w:lang w:eastAsia="zh-CN"/>
        </w:rPr>
        <w:t>疫情防控补助资金减少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outlineLvl w:val="1"/>
        <w:rPr>
          <w:rFonts w:ascii="Times New Roman" w:eastAsia="仿宋_GB2312"/>
          <w:sz w:val="30"/>
          <w:szCs w:val="30"/>
        </w:rPr>
      </w:pPr>
      <w:r>
        <w:rPr>
          <w:rFonts w:ascii="Times New Roman" w:eastAsia="仿宋_GB2312"/>
          <w:b w:val="0"/>
          <w:sz w:val="30"/>
          <w:szCs w:val="30"/>
        </w:rPr>
        <w:t>收入包括：一般公共预算财政拨款6,588,137.59元、年初财政拨款结转和结余3,525,203.20元。</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支出包括：一般公共服务支出40,000.00元、文化旅游体育与传媒支出4,684,535.59元、社会保障和就业支出453,067.20元、卫生健康支出4,935,738.00元。</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五、一般公共预算财政拨款支出决算情况说明</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（一）总体情况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和旅游局（本级）2024年度部门决算一般公共预算财政拨款支出合计10,113,340.79元，占本年支出合计的100.000%。与2023年度相比，一般公共预算财政拨款支出减少270,896,669.40元，下降96.401%，主要原因是</w:t>
      </w:r>
      <w:r>
        <w:rPr>
          <w:rFonts w:hint="eastAsia" w:ascii="Times New Roman" w:eastAsia="仿宋_GB2312"/>
          <w:b w:val="0"/>
          <w:sz w:val="30"/>
          <w:szCs w:val="30"/>
          <w:lang w:eastAsia="zh-CN"/>
        </w:rPr>
        <w:t>疫情防控补助资金减少</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（二）支出结构情况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度一般公共预算财政拨款支出10,113,340.79元，主要用于以下方面：一般公共服务支出（类）40,000.00元，占0.396%；文化旅游体育与传媒支出（类）4,684,535.59元，占46.320%；社会保障和就业支出（类）453,067.20元，占4.480%；卫生健康支出（类）4,935,738.00元，占48.804%。</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（三）具体情况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2024年度一般公共预算财政拨款支出年初预算为8,473,063.97元，支出决算为10,113,340.79元，完成年初预算的119.359%。其中： </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1.​一般公共服务支出(类)宣传事务(款)其他宣传事务支出(项)年初预算为0.00元，支出决算为40,000.00元，决算数大于年初预算数的主要原因是</w:t>
      </w:r>
      <w:r>
        <w:rPr>
          <w:rFonts w:hint="eastAsia" w:ascii="Times New Roman" w:eastAsia="仿宋_GB2312"/>
          <w:b w:val="0"/>
          <w:sz w:val="30"/>
          <w:szCs w:val="30"/>
          <w:lang w:eastAsia="zh-CN"/>
        </w:rPr>
        <w:t>年中追加专项工作经费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2.​文化旅游体育与传媒支出(类)文化和旅游(款)行政运行(项)年初预算为3,618,770.61元，支出决算为3,739,275.59元，完成年初预算的103.330%，决算数大于年初预算数的主要原因是</w:t>
      </w:r>
      <w:r>
        <w:rPr>
          <w:rFonts w:hint="eastAsia" w:ascii="Times New Roman" w:eastAsia="仿宋_GB2312"/>
          <w:b w:val="0"/>
          <w:sz w:val="30"/>
          <w:szCs w:val="30"/>
          <w:lang w:val="en-US" w:eastAsia="zh-CN"/>
        </w:rPr>
        <w:t>人员职务职级变动</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3.​文化旅游体育与传媒支出(类)文化和旅游(款)群众文化(项)年初预算为2,937,000.00元，支出决算为945,260.00元，完成年初预算的32.185%，决算数小于年初预算数的主要原因是</w:t>
      </w:r>
      <w:r>
        <w:rPr>
          <w:rFonts w:hint="eastAsia" w:ascii="Times New Roman" w:eastAsia="仿宋_GB2312"/>
          <w:b w:val="0"/>
          <w:sz w:val="30"/>
          <w:szCs w:val="30"/>
          <w:lang w:eastAsia="zh-CN"/>
        </w:rPr>
        <w:t>部分群众文化活动款项未支付</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4.​社会保障和就业支出(类)行政事业单位养老支出(款)机关事业单位基本养老保险缴费支出(项)年初预算为325,908.16元，支出决算为302,044.80元，完成年初预算的92.678%，决算数小于年初预算数的主要原因是</w:t>
      </w:r>
      <w:r>
        <w:rPr>
          <w:rFonts w:hint="eastAsia" w:ascii="Times New Roman" w:eastAsia="仿宋_GB2312"/>
          <w:b w:val="0"/>
          <w:sz w:val="30"/>
          <w:szCs w:val="30"/>
          <w:lang w:eastAsia="zh-CN"/>
        </w:rPr>
        <w:t>有人员变动，人员经费减少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5.​社会保障和就业支出(类)行政事业单位养老支出(款)机关事业单位职业年金缴费支出(项)年初预算为162,954.08元，支出决算为151,022.40元，完成年初预算的92.678%，决算数小于年初预算数的主要原因是</w:t>
      </w:r>
      <w:r>
        <w:rPr>
          <w:rFonts w:hint="eastAsia" w:ascii="Times New Roman" w:eastAsia="仿宋_GB2312"/>
          <w:b w:val="0"/>
          <w:sz w:val="30"/>
          <w:szCs w:val="30"/>
          <w:lang w:eastAsia="zh-CN"/>
        </w:rPr>
        <w:t>有人员变动，人员经费减少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6.​卫生健康支出(类)公共卫生(款)突发公共卫生事件应急处置(项)年初预算为1,184,000.00元，支出决算为4,709,203.20元，完成年初预算的397.737%，决算数大于年初预算数的主要原因是</w:t>
      </w:r>
      <w:r>
        <w:rPr>
          <w:rFonts w:hint="eastAsia" w:ascii="Times New Roman" w:eastAsia="仿宋_GB2312"/>
          <w:b w:val="0"/>
          <w:sz w:val="30"/>
          <w:szCs w:val="30"/>
          <w:highlight w:val="none"/>
          <w:lang w:val="en-US" w:eastAsia="zh-CN"/>
        </w:rPr>
        <w:t>支付以前年度</w:t>
      </w:r>
      <w:r>
        <w:rPr>
          <w:rFonts w:hint="eastAsia" w:ascii="Times New Roman" w:eastAsia="仿宋_GB2312"/>
          <w:b w:val="0"/>
          <w:sz w:val="30"/>
          <w:szCs w:val="30"/>
          <w:highlight w:val="none"/>
          <w:lang w:eastAsia="zh-CN"/>
        </w:rPr>
        <w:t>疫情防控补助资金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7.​卫生健康支出(类)行政事业单位医疗(款)行政单位医疗(项)年初预算为203,692.60元，支出决算为188,779.20元，完成年初预算的92.678%，决算数小于年初预算数的主要原因是</w:t>
      </w:r>
      <w:r>
        <w:rPr>
          <w:rFonts w:hint="eastAsia" w:ascii="Times New Roman" w:eastAsia="仿宋_GB2312"/>
          <w:b w:val="0"/>
          <w:sz w:val="30"/>
          <w:szCs w:val="30"/>
          <w:lang w:eastAsia="zh-CN"/>
        </w:rPr>
        <w:t>有人员变动，人员经费减少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8.​卫生健康支出(类)行政事业单位医疗(款)公务员医疗补助(项)年初预算为40,738.52元，支出决算为37,755.60元，完成年初预算的92.678%，决算数小于年初预算数的主要原因是</w:t>
      </w:r>
      <w:r>
        <w:rPr>
          <w:rFonts w:hint="eastAsia" w:ascii="Times New Roman" w:eastAsia="仿宋_GB2312"/>
          <w:b w:val="0"/>
          <w:sz w:val="30"/>
          <w:szCs w:val="30"/>
          <w:lang w:eastAsia="zh-CN"/>
        </w:rPr>
        <w:t>有人员变动，人员经费减少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六、一般公共预算财政拨款基本支出决算情况说明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天津市南开区文化和旅游局（本级）2024年度部门决算一般公共预算财政拨款基本支出合计4,418,877.59元，与2023年度相比减少123,068.20元，主要原因是</w:t>
      </w:r>
      <w:r>
        <w:rPr>
          <w:rFonts w:hint="eastAsia" w:ascii="Times New Roman" w:eastAsia="仿宋_GB2312"/>
          <w:b w:val="0"/>
          <w:sz w:val="30"/>
          <w:szCs w:val="30"/>
          <w:lang w:eastAsia="zh-CN"/>
        </w:rPr>
        <w:t>有人员变动，人员经费减少，且进一步压减办公经费开支</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人员经费4,130,783.90元，主要包括基本工资、津贴补贴、奖金、机关事业单位基本养老保险缴费、职业年金缴费、职工基本医疗保险缴费、公务员医疗补助缴费、其他社会保障缴费、住房公积金、其他工资福利支出、退休费和退职（役）费。</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公用经费288,093.69元，主要包括办公费、手续费、邮电费、差旅费、委托业务费、工会经费、福利费、其他交通费用和其他商品和服务支出。</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七、政府性基金预算财政拨款收支决算情况说明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天津市南开区文化和旅游局（本级）2024年度无政府性基金预算财政拨款收入、支出和结转结余。</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八、国有资本经营预算财政拨款收支决算情况说明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天津市南开区文化和旅游局（本级）2024年度无国有资本经营预算财政拨款收入、支出和结转结余。</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九、财政拨款“三公”经费支出决算情况说明</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（一）总体情况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2024年财政拨款“三公”经费预算0.00元，支出决算0.00元，与2024年预算相比持平；支出决算较上年减少1,440.00元，下降100.000%。决算数与预算数持平的主要原因是</w:t>
      </w:r>
      <w:r>
        <w:rPr>
          <w:rFonts w:hint="eastAsia" w:ascii="Times New Roman" w:hAnsi="Times New Roman" w:eastAsia="仿宋_GB2312" w:cs="仿宋_GB2312"/>
          <w:sz w:val="30"/>
          <w:szCs w:val="30"/>
          <w:highlight w:val="none"/>
          <w:lang w:eastAsia="zh-CN"/>
        </w:rPr>
        <w:t>本年度未用财政拨款经费列支“三公”经费</w:t>
      </w:r>
      <w:r>
        <w:rPr>
          <w:rFonts w:ascii="Times New Roman" w:eastAsia="仿宋_GB2312"/>
          <w:b w:val="0"/>
          <w:sz w:val="30"/>
          <w:szCs w:val="30"/>
        </w:rPr>
        <w:t>；决算数较上年减少的主要原因是</w:t>
      </w:r>
      <w:r>
        <w:rPr>
          <w:rFonts w:hint="eastAsia" w:ascii="Times New Roman" w:hAnsi="Times New Roman" w:eastAsia="仿宋_GB2312" w:cs="仿宋_GB2312"/>
          <w:sz w:val="30"/>
          <w:szCs w:val="30"/>
          <w:highlight w:val="none"/>
          <w:lang w:eastAsia="zh-CN"/>
        </w:rPr>
        <w:t>本年度未用财政拨款经费列支“三公”经费</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（二）具体情况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1.因公出国（境）费预算0.00元，支出决算0.00元，与预算相比持平；支出决算较上年持平；决算数与预算数持平的主要原因是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本年度未用财政拨款经费列支因公出国（境）费</w:t>
      </w:r>
      <w:r>
        <w:rPr>
          <w:rFonts w:ascii="Times New Roman" w:eastAsia="仿宋_GB2312"/>
          <w:b w:val="0"/>
          <w:sz w:val="30"/>
          <w:szCs w:val="30"/>
        </w:rPr>
        <w:t>；决算数较上年持平的主要原因是</w:t>
      </w:r>
      <w:r>
        <w:rPr>
          <w:rFonts w:hint="eastAsia" w:ascii="Times New Roman" w:hAnsi="Times New Roman" w:eastAsia="仿宋_GB2312" w:cs="仿宋_GB2312"/>
          <w:sz w:val="30"/>
          <w:szCs w:val="30"/>
          <w:highlight w:val="none"/>
          <w:lang w:eastAsia="zh-CN"/>
        </w:rPr>
        <w:t>本年度未用财政拨款经费列支因公出国（境）费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2024年本单位组织的出国团组0个，出国0人次。</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2.公务用车购置及运行维护费预算0.00元，支出决算0.00元，与预算相比持平；支出决算较上年持平；决算数与预算数持平的主要原因是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本年度未用财政拨款经费列支公务用车购置费及公务用车运行维护费</w:t>
      </w:r>
      <w:r>
        <w:rPr>
          <w:rFonts w:ascii="Times New Roman" w:eastAsia="仿宋_GB2312"/>
          <w:b w:val="0"/>
          <w:sz w:val="30"/>
          <w:szCs w:val="30"/>
        </w:rPr>
        <w:t>；决算数较上年持平的主要原因是</w:t>
      </w:r>
      <w:r>
        <w:rPr>
          <w:rFonts w:hint="eastAsia" w:ascii="Times New Roman" w:hAnsi="Times New Roman" w:eastAsia="仿宋_GB2312" w:cs="仿宋_GB2312"/>
          <w:sz w:val="30"/>
          <w:szCs w:val="30"/>
          <w:highlight w:val="none"/>
          <w:lang w:eastAsia="zh-CN"/>
        </w:rPr>
        <w:t>本年度未用财政拨款经费列支公务用车购置费及公务用车运行维护费</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公务用车运行维护费预算0.00元，支出决算0.00元，与预算相比持平；支出决算较上年持平；决算数与预算数持平的主要原因是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w:t>
      </w:r>
      <w:r>
        <w:rPr>
          <w:rFonts w:ascii="Times New Roman" w:eastAsia="仿宋_GB2312"/>
          <w:b w:val="0"/>
          <w:sz w:val="30"/>
          <w:szCs w:val="30"/>
        </w:rPr>
        <w:t>公务用车运行维护费；决算数较上年持平的主要原因是</w:t>
      </w:r>
      <w:r>
        <w:rPr>
          <w:rFonts w:hint="eastAsia" w:ascii="Times New Roman" w:hAnsi="Times New Roman" w:eastAsia="仿宋_GB2312" w:cs="仿宋_GB2312"/>
          <w:sz w:val="30"/>
          <w:szCs w:val="30"/>
          <w:highlight w:val="none"/>
          <w:lang w:eastAsia="zh-CN"/>
        </w:rPr>
        <w:t>本年度未用财政拨款经费列支</w:t>
      </w:r>
      <w:r>
        <w:rPr>
          <w:rFonts w:ascii="Times New Roman" w:eastAsia="仿宋_GB2312"/>
          <w:b w:val="0"/>
          <w:sz w:val="30"/>
          <w:szCs w:val="30"/>
        </w:rPr>
        <w:t>公务用车运行维护费。</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截至2024年12月31日，使用财政拨款开支运行维护费的公务用车保有量为0辆。</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公务用车购置费预算0.00元，支出决算0.00元，与预算相比持平；支出决算较上年持平；决算数与预算数持平的主要原因是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本年度未用财政拨款经费列支公务用车购置费</w:t>
      </w:r>
      <w:r>
        <w:rPr>
          <w:rFonts w:ascii="Times New Roman" w:eastAsia="仿宋_GB2312"/>
          <w:b w:val="0"/>
          <w:sz w:val="30"/>
          <w:szCs w:val="30"/>
        </w:rPr>
        <w:t>；决算数较上年持平的主要原因是</w:t>
      </w:r>
      <w:r>
        <w:rPr>
          <w:rFonts w:hint="eastAsia" w:ascii="Times New Roman" w:hAnsi="Times New Roman" w:eastAsia="仿宋_GB2312" w:cs="仿宋_GB2312"/>
          <w:sz w:val="30"/>
          <w:szCs w:val="30"/>
          <w:highlight w:val="none"/>
          <w:lang w:eastAsia="zh-CN"/>
        </w:rPr>
        <w:t>本年度未用财政拨款经费列支公务用车购置费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2024年购置公务用车0辆。</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3.公务接待费预算0.00元，支出决算0.00元，与预算相比持平；支出决算较上年减少1,440.00元，下降100.000%。决算数与预算数持平的主要原因是</w:t>
      </w:r>
      <w:r>
        <w:rPr>
          <w:rFonts w:hint="eastAsia" w:ascii="Times New Roman" w:hAnsi="Times New Roman" w:eastAsia="仿宋_GB2312" w:cs="仿宋_GB2312"/>
          <w:sz w:val="30"/>
          <w:szCs w:val="30"/>
          <w:highlight w:val="none"/>
          <w:lang w:eastAsia="zh-CN"/>
        </w:rPr>
        <w:t>本年度未用财政拨款经费列支</w:t>
      </w:r>
      <w:r>
        <w:rPr>
          <w:rFonts w:ascii="Times New Roman" w:eastAsia="仿宋_GB2312"/>
          <w:b w:val="0"/>
          <w:sz w:val="30"/>
          <w:szCs w:val="30"/>
        </w:rPr>
        <w:t>公务接待费；决算数较上年减少的主要原因是</w:t>
      </w:r>
      <w:r>
        <w:rPr>
          <w:rFonts w:hint="eastAsia" w:ascii="Times New Roman" w:hAnsi="Times New Roman" w:eastAsia="仿宋_GB2312" w:cs="仿宋_GB2312"/>
          <w:sz w:val="30"/>
          <w:szCs w:val="30"/>
          <w:highlight w:val="none"/>
          <w:lang w:eastAsia="zh-CN"/>
        </w:rPr>
        <w:t>本年度未用财政拨款经费列支</w:t>
      </w:r>
      <w:r>
        <w:rPr>
          <w:rFonts w:ascii="Times New Roman" w:eastAsia="仿宋_GB2312"/>
          <w:b w:val="0"/>
          <w:sz w:val="30"/>
          <w:szCs w:val="30"/>
        </w:rPr>
        <w:t>公务接待费。</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2024年本单位国内公务接待0批次，0人次；其中，外事接待0批次，0人次。</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十、机关运行经费支出情况说明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机关运行经费是指行政单位和参照公务员法管理的事业单位使用财政拨款安排的基本支出中的日常公用经费支出，天津市南开区文化和旅游局（本级）2024年度机关运行经费年初预算333,964.38元，决算数288,093.69元，与年初预算相比减少45,870.69元，完成年初预算的86.265%；比2023年减少20,243.22元，下降6.565%。主要原因是：</w:t>
      </w:r>
      <w:r>
        <w:rPr>
          <w:rFonts w:hint="eastAsia" w:ascii="Times New Roman" w:eastAsia="仿宋_GB2312"/>
          <w:b w:val="0"/>
          <w:sz w:val="30"/>
          <w:szCs w:val="30"/>
          <w:lang w:eastAsia="zh-CN"/>
        </w:rPr>
        <w:t>进一步压减办公经费，节约开支</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十一、政府采购支出情况说明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天津市南开区文化和旅游局（本级）2024年政府采购支出总额5,940.00元，其中：政府采购货物支出5,940.00元。</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授予中小企业合同金额5,940.00元，占政府采购支出总额的100.000%，其中：授予小微企业合同金额5,940.00元，占政府采购支出总额的100.000%；货物采购授予中小企业合同金额占货物支出金额的100.000%。</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十二、国有资产占有使用情况说明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天津市南开区文化和旅游局（本级）2024年度无国有资产占有使用情况。</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十三、预算绩效情况说明</w:t>
      </w:r>
    </w:p>
    <w:p>
      <w:pPr>
        <w:widowControl/>
        <w:spacing w:before="0" w:beforeLines="0" w:beforeAutospacing="0" w:after="0" w:afterLines="0" w:afterAutospacing="0" w:line="240" w:lineRule="auto"/>
        <w:ind w:firstLine="600" w:firstLineChars="200"/>
        <w:jc w:val="left"/>
        <w:rPr>
          <w:rFonts w:ascii="Times New Roman" w:eastAsia="仿宋_GB2312"/>
          <w:sz w:val="30"/>
          <w:szCs w:val="30"/>
        </w:rPr>
      </w:pPr>
      <w:r>
        <w:rPr>
          <w:rFonts w:ascii="Times New Roman" w:eastAsia="仿宋_GB2312"/>
          <w:b w:val="0"/>
          <w:sz w:val="30"/>
          <w:szCs w:val="30"/>
        </w:rPr>
        <w:t>根据预算绩效管理要求，天津市南开区文化和旅游局（本级）已对</w:t>
      </w:r>
      <w:r>
        <w:rPr>
          <w:rFonts w:hint="eastAsia" w:ascii="Times New Roman" w:eastAsia="仿宋_GB2312"/>
          <w:b w:val="0"/>
          <w:sz w:val="30"/>
          <w:szCs w:val="30"/>
          <w:lang w:val="en-US" w:eastAsia="zh-CN"/>
        </w:rPr>
        <w:t>15</w:t>
      </w:r>
      <w:r>
        <w:rPr>
          <w:rFonts w:ascii="Times New Roman" w:eastAsia="仿宋_GB2312"/>
          <w:b w:val="0"/>
          <w:sz w:val="30"/>
          <w:szCs w:val="30"/>
        </w:rPr>
        <w:t>个2024年度项目开展绩效自评，涉及金额</w:t>
      </w:r>
      <w:r>
        <w:rPr>
          <w:rFonts w:hint="eastAsia" w:ascii="Times New Roman" w:eastAsia="仿宋_GB2312"/>
          <w:b w:val="0"/>
          <w:sz w:val="30"/>
          <w:szCs w:val="30"/>
          <w:lang w:val="en-US" w:eastAsia="zh-CN"/>
        </w:rPr>
        <w:t>8</w:t>
      </w:r>
      <w:r>
        <w:rPr>
          <w:rFonts w:ascii="Times New Roman" w:eastAsia="仿宋_GB2312"/>
          <w:b w:val="0"/>
          <w:sz w:val="30"/>
          <w:szCs w:val="30"/>
        </w:rPr>
        <w:t>,</w:t>
      </w:r>
      <w:r>
        <w:rPr>
          <w:rFonts w:hint="eastAsia" w:ascii="Times New Roman" w:eastAsia="仿宋_GB2312"/>
          <w:b w:val="0"/>
          <w:sz w:val="30"/>
          <w:szCs w:val="30"/>
          <w:lang w:val="en-US" w:eastAsia="zh-CN"/>
        </w:rPr>
        <w:t>264</w:t>
      </w:r>
      <w:r>
        <w:rPr>
          <w:rFonts w:ascii="Times New Roman" w:eastAsia="仿宋_GB2312"/>
          <w:b w:val="0"/>
          <w:sz w:val="30"/>
          <w:szCs w:val="30"/>
        </w:rPr>
        <w:t>,</w:t>
      </w:r>
      <w:r>
        <w:rPr>
          <w:rFonts w:hint="eastAsia" w:ascii="Times New Roman" w:eastAsia="仿宋_GB2312"/>
          <w:b w:val="0"/>
          <w:sz w:val="30"/>
          <w:szCs w:val="30"/>
          <w:lang w:val="en-US" w:eastAsia="zh-CN"/>
        </w:rPr>
        <w:t>946.00</w:t>
      </w:r>
      <w:r>
        <w:rPr>
          <w:rFonts w:ascii="Times New Roman" w:eastAsia="仿宋_GB2312"/>
          <w:b w:val="0"/>
          <w:sz w:val="30"/>
          <w:szCs w:val="30"/>
        </w:rPr>
        <w:t>元，自评结果已随部门决算一并公开。</w:t>
      </w:r>
      <w:bookmarkStart w:id="0" w:name="_GoBack"/>
      <w:bookmarkEnd w:id="0"/>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十四、教育、医疗卫生、社会保障和就业、住房保障、涉农补贴等民生支出情况说明</w:t>
      </w:r>
    </w:p>
    <w:p>
      <w:pPr>
        <w:widowControl/>
        <w:spacing w:before="0" w:beforeLines="0" w:beforeAutospacing="0" w:after="0" w:afterLines="0" w:afterAutospacing="0" w:line="24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天津市南开区文化和旅游局（本级）不属于乡、镇、街级单位，不涉及公开2024年度教育、医疗卫生、社会保障和就业、住房保障、涉农补贴等民生支出情况。</w:t>
      </w: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sz w:val="44"/>
          <w:szCs w:val="44"/>
        </w:rPr>
      </w:pPr>
      <w:r>
        <w:rPr>
          <w:rFonts w:ascii="黑体" w:eastAsia="黑体"/>
          <w:b w:val="0"/>
          <w:sz w:val="44"/>
          <w:szCs w:val="44"/>
        </w:rPr>
        <w:t>第四部分 名词解释</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p>
      <w:pPr>
        <w:widowControl/>
        <w:spacing w:before="0" w:beforeLines="0" w:beforeAutospacing="0" w:after="0" w:afterLines="0" w:afterAutospacing="0" w:line="360" w:lineRule="auto"/>
        <w:ind w:firstLine="640" w:firstLineChars="200"/>
        <w:jc w:val="left"/>
        <w:rPr>
          <w:rFonts w:ascii="Times New Roman" w:eastAsia="仿宋_GB2312"/>
          <w:sz w:val="32"/>
          <w:szCs w:val="32"/>
        </w:rPr>
      </w:pPr>
      <w:r>
        <w:rPr>
          <w:rFonts w:ascii="Times New Roman" w:eastAsia="仿宋_GB2312"/>
          <w:b w:val="0"/>
          <w:sz w:val="32"/>
          <w:szCs w:val="32"/>
        </w:rPr>
        <w:t>  </w:t>
      </w:r>
    </w:p>
    <w:p>
      <w:pPr>
        <w:rPr>
          <w:rFonts w:hint="default" w:asciiTheme="minorEastAsia" w:hAnsiTheme="minorEastAsia" w:cstheme="minorEastAsia"/>
          <w:b w:val="0"/>
          <w:bCs w:val="0"/>
          <w:i w:val="0"/>
          <w:iCs w:val="0"/>
          <w:caps w:val="0"/>
          <w:color w:val="333333"/>
          <w:spacing w:val="0"/>
          <w:sz w:val="22"/>
          <w:szCs w:val="22"/>
          <w:highlight w:val="none"/>
          <w:shd w:val="clear" w:fill="FFFFFF"/>
          <w:lang w:val="en-US" w:eastAsia="zh-CN"/>
        </w:rPr>
      </w:pPr>
    </w:p>
    <w:sectPr>
      <w:pgSz w:w="11906" w:h="16838"/>
      <w:pgMar w:top="2098" w:right="1417" w:bottom="1871" w:left="1417" w:header="851" w:footer="992" w:gutter="0"/>
      <w:pgBorders>
        <w:top w:val="none" w:sz="0" w:space="0"/>
        <w:left w:val="none" w:sz="0" w:space="0"/>
        <w:bottom w:val="none" w:sz="0" w:space="0"/>
        <w:right w:val="none" w:sz="0" w:space="0"/>
      </w:pgBorders>
      <w:pgNumType w:fmt="decimal"/>
      <w:cols w:space="0" w:num="1"/>
      <w:rtlGutter w:val="0"/>
      <w:docGrid w:type="lines" w:linePitch="32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203261DD-B612-4879-A65C-8756C71D9927}"/>
  </w:font>
  <w:font w:name="黑体">
    <w:panose1 w:val="02010609060101010101"/>
    <w:charset w:val="86"/>
    <w:family w:val="auto"/>
    <w:pitch w:val="default"/>
    <w:sig w:usb0="800002BF" w:usb1="38CF7CFA" w:usb2="00000016" w:usb3="00000000" w:csb0="00040001" w:csb1="00000000"/>
    <w:embedRegular r:id="rId2" w:fontKey="{BA0232D4-48AF-4776-BC1F-4F0D2E4232C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3" w:fontKey="{E5061786-E030-4E15-8FCE-9F017186C45F}"/>
  </w:font>
  <w:font w:name="Calibri Light">
    <w:panose1 w:val="020F0302020204030204"/>
    <w:charset w:val="00"/>
    <w:family w:val="auto"/>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helvetica">
    <w:altName w:val="Segoe Print"/>
    <w:panose1 w:val="00000000000000000000"/>
    <w:charset w:val="00"/>
    <w:family w:val="auto"/>
    <w:pitch w:val="default"/>
    <w:sig w:usb0="00000000" w:usb1="00000000" w:usb2="00000000" w:usb3="00000000" w:csb0="2000019F" w:csb1="4F010000"/>
  </w:font>
  <w:font w:name="Fz_S_BiaoSong_Jt">
    <w:altName w:val="Segoe Print"/>
    <w:panose1 w:val="00000000000000000000"/>
    <w:charset w:val="00"/>
    <w:family w:val="auto"/>
    <w:pitch w:val="default"/>
    <w:sig w:usb0="00000000" w:usb1="00000000" w:usb2="00000000" w:usb3="00000000" w:csb0="00000000" w:csb1="00000000"/>
    <w:embedRegular r:id="rId4" w:fontKey="{1094BBD4-D200-4B5A-9300-7C7864D92595}"/>
  </w:font>
  <w:font w:name="仿宋_GB2312">
    <w:panose1 w:val="02010609030101010101"/>
    <w:charset w:val="86"/>
    <w:family w:val="auto"/>
    <w:pitch w:val="default"/>
    <w:sig w:usb0="00000001" w:usb1="080E0000" w:usb2="00000000" w:usb3="00000000" w:csb0="00040000" w:csb1="00000000"/>
    <w:embedRegular r:id="rId5" w:fontKey="{CB6D1344-DC77-45CB-8BF7-C8471EB4DAD4}"/>
  </w:font>
  <w:font w:name="宋体-简">
    <w:altName w:val="宋体"/>
    <w:panose1 w:val="02010800040101010101"/>
    <w:charset w:val="86"/>
    <w:family w:val="auto"/>
    <w:pitch w:val="default"/>
    <w:sig w:usb0="00000000" w:usb1="00000000" w:usb2="00000000" w:usb3="00000000" w:csb0="00040000" w:csb1="00000000"/>
    <w:embedRegular r:id="rId6" w:fontKey="{1D245C07-DE5B-4B7E-B108-1EFD881D5938}"/>
  </w:font>
  <w:font w:name="楷体">
    <w:panose1 w:val="02010609060101010101"/>
    <w:charset w:val="86"/>
    <w:family w:val="auto"/>
    <w:pitch w:val="default"/>
    <w:sig w:usb0="800002BF" w:usb1="38CF7CFA" w:usb2="00000016" w:usb3="00000000" w:csb0="00040001" w:csb1="00000000"/>
    <w:embedRegular r:id="rId7" w:fontKey="{5EEF48F5-C1A4-401F-A0FC-B368A5EB7F74}"/>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F1D044"/>
    <w:multiLevelType w:val="singleLevel"/>
    <w:tmpl w:val="EBF1D044"/>
    <w:lvl w:ilvl="0" w:tentative="0">
      <w:start w:val="6"/>
      <w:numFmt w:val="chineseCounting"/>
      <w:suff w:val="nothing"/>
      <w:lvlText w:val="%1、"/>
      <w:lvlJc w:val="left"/>
      <w:rPr>
        <w:rFonts w:hint="eastAsia"/>
      </w:rPr>
    </w:lvl>
  </w:abstractNum>
  <w:abstractNum w:abstractNumId="1">
    <w:nsid w:val="5F16A424"/>
    <w:multiLevelType w:val="multilevel"/>
    <w:tmpl w:val="5F16A424"/>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pStyle w:val="5"/>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nforcement="0"/>
  <w:defaultTabStop w:val="420"/>
  <w:drawingGridVerticalSpacing w:val="16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jb3VudCI6NzMsImhkaWQiOiIwOWZmNGM5NWI3N2I3ZjBhMDgxMmUxZjg3YjY1Y2NmNSIsInVzZXJDb3VudCI6NH0="/>
  </w:docVars>
  <w:rsids>
    <w:rsidRoot w:val="00000000"/>
    <w:rsid w:val="00086151"/>
    <w:rsid w:val="00236F8C"/>
    <w:rsid w:val="00822154"/>
    <w:rsid w:val="00C65689"/>
    <w:rsid w:val="00CC2C8E"/>
    <w:rsid w:val="016646EA"/>
    <w:rsid w:val="01A03C5A"/>
    <w:rsid w:val="01A5267D"/>
    <w:rsid w:val="01AF6A8D"/>
    <w:rsid w:val="01DB0D32"/>
    <w:rsid w:val="024808A2"/>
    <w:rsid w:val="025C3821"/>
    <w:rsid w:val="02DA3B1B"/>
    <w:rsid w:val="02E57B4D"/>
    <w:rsid w:val="030941E9"/>
    <w:rsid w:val="03450B90"/>
    <w:rsid w:val="037B12D4"/>
    <w:rsid w:val="03804D63"/>
    <w:rsid w:val="03FB73B0"/>
    <w:rsid w:val="0411635C"/>
    <w:rsid w:val="04806B11"/>
    <w:rsid w:val="049C1B9D"/>
    <w:rsid w:val="04BD008C"/>
    <w:rsid w:val="04C55939"/>
    <w:rsid w:val="04DA28BB"/>
    <w:rsid w:val="04EB3FAF"/>
    <w:rsid w:val="04F528BE"/>
    <w:rsid w:val="050E10CE"/>
    <w:rsid w:val="054F2DFB"/>
    <w:rsid w:val="05991C82"/>
    <w:rsid w:val="05CD1EC8"/>
    <w:rsid w:val="061416A9"/>
    <w:rsid w:val="061D60A6"/>
    <w:rsid w:val="06236884"/>
    <w:rsid w:val="06B07006"/>
    <w:rsid w:val="06FC7C2A"/>
    <w:rsid w:val="07533AFE"/>
    <w:rsid w:val="07AC18F2"/>
    <w:rsid w:val="07B3657A"/>
    <w:rsid w:val="07C857D0"/>
    <w:rsid w:val="083F3A0A"/>
    <w:rsid w:val="08AB5AAF"/>
    <w:rsid w:val="09012C64"/>
    <w:rsid w:val="093B2E99"/>
    <w:rsid w:val="095D7943"/>
    <w:rsid w:val="09C006C6"/>
    <w:rsid w:val="0A10621F"/>
    <w:rsid w:val="0A464C4F"/>
    <w:rsid w:val="0A6729A3"/>
    <w:rsid w:val="0A694877"/>
    <w:rsid w:val="0AA954BE"/>
    <w:rsid w:val="0AE70639"/>
    <w:rsid w:val="0B4F5E6D"/>
    <w:rsid w:val="0B54502F"/>
    <w:rsid w:val="0B753AE2"/>
    <w:rsid w:val="0BB67D0A"/>
    <w:rsid w:val="0BC56230"/>
    <w:rsid w:val="0BCF21BD"/>
    <w:rsid w:val="0C4E53E8"/>
    <w:rsid w:val="0C6712D6"/>
    <w:rsid w:val="0C9F7900"/>
    <w:rsid w:val="0CB23317"/>
    <w:rsid w:val="0D101068"/>
    <w:rsid w:val="0D4E13BE"/>
    <w:rsid w:val="0D7557DF"/>
    <w:rsid w:val="0D853E34"/>
    <w:rsid w:val="0D9C2A57"/>
    <w:rsid w:val="0DC3019B"/>
    <w:rsid w:val="0DFA5D82"/>
    <w:rsid w:val="0E1E52CE"/>
    <w:rsid w:val="0E722011"/>
    <w:rsid w:val="0E866524"/>
    <w:rsid w:val="0E9268D3"/>
    <w:rsid w:val="0E957F1F"/>
    <w:rsid w:val="0F0E7284"/>
    <w:rsid w:val="0F28110F"/>
    <w:rsid w:val="0F37083F"/>
    <w:rsid w:val="0F4D20F6"/>
    <w:rsid w:val="0F7470AF"/>
    <w:rsid w:val="0F891DB8"/>
    <w:rsid w:val="0F8D3287"/>
    <w:rsid w:val="0FAA3B86"/>
    <w:rsid w:val="10191346"/>
    <w:rsid w:val="102A01A6"/>
    <w:rsid w:val="105A290D"/>
    <w:rsid w:val="10754A6C"/>
    <w:rsid w:val="108B537D"/>
    <w:rsid w:val="10B11DB1"/>
    <w:rsid w:val="10E649D4"/>
    <w:rsid w:val="11177F57"/>
    <w:rsid w:val="11217C97"/>
    <w:rsid w:val="11464C20"/>
    <w:rsid w:val="115E4926"/>
    <w:rsid w:val="118A1FFA"/>
    <w:rsid w:val="11E35B5A"/>
    <w:rsid w:val="11E42DD6"/>
    <w:rsid w:val="125F5A1B"/>
    <w:rsid w:val="126979D6"/>
    <w:rsid w:val="129E45A7"/>
    <w:rsid w:val="13074404"/>
    <w:rsid w:val="136A5C00"/>
    <w:rsid w:val="13B97B08"/>
    <w:rsid w:val="13C527AC"/>
    <w:rsid w:val="143C61AE"/>
    <w:rsid w:val="14711797"/>
    <w:rsid w:val="147B6F17"/>
    <w:rsid w:val="14D42061"/>
    <w:rsid w:val="15081C8B"/>
    <w:rsid w:val="15090D5C"/>
    <w:rsid w:val="15CF053D"/>
    <w:rsid w:val="15E0131A"/>
    <w:rsid w:val="15E11DC0"/>
    <w:rsid w:val="16457D9F"/>
    <w:rsid w:val="17223EFF"/>
    <w:rsid w:val="17AA5F28"/>
    <w:rsid w:val="17B713F6"/>
    <w:rsid w:val="184350A0"/>
    <w:rsid w:val="18935485"/>
    <w:rsid w:val="18A34206"/>
    <w:rsid w:val="18DE3B2C"/>
    <w:rsid w:val="1906685D"/>
    <w:rsid w:val="19111683"/>
    <w:rsid w:val="19353916"/>
    <w:rsid w:val="193E101D"/>
    <w:rsid w:val="19C10AF1"/>
    <w:rsid w:val="1A017CDA"/>
    <w:rsid w:val="1A254264"/>
    <w:rsid w:val="1A2672DE"/>
    <w:rsid w:val="1AA81D42"/>
    <w:rsid w:val="1AB433D9"/>
    <w:rsid w:val="1AFB6D70"/>
    <w:rsid w:val="1B1B11EE"/>
    <w:rsid w:val="1B3719E0"/>
    <w:rsid w:val="1B6261C3"/>
    <w:rsid w:val="1B731730"/>
    <w:rsid w:val="1B882BB5"/>
    <w:rsid w:val="1B9B33C7"/>
    <w:rsid w:val="1B9D7FEC"/>
    <w:rsid w:val="1BA55461"/>
    <w:rsid w:val="1BD66BF2"/>
    <w:rsid w:val="1BE74496"/>
    <w:rsid w:val="1C3D67D1"/>
    <w:rsid w:val="1C40731A"/>
    <w:rsid w:val="1C506572"/>
    <w:rsid w:val="1C560392"/>
    <w:rsid w:val="1C581532"/>
    <w:rsid w:val="1C9F2E05"/>
    <w:rsid w:val="1CA15E03"/>
    <w:rsid w:val="1CA24F0C"/>
    <w:rsid w:val="1CF8716C"/>
    <w:rsid w:val="1D1638FE"/>
    <w:rsid w:val="1D1E545A"/>
    <w:rsid w:val="1D4B1F5B"/>
    <w:rsid w:val="1D6C5CA0"/>
    <w:rsid w:val="1D725586"/>
    <w:rsid w:val="1D745B4F"/>
    <w:rsid w:val="1D867987"/>
    <w:rsid w:val="1D944010"/>
    <w:rsid w:val="1DD70E85"/>
    <w:rsid w:val="1DE74AD7"/>
    <w:rsid w:val="1DF60A19"/>
    <w:rsid w:val="1DFA6713"/>
    <w:rsid w:val="1E050843"/>
    <w:rsid w:val="1E2D3FB0"/>
    <w:rsid w:val="1E2E50F1"/>
    <w:rsid w:val="1E3B4E26"/>
    <w:rsid w:val="1EDF707D"/>
    <w:rsid w:val="1F394761"/>
    <w:rsid w:val="1F65664C"/>
    <w:rsid w:val="1F7C149A"/>
    <w:rsid w:val="1F84140D"/>
    <w:rsid w:val="1F9B7FFD"/>
    <w:rsid w:val="1F9C7614"/>
    <w:rsid w:val="1FA10831"/>
    <w:rsid w:val="1FBE1971"/>
    <w:rsid w:val="2008768D"/>
    <w:rsid w:val="204B327F"/>
    <w:rsid w:val="204C2B10"/>
    <w:rsid w:val="207D30AD"/>
    <w:rsid w:val="209064B9"/>
    <w:rsid w:val="20970D81"/>
    <w:rsid w:val="20D165D5"/>
    <w:rsid w:val="210878E6"/>
    <w:rsid w:val="210E1408"/>
    <w:rsid w:val="211069AD"/>
    <w:rsid w:val="21573FAB"/>
    <w:rsid w:val="2172069C"/>
    <w:rsid w:val="21987BC4"/>
    <w:rsid w:val="21BE314A"/>
    <w:rsid w:val="220451AB"/>
    <w:rsid w:val="2237486E"/>
    <w:rsid w:val="223D1378"/>
    <w:rsid w:val="22451BC7"/>
    <w:rsid w:val="22940650"/>
    <w:rsid w:val="22AD4B1E"/>
    <w:rsid w:val="22C43743"/>
    <w:rsid w:val="22D31DF3"/>
    <w:rsid w:val="22FD3CF7"/>
    <w:rsid w:val="232C221B"/>
    <w:rsid w:val="2356249E"/>
    <w:rsid w:val="236E713A"/>
    <w:rsid w:val="23700968"/>
    <w:rsid w:val="238761A6"/>
    <w:rsid w:val="23920578"/>
    <w:rsid w:val="23BB6F9A"/>
    <w:rsid w:val="23C47FC9"/>
    <w:rsid w:val="23FC3864"/>
    <w:rsid w:val="24857B00"/>
    <w:rsid w:val="24F25212"/>
    <w:rsid w:val="251B0465"/>
    <w:rsid w:val="254B0AC6"/>
    <w:rsid w:val="25571AB6"/>
    <w:rsid w:val="25B40AD6"/>
    <w:rsid w:val="25BE7872"/>
    <w:rsid w:val="25BF702A"/>
    <w:rsid w:val="26390459"/>
    <w:rsid w:val="264D2D17"/>
    <w:rsid w:val="26D50E55"/>
    <w:rsid w:val="271A539C"/>
    <w:rsid w:val="273823FA"/>
    <w:rsid w:val="274972D4"/>
    <w:rsid w:val="27AA3D97"/>
    <w:rsid w:val="280A3758"/>
    <w:rsid w:val="28292E99"/>
    <w:rsid w:val="289057C5"/>
    <w:rsid w:val="28A67C7A"/>
    <w:rsid w:val="28EA3248"/>
    <w:rsid w:val="28F879DA"/>
    <w:rsid w:val="294B7731"/>
    <w:rsid w:val="29514455"/>
    <w:rsid w:val="29530A33"/>
    <w:rsid w:val="29D21FF2"/>
    <w:rsid w:val="2A611B0F"/>
    <w:rsid w:val="2AC1762B"/>
    <w:rsid w:val="2AE845D0"/>
    <w:rsid w:val="2B4975FB"/>
    <w:rsid w:val="2B695031"/>
    <w:rsid w:val="2B735A8F"/>
    <w:rsid w:val="2BA7478D"/>
    <w:rsid w:val="2BB038DB"/>
    <w:rsid w:val="2BB761E0"/>
    <w:rsid w:val="2BB812F9"/>
    <w:rsid w:val="2BE35C27"/>
    <w:rsid w:val="2BFA504B"/>
    <w:rsid w:val="2BFF2BAC"/>
    <w:rsid w:val="2C681F1F"/>
    <w:rsid w:val="2C8608DC"/>
    <w:rsid w:val="2CA4764A"/>
    <w:rsid w:val="2CC42ECA"/>
    <w:rsid w:val="2CDA4349"/>
    <w:rsid w:val="2D225539"/>
    <w:rsid w:val="2D4618D2"/>
    <w:rsid w:val="2D5F021B"/>
    <w:rsid w:val="2D6E1286"/>
    <w:rsid w:val="2D70583E"/>
    <w:rsid w:val="2E0725DC"/>
    <w:rsid w:val="2E1B4BB8"/>
    <w:rsid w:val="2E256CB6"/>
    <w:rsid w:val="2E5F27E4"/>
    <w:rsid w:val="2EBD223E"/>
    <w:rsid w:val="2EC10AD1"/>
    <w:rsid w:val="2ECB6A5A"/>
    <w:rsid w:val="2EE65418"/>
    <w:rsid w:val="2EFC0112"/>
    <w:rsid w:val="2F0F6197"/>
    <w:rsid w:val="2F2B730D"/>
    <w:rsid w:val="2F9F3DC1"/>
    <w:rsid w:val="2FDD68F6"/>
    <w:rsid w:val="2FFC7AC2"/>
    <w:rsid w:val="301430AF"/>
    <w:rsid w:val="30630612"/>
    <w:rsid w:val="30746475"/>
    <w:rsid w:val="308E59B0"/>
    <w:rsid w:val="30B10568"/>
    <w:rsid w:val="30E55DD3"/>
    <w:rsid w:val="30E60399"/>
    <w:rsid w:val="31356AA5"/>
    <w:rsid w:val="313E22F0"/>
    <w:rsid w:val="31B0194C"/>
    <w:rsid w:val="31CE17D1"/>
    <w:rsid w:val="32270449"/>
    <w:rsid w:val="323E4515"/>
    <w:rsid w:val="3286389B"/>
    <w:rsid w:val="32994FDB"/>
    <w:rsid w:val="32CF5C94"/>
    <w:rsid w:val="32D337C7"/>
    <w:rsid w:val="32E200EC"/>
    <w:rsid w:val="32E5408B"/>
    <w:rsid w:val="32EB0D70"/>
    <w:rsid w:val="332824BC"/>
    <w:rsid w:val="332868BB"/>
    <w:rsid w:val="333211F3"/>
    <w:rsid w:val="33504B41"/>
    <w:rsid w:val="338B4A07"/>
    <w:rsid w:val="33944811"/>
    <w:rsid w:val="33CE0488"/>
    <w:rsid w:val="341D31EE"/>
    <w:rsid w:val="34262463"/>
    <w:rsid w:val="34296F31"/>
    <w:rsid w:val="34340A27"/>
    <w:rsid w:val="346A2989"/>
    <w:rsid w:val="348865E9"/>
    <w:rsid w:val="348F70D5"/>
    <w:rsid w:val="349D2BAD"/>
    <w:rsid w:val="34B25886"/>
    <w:rsid w:val="35277FF8"/>
    <w:rsid w:val="35763460"/>
    <w:rsid w:val="35776F72"/>
    <w:rsid w:val="35997371"/>
    <w:rsid w:val="35DD4D47"/>
    <w:rsid w:val="35FDAB06"/>
    <w:rsid w:val="360134DF"/>
    <w:rsid w:val="360B1E2F"/>
    <w:rsid w:val="360D500F"/>
    <w:rsid w:val="36330424"/>
    <w:rsid w:val="36FE3ABA"/>
    <w:rsid w:val="37072BDE"/>
    <w:rsid w:val="37455334"/>
    <w:rsid w:val="37527C32"/>
    <w:rsid w:val="376F0A96"/>
    <w:rsid w:val="37731921"/>
    <w:rsid w:val="37E509C0"/>
    <w:rsid w:val="37E570D2"/>
    <w:rsid w:val="37E96FB8"/>
    <w:rsid w:val="38222D85"/>
    <w:rsid w:val="38803721"/>
    <w:rsid w:val="38925A62"/>
    <w:rsid w:val="389F5F4F"/>
    <w:rsid w:val="38C36BA2"/>
    <w:rsid w:val="38E11CEF"/>
    <w:rsid w:val="38F6595C"/>
    <w:rsid w:val="391702A7"/>
    <w:rsid w:val="39286EB6"/>
    <w:rsid w:val="39601DF4"/>
    <w:rsid w:val="396960F3"/>
    <w:rsid w:val="39840D35"/>
    <w:rsid w:val="39A97DAF"/>
    <w:rsid w:val="39CD1330"/>
    <w:rsid w:val="39DD1AFF"/>
    <w:rsid w:val="39E921A0"/>
    <w:rsid w:val="3A2510B9"/>
    <w:rsid w:val="3A2B1DFC"/>
    <w:rsid w:val="3AA6422C"/>
    <w:rsid w:val="3AAF46D5"/>
    <w:rsid w:val="3AF562AE"/>
    <w:rsid w:val="3B135A0E"/>
    <w:rsid w:val="3B272BBC"/>
    <w:rsid w:val="3B374FEE"/>
    <w:rsid w:val="3B4410EE"/>
    <w:rsid w:val="3B56159C"/>
    <w:rsid w:val="3B596DF7"/>
    <w:rsid w:val="3B7D732B"/>
    <w:rsid w:val="3BD30423"/>
    <w:rsid w:val="3C6C0B58"/>
    <w:rsid w:val="3CBE41D5"/>
    <w:rsid w:val="3D446B0E"/>
    <w:rsid w:val="3D745844"/>
    <w:rsid w:val="3D953A6B"/>
    <w:rsid w:val="3DBB5979"/>
    <w:rsid w:val="3DD56F21"/>
    <w:rsid w:val="3DEF6699"/>
    <w:rsid w:val="3DFD4677"/>
    <w:rsid w:val="3E1057AF"/>
    <w:rsid w:val="3E6C0DFA"/>
    <w:rsid w:val="3E740322"/>
    <w:rsid w:val="3E7F4380"/>
    <w:rsid w:val="3E8D171B"/>
    <w:rsid w:val="3EA5630D"/>
    <w:rsid w:val="3EBA731B"/>
    <w:rsid w:val="3EE33949"/>
    <w:rsid w:val="3EFB5800"/>
    <w:rsid w:val="3F3B4E59"/>
    <w:rsid w:val="3F6E677C"/>
    <w:rsid w:val="3F712F46"/>
    <w:rsid w:val="3FBC0EF7"/>
    <w:rsid w:val="3FCD2AB9"/>
    <w:rsid w:val="3FCFF788"/>
    <w:rsid w:val="3FD17600"/>
    <w:rsid w:val="402E7C36"/>
    <w:rsid w:val="4050218A"/>
    <w:rsid w:val="405C7868"/>
    <w:rsid w:val="408B24EB"/>
    <w:rsid w:val="408D1DBF"/>
    <w:rsid w:val="40C652D1"/>
    <w:rsid w:val="417044B8"/>
    <w:rsid w:val="41A203A0"/>
    <w:rsid w:val="41A25D3E"/>
    <w:rsid w:val="41C77987"/>
    <w:rsid w:val="41E83F8C"/>
    <w:rsid w:val="422D1842"/>
    <w:rsid w:val="425B7C31"/>
    <w:rsid w:val="427D66D0"/>
    <w:rsid w:val="42BC7E02"/>
    <w:rsid w:val="42C82575"/>
    <w:rsid w:val="43022EE1"/>
    <w:rsid w:val="431A5F8F"/>
    <w:rsid w:val="431F247A"/>
    <w:rsid w:val="43335E8F"/>
    <w:rsid w:val="433F2968"/>
    <w:rsid w:val="43655F7F"/>
    <w:rsid w:val="43676E20"/>
    <w:rsid w:val="43A31040"/>
    <w:rsid w:val="43BF774E"/>
    <w:rsid w:val="43CD062F"/>
    <w:rsid w:val="43E214F9"/>
    <w:rsid w:val="43F06264"/>
    <w:rsid w:val="44404C8E"/>
    <w:rsid w:val="447537F1"/>
    <w:rsid w:val="44870D07"/>
    <w:rsid w:val="44D33826"/>
    <w:rsid w:val="45344EFF"/>
    <w:rsid w:val="45513D03"/>
    <w:rsid w:val="45541E1C"/>
    <w:rsid w:val="45FE7734"/>
    <w:rsid w:val="461F0A8B"/>
    <w:rsid w:val="4648721E"/>
    <w:rsid w:val="46663E71"/>
    <w:rsid w:val="466A37AC"/>
    <w:rsid w:val="468A1A00"/>
    <w:rsid w:val="46CB071B"/>
    <w:rsid w:val="46DE140B"/>
    <w:rsid w:val="46E77334"/>
    <w:rsid w:val="46F22E29"/>
    <w:rsid w:val="46F7142F"/>
    <w:rsid w:val="46FF71BF"/>
    <w:rsid w:val="47107AE3"/>
    <w:rsid w:val="473C62ED"/>
    <w:rsid w:val="47617242"/>
    <w:rsid w:val="478C16C9"/>
    <w:rsid w:val="47BD246B"/>
    <w:rsid w:val="47CB2B0C"/>
    <w:rsid w:val="47E773CE"/>
    <w:rsid w:val="47EE2C9A"/>
    <w:rsid w:val="47EE71C5"/>
    <w:rsid w:val="47F00499"/>
    <w:rsid w:val="48015FF5"/>
    <w:rsid w:val="483820D2"/>
    <w:rsid w:val="48692CD0"/>
    <w:rsid w:val="48AE3D01"/>
    <w:rsid w:val="48B96318"/>
    <w:rsid w:val="49067B2F"/>
    <w:rsid w:val="49677E31"/>
    <w:rsid w:val="496C2225"/>
    <w:rsid w:val="49A35E02"/>
    <w:rsid w:val="49AE2880"/>
    <w:rsid w:val="49F42EAF"/>
    <w:rsid w:val="4A337323"/>
    <w:rsid w:val="4A5B28DC"/>
    <w:rsid w:val="4AA06B93"/>
    <w:rsid w:val="4ADB18EB"/>
    <w:rsid w:val="4B3A6FE7"/>
    <w:rsid w:val="4B96118E"/>
    <w:rsid w:val="4BAE1B66"/>
    <w:rsid w:val="4BC806E6"/>
    <w:rsid w:val="4BED4708"/>
    <w:rsid w:val="4BF133DC"/>
    <w:rsid w:val="4C2E4987"/>
    <w:rsid w:val="4C4117A4"/>
    <w:rsid w:val="4C507D4A"/>
    <w:rsid w:val="4CB65017"/>
    <w:rsid w:val="4CDF5563"/>
    <w:rsid w:val="4CFB2214"/>
    <w:rsid w:val="4D2C4D26"/>
    <w:rsid w:val="4D335E0E"/>
    <w:rsid w:val="4D4E4EA3"/>
    <w:rsid w:val="4D9A5B1B"/>
    <w:rsid w:val="4DA55D85"/>
    <w:rsid w:val="4DBB20DB"/>
    <w:rsid w:val="4DDC3F22"/>
    <w:rsid w:val="4DE66FB2"/>
    <w:rsid w:val="4DEC6CB8"/>
    <w:rsid w:val="4E1040C7"/>
    <w:rsid w:val="4E1760BF"/>
    <w:rsid w:val="4E30647F"/>
    <w:rsid w:val="4EBA03C3"/>
    <w:rsid w:val="4EBC5459"/>
    <w:rsid w:val="4ED94CB0"/>
    <w:rsid w:val="4EEC2ED3"/>
    <w:rsid w:val="4F0E56EA"/>
    <w:rsid w:val="4F2E11BC"/>
    <w:rsid w:val="4F326DA2"/>
    <w:rsid w:val="4F3C4343"/>
    <w:rsid w:val="4F416688"/>
    <w:rsid w:val="4F53CE95"/>
    <w:rsid w:val="4F5620B0"/>
    <w:rsid w:val="4F616EB4"/>
    <w:rsid w:val="4F6654EE"/>
    <w:rsid w:val="4F7379C6"/>
    <w:rsid w:val="4F872BDB"/>
    <w:rsid w:val="4F934F18"/>
    <w:rsid w:val="4FA033E9"/>
    <w:rsid w:val="4FA743DA"/>
    <w:rsid w:val="4FB3565A"/>
    <w:rsid w:val="4FC4714D"/>
    <w:rsid w:val="503D1C79"/>
    <w:rsid w:val="5072771C"/>
    <w:rsid w:val="507A6406"/>
    <w:rsid w:val="50853863"/>
    <w:rsid w:val="508A4590"/>
    <w:rsid w:val="50966E45"/>
    <w:rsid w:val="50F1461D"/>
    <w:rsid w:val="50FE5411"/>
    <w:rsid w:val="510B072E"/>
    <w:rsid w:val="511B0BF4"/>
    <w:rsid w:val="51264306"/>
    <w:rsid w:val="514E62C9"/>
    <w:rsid w:val="516123CE"/>
    <w:rsid w:val="51932FAD"/>
    <w:rsid w:val="51B177A9"/>
    <w:rsid w:val="51E066EB"/>
    <w:rsid w:val="52640E8B"/>
    <w:rsid w:val="5267570A"/>
    <w:rsid w:val="52707792"/>
    <w:rsid w:val="52A12CDC"/>
    <w:rsid w:val="52DF0C92"/>
    <w:rsid w:val="52E1159C"/>
    <w:rsid w:val="52E34D6A"/>
    <w:rsid w:val="531A0A81"/>
    <w:rsid w:val="531E524E"/>
    <w:rsid w:val="534072EB"/>
    <w:rsid w:val="536136B8"/>
    <w:rsid w:val="537648BE"/>
    <w:rsid w:val="538E2D0B"/>
    <w:rsid w:val="53922782"/>
    <w:rsid w:val="539C1424"/>
    <w:rsid w:val="53A639C0"/>
    <w:rsid w:val="53F00A24"/>
    <w:rsid w:val="53F63DBA"/>
    <w:rsid w:val="5448624E"/>
    <w:rsid w:val="546E2B1A"/>
    <w:rsid w:val="5482555F"/>
    <w:rsid w:val="54A31DD8"/>
    <w:rsid w:val="54AA6F8B"/>
    <w:rsid w:val="54D26583"/>
    <w:rsid w:val="55363E67"/>
    <w:rsid w:val="556E6DF7"/>
    <w:rsid w:val="55965CE3"/>
    <w:rsid w:val="559D47CE"/>
    <w:rsid w:val="55BE1959"/>
    <w:rsid w:val="55C0134C"/>
    <w:rsid w:val="56232437"/>
    <w:rsid w:val="562D39F0"/>
    <w:rsid w:val="56541A75"/>
    <w:rsid w:val="568832FC"/>
    <w:rsid w:val="568C4181"/>
    <w:rsid w:val="570725A9"/>
    <w:rsid w:val="5714693E"/>
    <w:rsid w:val="571D0C9C"/>
    <w:rsid w:val="573A16CE"/>
    <w:rsid w:val="576229A0"/>
    <w:rsid w:val="579C7F80"/>
    <w:rsid w:val="57B30D7C"/>
    <w:rsid w:val="57F9AC10"/>
    <w:rsid w:val="58166B03"/>
    <w:rsid w:val="583E3C94"/>
    <w:rsid w:val="58721734"/>
    <w:rsid w:val="58900246"/>
    <w:rsid w:val="58977358"/>
    <w:rsid w:val="58D53944"/>
    <w:rsid w:val="58D65478"/>
    <w:rsid w:val="58F52487"/>
    <w:rsid w:val="590422E6"/>
    <w:rsid w:val="592257E5"/>
    <w:rsid w:val="59655E33"/>
    <w:rsid w:val="59CF5BD9"/>
    <w:rsid w:val="59E20C3C"/>
    <w:rsid w:val="5A1D5B0A"/>
    <w:rsid w:val="5A3B4B4E"/>
    <w:rsid w:val="5A4804CA"/>
    <w:rsid w:val="5A594C85"/>
    <w:rsid w:val="5A8842AA"/>
    <w:rsid w:val="5AEB1E3C"/>
    <w:rsid w:val="5B2507CA"/>
    <w:rsid w:val="5B2A474A"/>
    <w:rsid w:val="5B2D237E"/>
    <w:rsid w:val="5B830730"/>
    <w:rsid w:val="5BBB2DD6"/>
    <w:rsid w:val="5BE263B6"/>
    <w:rsid w:val="5C4315D2"/>
    <w:rsid w:val="5C8E5C5A"/>
    <w:rsid w:val="5C965E61"/>
    <w:rsid w:val="5CF0089C"/>
    <w:rsid w:val="5CF5796F"/>
    <w:rsid w:val="5D242A11"/>
    <w:rsid w:val="5D9217C2"/>
    <w:rsid w:val="5DAD06BF"/>
    <w:rsid w:val="5DC92CE9"/>
    <w:rsid w:val="5DE23CB3"/>
    <w:rsid w:val="5DE97EEC"/>
    <w:rsid w:val="5DFA5EB0"/>
    <w:rsid w:val="5E000E4D"/>
    <w:rsid w:val="5E0B583E"/>
    <w:rsid w:val="5E201A7B"/>
    <w:rsid w:val="5EA45884"/>
    <w:rsid w:val="5EBD0484"/>
    <w:rsid w:val="5F2C5C7C"/>
    <w:rsid w:val="5F36141C"/>
    <w:rsid w:val="5FC5273F"/>
    <w:rsid w:val="604F6C39"/>
    <w:rsid w:val="606B06C7"/>
    <w:rsid w:val="60806DF2"/>
    <w:rsid w:val="61072DA5"/>
    <w:rsid w:val="611C0817"/>
    <w:rsid w:val="61224A52"/>
    <w:rsid w:val="612F1F0B"/>
    <w:rsid w:val="61520CCB"/>
    <w:rsid w:val="61851A29"/>
    <w:rsid w:val="622D1522"/>
    <w:rsid w:val="622E0574"/>
    <w:rsid w:val="62683B6B"/>
    <w:rsid w:val="6275761C"/>
    <w:rsid w:val="62816E52"/>
    <w:rsid w:val="62A875F2"/>
    <w:rsid w:val="62AB7BE6"/>
    <w:rsid w:val="62AC5944"/>
    <w:rsid w:val="632F3F8A"/>
    <w:rsid w:val="63716241"/>
    <w:rsid w:val="637279B4"/>
    <w:rsid w:val="63817D2B"/>
    <w:rsid w:val="63BD1FA9"/>
    <w:rsid w:val="63CE270A"/>
    <w:rsid w:val="63D175D1"/>
    <w:rsid w:val="63D27965"/>
    <w:rsid w:val="63F4667E"/>
    <w:rsid w:val="64095516"/>
    <w:rsid w:val="641A2468"/>
    <w:rsid w:val="64372F20"/>
    <w:rsid w:val="648944D0"/>
    <w:rsid w:val="64DC72D7"/>
    <w:rsid w:val="64FA42B4"/>
    <w:rsid w:val="653619A6"/>
    <w:rsid w:val="6543D3B1"/>
    <w:rsid w:val="65610A02"/>
    <w:rsid w:val="65A11EA3"/>
    <w:rsid w:val="65A658C7"/>
    <w:rsid w:val="65AC3D66"/>
    <w:rsid w:val="65BB5334"/>
    <w:rsid w:val="65DEACA5"/>
    <w:rsid w:val="663E1DBA"/>
    <w:rsid w:val="665D0213"/>
    <w:rsid w:val="668506C7"/>
    <w:rsid w:val="669E59F1"/>
    <w:rsid w:val="66A2024B"/>
    <w:rsid w:val="6704732B"/>
    <w:rsid w:val="670F6731"/>
    <w:rsid w:val="67585CB0"/>
    <w:rsid w:val="675FDA17"/>
    <w:rsid w:val="67770F0C"/>
    <w:rsid w:val="67B03535"/>
    <w:rsid w:val="68174F69"/>
    <w:rsid w:val="682C436A"/>
    <w:rsid w:val="68382778"/>
    <w:rsid w:val="68391F41"/>
    <w:rsid w:val="68436B8C"/>
    <w:rsid w:val="68797358"/>
    <w:rsid w:val="6884624F"/>
    <w:rsid w:val="68A519DF"/>
    <w:rsid w:val="68C4160B"/>
    <w:rsid w:val="68C41C30"/>
    <w:rsid w:val="68CF3BA4"/>
    <w:rsid w:val="69257FA7"/>
    <w:rsid w:val="693F26C7"/>
    <w:rsid w:val="697E12B2"/>
    <w:rsid w:val="69C8706D"/>
    <w:rsid w:val="6A0E3FB4"/>
    <w:rsid w:val="6A292754"/>
    <w:rsid w:val="6A5E3B28"/>
    <w:rsid w:val="6A6B1EBE"/>
    <w:rsid w:val="6A8F43F7"/>
    <w:rsid w:val="6AD625F3"/>
    <w:rsid w:val="6B7218BE"/>
    <w:rsid w:val="6B750BA9"/>
    <w:rsid w:val="6BB93285"/>
    <w:rsid w:val="6BEDF527"/>
    <w:rsid w:val="6C0C698C"/>
    <w:rsid w:val="6C222401"/>
    <w:rsid w:val="6C56267F"/>
    <w:rsid w:val="6C826EF9"/>
    <w:rsid w:val="6CAE4C93"/>
    <w:rsid w:val="6CB14F16"/>
    <w:rsid w:val="6CEC2069"/>
    <w:rsid w:val="6D0B1869"/>
    <w:rsid w:val="6D65402D"/>
    <w:rsid w:val="6D683822"/>
    <w:rsid w:val="6D6F8495"/>
    <w:rsid w:val="6D8D136C"/>
    <w:rsid w:val="6DBF2759"/>
    <w:rsid w:val="6DC96F36"/>
    <w:rsid w:val="6DFA3EBF"/>
    <w:rsid w:val="6E3E63D2"/>
    <w:rsid w:val="6E5F7BE6"/>
    <w:rsid w:val="6E6918C6"/>
    <w:rsid w:val="6EEB4AC4"/>
    <w:rsid w:val="6F212DD6"/>
    <w:rsid w:val="6F3B5912"/>
    <w:rsid w:val="6FA14A81"/>
    <w:rsid w:val="6FA3261F"/>
    <w:rsid w:val="6FB44BAA"/>
    <w:rsid w:val="6FD78D8A"/>
    <w:rsid w:val="6FFDCF89"/>
    <w:rsid w:val="700D6539"/>
    <w:rsid w:val="704203E3"/>
    <w:rsid w:val="7058046B"/>
    <w:rsid w:val="70615079"/>
    <w:rsid w:val="707F2079"/>
    <w:rsid w:val="70922734"/>
    <w:rsid w:val="70CD16CB"/>
    <w:rsid w:val="70CE6DC7"/>
    <w:rsid w:val="710B3646"/>
    <w:rsid w:val="711759F2"/>
    <w:rsid w:val="713C4ED8"/>
    <w:rsid w:val="71407642"/>
    <w:rsid w:val="71641210"/>
    <w:rsid w:val="71D95B7C"/>
    <w:rsid w:val="71EA6A50"/>
    <w:rsid w:val="71FE31A8"/>
    <w:rsid w:val="720C30AE"/>
    <w:rsid w:val="721A7983"/>
    <w:rsid w:val="721F6113"/>
    <w:rsid w:val="7233782C"/>
    <w:rsid w:val="729C0443"/>
    <w:rsid w:val="72C874FF"/>
    <w:rsid w:val="73177841"/>
    <w:rsid w:val="733774FE"/>
    <w:rsid w:val="73617E1B"/>
    <w:rsid w:val="736D7653"/>
    <w:rsid w:val="738035CB"/>
    <w:rsid w:val="73852C46"/>
    <w:rsid w:val="7396335C"/>
    <w:rsid w:val="73F46595"/>
    <w:rsid w:val="74283FA2"/>
    <w:rsid w:val="742C135B"/>
    <w:rsid w:val="74463733"/>
    <w:rsid w:val="748A2F40"/>
    <w:rsid w:val="74D84FF7"/>
    <w:rsid w:val="74F85778"/>
    <w:rsid w:val="75272439"/>
    <w:rsid w:val="758F1E9B"/>
    <w:rsid w:val="75CE266B"/>
    <w:rsid w:val="75DD86E9"/>
    <w:rsid w:val="76120141"/>
    <w:rsid w:val="768216BE"/>
    <w:rsid w:val="76924256"/>
    <w:rsid w:val="76C23B43"/>
    <w:rsid w:val="76FD6F97"/>
    <w:rsid w:val="770218E8"/>
    <w:rsid w:val="770601E8"/>
    <w:rsid w:val="779469CE"/>
    <w:rsid w:val="77C875A5"/>
    <w:rsid w:val="78A27DF6"/>
    <w:rsid w:val="79285B3A"/>
    <w:rsid w:val="79490B03"/>
    <w:rsid w:val="79625CA9"/>
    <w:rsid w:val="79A91196"/>
    <w:rsid w:val="7A0B32D3"/>
    <w:rsid w:val="7AC13CD3"/>
    <w:rsid w:val="7AE10264"/>
    <w:rsid w:val="7AE4248E"/>
    <w:rsid w:val="7AF47613"/>
    <w:rsid w:val="7B4A207F"/>
    <w:rsid w:val="7B550C59"/>
    <w:rsid w:val="7B936F45"/>
    <w:rsid w:val="7BA47419"/>
    <w:rsid w:val="7BB10D45"/>
    <w:rsid w:val="7BB44151"/>
    <w:rsid w:val="7BD60FE2"/>
    <w:rsid w:val="7C656A39"/>
    <w:rsid w:val="7CB93996"/>
    <w:rsid w:val="7CBE0F99"/>
    <w:rsid w:val="7D093576"/>
    <w:rsid w:val="7D115EA6"/>
    <w:rsid w:val="7D4E45F1"/>
    <w:rsid w:val="7DFB6D82"/>
    <w:rsid w:val="7DFED4AA"/>
    <w:rsid w:val="7E1D71D1"/>
    <w:rsid w:val="7E246254"/>
    <w:rsid w:val="7E553215"/>
    <w:rsid w:val="7E6D090F"/>
    <w:rsid w:val="7ECC66B2"/>
    <w:rsid w:val="7F2914C3"/>
    <w:rsid w:val="7F5F2ED6"/>
    <w:rsid w:val="7F7BD542"/>
    <w:rsid w:val="7F7F215D"/>
    <w:rsid w:val="7FA837EF"/>
    <w:rsid w:val="7FBC9352"/>
    <w:rsid w:val="7FC36955"/>
    <w:rsid w:val="7FE903A0"/>
    <w:rsid w:val="7FF07065"/>
    <w:rsid w:val="7FF97946"/>
    <w:rsid w:val="7FFDB589"/>
    <w:rsid w:val="7FFE7888"/>
    <w:rsid w:val="7FFFB5DB"/>
    <w:rsid w:val="8E7B9B6B"/>
    <w:rsid w:val="93FA6A1A"/>
    <w:rsid w:val="9FFBFF3B"/>
    <w:rsid w:val="A3BFD1C8"/>
    <w:rsid w:val="AFFA8B1C"/>
    <w:rsid w:val="AFFFAB52"/>
    <w:rsid w:val="B73F34E5"/>
    <w:rsid w:val="B8E28D64"/>
    <w:rsid w:val="BE69651F"/>
    <w:rsid w:val="BFA54E51"/>
    <w:rsid w:val="CCFF7B1C"/>
    <w:rsid w:val="CDFC0DEF"/>
    <w:rsid w:val="D1DA7C74"/>
    <w:rsid w:val="D3E60E83"/>
    <w:rsid w:val="D6FF3621"/>
    <w:rsid w:val="D7CFA538"/>
    <w:rsid w:val="DB339274"/>
    <w:rsid w:val="DB4FE050"/>
    <w:rsid w:val="DBFEF0D2"/>
    <w:rsid w:val="DFBD6FEF"/>
    <w:rsid w:val="E2DE949D"/>
    <w:rsid w:val="E4C8A119"/>
    <w:rsid w:val="E65FD7EE"/>
    <w:rsid w:val="E7F4D2DA"/>
    <w:rsid w:val="E9EF6F43"/>
    <w:rsid w:val="EBCDB1E5"/>
    <w:rsid w:val="EBF02B0F"/>
    <w:rsid w:val="ED3F7137"/>
    <w:rsid w:val="EDCF9C55"/>
    <w:rsid w:val="EEE74D43"/>
    <w:rsid w:val="EF4FE2CE"/>
    <w:rsid w:val="EF7BA4A3"/>
    <w:rsid w:val="EF8BC03E"/>
    <w:rsid w:val="EFEFA57D"/>
    <w:rsid w:val="F3EB765C"/>
    <w:rsid w:val="F65F61B1"/>
    <w:rsid w:val="F997E54E"/>
    <w:rsid w:val="FA7BD81E"/>
    <w:rsid w:val="FAF7E9AA"/>
    <w:rsid w:val="FB4C53D1"/>
    <w:rsid w:val="FBEF8F85"/>
    <w:rsid w:val="FCF3508D"/>
    <w:rsid w:val="FCFD37B6"/>
    <w:rsid w:val="FD6FC958"/>
    <w:rsid w:val="FDF7B17C"/>
    <w:rsid w:val="FEF7CD5E"/>
    <w:rsid w:val="FFDF8F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color w:val="auto"/>
      <w:kern w:val="0"/>
      <w:sz w:val="24"/>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340" w:after="50" w:afterLines="50" w:line="578" w:lineRule="auto"/>
      <w:ind w:left="425" w:hanging="425"/>
      <w:jc w:val="left"/>
      <w:outlineLvl w:val="0"/>
    </w:pPr>
    <w:rPr>
      <w:rFonts w:ascii="Times New Roman" w:hAnsi="Times New Roman" w:eastAsia="仿宋" w:cs="Times New Roman"/>
      <w:b/>
      <w:bCs/>
      <w:kern w:val="44"/>
      <w:sz w:val="36"/>
      <w:szCs w:val="44"/>
    </w:rPr>
  </w:style>
  <w:style w:type="paragraph" w:styleId="3">
    <w:name w:val="heading 2"/>
    <w:basedOn w:val="1"/>
    <w:next w:val="1"/>
    <w:link w:val="15"/>
    <w:semiHidden/>
    <w:unhideWhenUsed/>
    <w:qFormat/>
    <w:uiPriority w:val="9"/>
    <w:pPr>
      <w:widowControl w:val="0"/>
      <w:numPr>
        <w:ilvl w:val="1"/>
        <w:numId w:val="1"/>
      </w:numPr>
      <w:spacing w:line="416" w:lineRule="auto"/>
      <w:ind w:left="567" w:hanging="567"/>
      <w:outlineLvl w:val="1"/>
    </w:pPr>
    <w:rPr>
      <w:rFonts w:ascii="Calibri Light" w:hAnsi="Calibri Light" w:eastAsia="宋体" w:cs="Times New Roman"/>
      <w:b/>
      <w:bCs/>
      <w:sz w:val="28"/>
      <w:szCs w:val="32"/>
    </w:rPr>
  </w:style>
  <w:style w:type="paragraph" w:styleId="4">
    <w:name w:val="heading 3"/>
    <w:basedOn w:val="1"/>
    <w:next w:val="1"/>
    <w:semiHidden/>
    <w:unhideWhenUsed/>
    <w:qFormat/>
    <w:uiPriority w:val="9"/>
    <w:pPr>
      <w:keepNext/>
      <w:keepLines/>
      <w:numPr>
        <w:ilvl w:val="2"/>
        <w:numId w:val="1"/>
      </w:numPr>
      <w:spacing w:before="50" w:beforeLines="50" w:after="50" w:afterLines="50" w:line="416" w:lineRule="auto"/>
      <w:outlineLvl w:val="2"/>
    </w:pPr>
    <w:rPr>
      <w:rFonts w:ascii="宋体" w:hAnsi="宋体" w:eastAsia="宋体" w:cs="宋体"/>
      <w:b/>
      <w:bCs/>
      <w:sz w:val="32"/>
    </w:rPr>
  </w:style>
  <w:style w:type="paragraph" w:styleId="5">
    <w:name w:val="heading 4"/>
    <w:basedOn w:val="1"/>
    <w:next w:val="1"/>
    <w:semiHidden/>
    <w:unhideWhenUsed/>
    <w:qFormat/>
    <w:uiPriority w:val="9"/>
    <w:pPr>
      <w:keepNext/>
      <w:keepLines/>
      <w:numPr>
        <w:ilvl w:val="3"/>
        <w:numId w:val="1"/>
      </w:numPr>
      <w:spacing w:before="120" w:after="120"/>
      <w:outlineLvl w:val="3"/>
    </w:pPr>
    <w:rPr>
      <w:rFonts w:ascii="Calibri Light" w:hAnsi="Calibri Light" w:eastAsia="宋体" w:cs="Times New Roman"/>
      <w:b/>
      <w:bCs/>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Balloon Text"/>
    <w:basedOn w:val="1"/>
    <w:link w:val="24"/>
    <w:unhideWhenUsed/>
    <w:qFormat/>
    <w:uiPriority w:val="99"/>
    <w:rPr>
      <w:rFonts w:cstheme="minorBidi"/>
      <w:kern w:val="2"/>
      <w:sz w:val="18"/>
      <w:szCs w:val="18"/>
    </w:rPr>
  </w:style>
  <w:style w:type="paragraph" w:styleId="8">
    <w:name w:val="footer"/>
    <w:basedOn w:val="1"/>
    <w:link w:val="16"/>
    <w:qFormat/>
    <w:uiPriority w:val="99"/>
    <w:pPr>
      <w:tabs>
        <w:tab w:val="center" w:pos="4153"/>
        <w:tab w:val="right" w:pos="8306"/>
      </w:tabs>
      <w:snapToGrid w:val="0"/>
      <w:jc w:val="left"/>
    </w:pPr>
    <w:rPr>
      <w:rFonts w:cstheme="minorBidi"/>
      <w:kern w:val="2"/>
      <w:sz w:val="18"/>
      <w:szCs w:val="18"/>
    </w:rPr>
  </w:style>
  <w:style w:type="paragraph" w:styleId="9">
    <w:name w:val="header"/>
    <w:basedOn w:val="1"/>
    <w:link w:val="1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rFonts w:cstheme="minorBidi"/>
      <w:kern w:val="2"/>
      <w:sz w:val="18"/>
      <w:szCs w:val="18"/>
    </w:rPr>
  </w:style>
  <w:style w:type="paragraph" w:styleId="1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2">
    <w:name w:val="Table Grid"/>
    <w:qFormat/>
    <w:uiPriority w:val="0"/>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customStyle="1" w:styleId="15">
    <w:name w:val="标题 2 Char"/>
    <w:link w:val="3"/>
    <w:qFormat/>
    <w:uiPriority w:val="0"/>
    <w:rPr>
      <w:rFonts w:ascii="Calibri Light" w:hAnsi="Calibri Light" w:eastAsia="宋体" w:cs="Times New Roman"/>
      <w:b/>
      <w:bCs/>
      <w:sz w:val="28"/>
      <w:szCs w:val="32"/>
    </w:rPr>
  </w:style>
  <w:style w:type="character" w:customStyle="1" w:styleId="16">
    <w:name w:val="页脚 Char"/>
    <w:basedOn w:val="13"/>
    <w:link w:val="8"/>
    <w:qFormat/>
    <w:uiPriority w:val="99"/>
    <w:rPr>
      <w:rFonts w:asciiTheme="minorHAnsi" w:hAnsiTheme="minorHAnsi" w:eastAsiaTheme="minorEastAsia" w:cstheme="minorBidi"/>
      <w:sz w:val="18"/>
      <w:szCs w:val="18"/>
      <w:lang w:val="en-US" w:eastAsia="zh-CN" w:bidi="ar-SA"/>
    </w:rPr>
  </w:style>
  <w:style w:type="character" w:customStyle="1" w:styleId="17">
    <w:name w:val="页眉 Char"/>
    <w:basedOn w:val="13"/>
    <w:link w:val="9"/>
    <w:qFormat/>
    <w:uiPriority w:val="0"/>
    <w:rPr>
      <w:rFonts w:asciiTheme="minorHAnsi" w:hAnsiTheme="minorHAnsi" w:eastAsiaTheme="minorEastAsia" w:cstheme="minorBidi"/>
      <w:sz w:val="18"/>
      <w:szCs w:val="18"/>
      <w:lang w:val="en-US" w:eastAsia="zh-CN" w:bidi="ar-SA"/>
    </w:rPr>
  </w:style>
  <w:style w:type="character" w:customStyle="1" w:styleId="18">
    <w:name w:val="font11"/>
    <w:basedOn w:val="13"/>
    <w:qFormat/>
    <w:uiPriority w:val="0"/>
    <w:rPr>
      <w:rFonts w:hint="eastAsia" w:ascii="宋体" w:hAnsi="宋体" w:eastAsia="宋体" w:cs="宋体"/>
      <w:color w:val="000000"/>
      <w:sz w:val="20"/>
      <w:szCs w:val="20"/>
      <w:u w:val="none"/>
      <w:lang w:val="en-US" w:eastAsia="zh-CN" w:bidi="ar-SA"/>
    </w:rPr>
  </w:style>
  <w:style w:type="character" w:customStyle="1" w:styleId="19">
    <w:name w:val="font01"/>
    <w:basedOn w:val="13"/>
    <w:qFormat/>
    <w:uiPriority w:val="0"/>
    <w:rPr>
      <w:rFonts w:hint="eastAsia" w:ascii="宋体" w:hAnsi="宋体" w:eastAsia="宋体" w:cs="宋体"/>
      <w:color w:val="000000"/>
      <w:sz w:val="22"/>
      <w:szCs w:val="22"/>
      <w:u w:val="none"/>
      <w:lang w:val="en-US" w:eastAsia="zh-CN" w:bidi="ar-SA"/>
    </w:rPr>
  </w:style>
  <w:style w:type="character" w:customStyle="1" w:styleId="20">
    <w:name w:val="font41"/>
    <w:basedOn w:val="13"/>
    <w:qFormat/>
    <w:uiPriority w:val="0"/>
    <w:rPr>
      <w:rFonts w:hint="eastAsia" w:ascii="宋体" w:hAnsi="宋体" w:eastAsia="宋体" w:cs="宋体"/>
      <w:color w:val="000000"/>
      <w:sz w:val="24"/>
      <w:szCs w:val="24"/>
      <w:u w:val="none"/>
      <w:lang w:val="en-US" w:eastAsia="zh-CN" w:bidi="ar-SA"/>
    </w:rPr>
  </w:style>
  <w:style w:type="character" w:customStyle="1" w:styleId="21">
    <w:name w:val="font3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2">
    <w:name w:val="font9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3">
    <w:name w:val="font51"/>
    <w:basedOn w:val="13"/>
    <w:qFormat/>
    <w:uiPriority w:val="0"/>
    <w:rPr>
      <w:rFonts w:hint="eastAsia" w:ascii="宋体" w:hAnsi="宋体" w:eastAsia="宋体" w:cs="宋体"/>
      <w:color w:val="000000"/>
      <w:sz w:val="24"/>
      <w:szCs w:val="24"/>
      <w:u w:val="none"/>
      <w:lang w:val="en-US" w:eastAsia="zh-CN" w:bidi="ar-SA"/>
    </w:rPr>
  </w:style>
  <w:style w:type="character" w:customStyle="1" w:styleId="24">
    <w:name w:val="批注框文本 Char"/>
    <w:basedOn w:val="13"/>
    <w:link w:val="7"/>
    <w:semiHidden/>
    <w:qFormat/>
    <w:uiPriority w:val="99"/>
    <w:rPr>
      <w:rFonts w:asciiTheme="minorHAnsi" w:hAnsiTheme="minorHAnsi" w:eastAsiaTheme="minorEastAsia" w:cstheme="minorBidi"/>
      <w:sz w:val="18"/>
      <w:szCs w:val="18"/>
      <w:lang w:val="en-US" w:eastAsia="zh-CN" w:bidi="ar-SA"/>
    </w:rPr>
  </w:style>
  <w:style w:type="character" w:customStyle="1" w:styleId="25">
    <w:name w:val="font71"/>
    <w:basedOn w:val="13"/>
    <w:qFormat/>
    <w:uiPriority w:val="0"/>
    <w:rPr>
      <w:rFonts w:ascii="Arial" w:hAnsi="Arial" w:cs="Arial"/>
      <w:color w:val="000000"/>
      <w:sz w:val="20"/>
      <w:szCs w:val="20"/>
      <w:u w:val="none"/>
    </w:rPr>
  </w:style>
  <w:style w:type="character" w:customStyle="1" w:styleId="26">
    <w:name w:val="font61"/>
    <w:basedOn w:val="13"/>
    <w:qFormat/>
    <w:uiPriority w:val="0"/>
    <w:rPr>
      <w:rFonts w:hint="eastAsia" w:ascii="宋体" w:hAnsi="宋体" w:eastAsia="宋体" w:cs="宋体"/>
      <w:color w:val="000000"/>
      <w:sz w:val="20"/>
      <w:szCs w:val="20"/>
      <w:u w:val="none"/>
    </w:rPr>
  </w:style>
  <w:style w:type="character" w:customStyle="1" w:styleId="27">
    <w:name w:val="font21"/>
    <w:basedOn w:val="13"/>
    <w:qFormat/>
    <w:uiPriority w:val="0"/>
    <w:rPr>
      <w:rFonts w:hint="eastAsia" w:ascii="宋体" w:hAnsi="宋体" w:eastAsia="宋体" w:cs="宋体"/>
      <w:color w:val="000000"/>
      <w:sz w:val="20"/>
      <w:szCs w:val="20"/>
      <w:u w:val="none"/>
    </w:rPr>
  </w:style>
  <w:style w:type="paragraph" w:customStyle="1" w:styleId="28">
    <w:name w:val="p1"/>
    <w:basedOn w:val="1"/>
    <w:qFormat/>
    <w:uiPriority w:val="0"/>
    <w:pPr>
      <w:spacing w:before="0" w:beforeAutospacing="0" w:after="0" w:afterAutospacing="0"/>
      <w:ind w:left="0" w:right="0"/>
      <w:jc w:val="left"/>
    </w:pPr>
    <w:rPr>
      <w:rFonts w:ascii="helvetica" w:hAnsi="helvetica" w:eastAsia="helvetica" w:cs="helvetica"/>
      <w:color w:val="000000"/>
      <w:kern w:val="0"/>
      <w:sz w:val="30"/>
      <w:szCs w:val="3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24</Pages>
  <Words>77</Words>
  <Characters>911</Characters>
  <Lines>86</Lines>
  <Paragraphs>24</Paragraphs>
  <TotalTime>0</TotalTime>
  <ScaleCrop>false</ScaleCrop>
  <LinksUpToDate>false</LinksUpToDate>
  <CharactersWithSpaces>913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2023-08-07T07:55:00Z</dcterms:created>
  <dc:creator>王明新TIAD</dc:creator>
  <cp:lastModifiedBy>Administrator</cp:lastModifiedBy>
  <cp:lastPrinted>2023-08-07T01:00:00Z</cp:lastPrinted>
  <dcterms:modified xsi:type="dcterms:W3CDTF">2025-09-24T08:39:45Z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4DD241A32C2A74221E599C68814E8004_43</vt:lpwstr>
  </property>
  <property fmtid="{D5CDD505-2E9C-101B-9397-08002B2CF9AE}" pid="4" name="KSOTemplateUUID">
    <vt:lpwstr>v1.0_mb_S7ajbG3IpAnL1wSthNCxfw==</vt:lpwstr>
  </property>
  <property fmtid="{D5CDD505-2E9C-101B-9397-08002B2CF9AE}" pid="5" name="KSOTemplateDocerSaveRecord">
    <vt:lpwstr>eyJoZGlkIjoiODczM2M4Y2Y4MWZjZmRiODkyNDdiNmU1ZGM2NGRkOWEiLCJ1c2VySWQiOiI1OTM0MzU5MTkifQ==</vt:lpwstr>
  </property>
</Properties>
</file>