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21" w:rsidRDefault="00415C4C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黑体" w:hint="eastAsia"/>
          <w:w w:val="95"/>
          <w:sz w:val="44"/>
          <w:szCs w:val="44"/>
        </w:rPr>
        <w:t>天津市南开区生态环境局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eastAsia="黑体" w:hint="eastAsia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年部门预算编制说明</w:t>
      </w:r>
      <w:r>
        <w:rPr>
          <w:rFonts w:eastAsia="仿宋_GB2312" w:hint="eastAsia"/>
          <w:sz w:val="32"/>
          <w:szCs w:val="32"/>
        </w:rPr>
        <w:t xml:space="preserve"> </w:t>
      </w:r>
    </w:p>
    <w:p w:rsidR="00345121" w:rsidRDefault="00415C4C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 w:rsidR="00345121" w:rsidRDefault="00415C4C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执行生态环境保护监督管理制度。（二）负责本区生态环境问题的统筹协调和监督管理。（三）负责监督管理本区减排目标落实。（四）负责环境污染防治监督管理。（五）指导协调和监督本区生态保护修复工作。（六）负责核与辐射安全监督管理。（七）负责生态环境监督工作。（八）负责应对气候变化工作。（九）负责生态环境监督执法。（十）在职责范围内做好安全生产工作。（十一）组织开展生态环境保护宣传教育工作。（十二）负责生态环境保护领域人才队伍建设。（十三）组织推动生态环境保护领域招商引资工作（十四）完成市生态环境局、区委、区政府交办的其他事项。（十五）职能转变。</w:t>
      </w:r>
    </w:p>
    <w:p w:rsidR="00345121" w:rsidRDefault="00415C4C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 w:rsidR="00345121" w:rsidRDefault="00415C4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南开区生态环境局</w:t>
      </w:r>
      <w:r>
        <w:rPr>
          <w:rFonts w:eastAsia="仿宋_GB2312"/>
          <w:sz w:val="30"/>
          <w:szCs w:val="30"/>
        </w:rPr>
        <w:t>内设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个职能</w:t>
      </w:r>
      <w:r>
        <w:rPr>
          <w:rFonts w:eastAsia="仿宋_GB2312" w:hint="eastAsia"/>
          <w:sz w:val="30"/>
          <w:szCs w:val="30"/>
        </w:rPr>
        <w:t>科</w:t>
      </w:r>
      <w:r>
        <w:rPr>
          <w:rFonts w:eastAsia="仿宋_GB2312"/>
          <w:sz w:val="30"/>
          <w:szCs w:val="30"/>
        </w:rPr>
        <w:t>室；下辖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个预算单位</w:t>
      </w:r>
      <w:r>
        <w:rPr>
          <w:rFonts w:eastAsia="仿宋_GB2312" w:hint="eastAsia"/>
          <w:sz w:val="30"/>
          <w:szCs w:val="30"/>
        </w:rPr>
        <w:t>。</w:t>
      </w:r>
    </w:p>
    <w:p w:rsidR="00345121" w:rsidRDefault="00415C4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本部门实有人员</w:t>
      </w:r>
      <w:r>
        <w:rPr>
          <w:rFonts w:eastAsia="仿宋_GB2312" w:hint="eastAsia"/>
          <w:sz w:val="30"/>
          <w:szCs w:val="30"/>
          <w:u w:val="single"/>
        </w:rPr>
        <w:t xml:space="preserve"> 96 </w:t>
      </w:r>
      <w:r>
        <w:rPr>
          <w:rFonts w:eastAsia="仿宋_GB2312" w:hint="eastAsia"/>
          <w:sz w:val="30"/>
          <w:szCs w:val="30"/>
        </w:rPr>
        <w:t>人，其中在职人员</w:t>
      </w:r>
      <w:r>
        <w:rPr>
          <w:rFonts w:eastAsia="仿宋_GB2312" w:hint="eastAsia"/>
          <w:sz w:val="30"/>
          <w:szCs w:val="30"/>
          <w:u w:val="single"/>
        </w:rPr>
        <w:t xml:space="preserve"> 68 </w:t>
      </w:r>
      <w:r>
        <w:rPr>
          <w:rFonts w:eastAsia="仿宋_GB2312" w:hint="eastAsia"/>
          <w:sz w:val="30"/>
          <w:szCs w:val="30"/>
        </w:rPr>
        <w:t>人，离休人员</w:t>
      </w:r>
      <w:r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eastAsia="仿宋_GB2312" w:hint="eastAsia"/>
          <w:sz w:val="30"/>
          <w:szCs w:val="30"/>
        </w:rPr>
        <w:t>人，退休人员</w:t>
      </w:r>
      <w:r>
        <w:rPr>
          <w:rFonts w:eastAsia="仿宋_GB2312" w:hint="eastAsia"/>
          <w:sz w:val="30"/>
          <w:szCs w:val="30"/>
          <w:u w:val="single"/>
        </w:rPr>
        <w:t xml:space="preserve"> 28 </w:t>
      </w:r>
      <w:r>
        <w:rPr>
          <w:rFonts w:eastAsia="仿宋_GB2312" w:hint="eastAsia"/>
          <w:sz w:val="30"/>
          <w:szCs w:val="30"/>
        </w:rPr>
        <w:t>人。</w:t>
      </w:r>
    </w:p>
    <w:p w:rsidR="00345121" w:rsidRDefault="00415C4C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 w:rsidR="00345121" w:rsidRDefault="00415C4C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 w:rsidR="00345121" w:rsidRDefault="00415C4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1767.87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  <w:u w:val="single"/>
        </w:rPr>
        <w:t>755.17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 w:rsidR="00691F1A">
        <w:rPr>
          <w:rFonts w:ascii="仿宋_GB2312" w:eastAsia="仿宋_GB2312" w:hAnsi="仿宋_GB2312" w:cs="仿宋_GB2312" w:hint="eastAsia"/>
          <w:sz w:val="30"/>
          <w:szCs w:val="30"/>
        </w:rPr>
        <w:t>,主要原因是人员增加</w:t>
      </w:r>
      <w:r>
        <w:rPr>
          <w:rFonts w:eastAsia="仿宋_GB2312"/>
          <w:sz w:val="30"/>
          <w:szCs w:val="30"/>
        </w:rPr>
        <w:t>。其中，本年收入合计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1767.87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755.17</w:t>
      </w:r>
      <w:r>
        <w:rPr>
          <w:rFonts w:eastAsia="仿宋_GB2312"/>
          <w:sz w:val="30"/>
          <w:szCs w:val="30"/>
        </w:rPr>
        <w:t>万元</w:t>
      </w:r>
      <w:r w:rsidR="007F221D">
        <w:rPr>
          <w:rFonts w:ascii="仿宋_GB2312" w:eastAsia="仿宋_GB2312" w:hAnsi="仿宋_GB2312" w:cs="仿宋_GB2312" w:hint="eastAsia"/>
          <w:sz w:val="30"/>
          <w:szCs w:val="30"/>
        </w:rPr>
        <w:t>,主要</w:t>
      </w:r>
      <w:r w:rsidR="007F221D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原因是人员增加</w:t>
      </w:r>
      <w:r>
        <w:rPr>
          <w:rFonts w:eastAsia="仿宋_GB2312"/>
          <w:sz w:val="30"/>
          <w:szCs w:val="30"/>
        </w:rPr>
        <w:t>，包括</w:t>
      </w:r>
      <w:r>
        <w:rPr>
          <w:rFonts w:eastAsia="仿宋_GB2312" w:hint="eastAsia"/>
          <w:sz w:val="30"/>
          <w:szCs w:val="30"/>
        </w:rPr>
        <w:t>一般公共预算拨款收入</w:t>
      </w:r>
      <w:r>
        <w:rPr>
          <w:rFonts w:eastAsia="仿宋_GB2312" w:hint="eastAsia"/>
          <w:sz w:val="30"/>
          <w:szCs w:val="30"/>
          <w:u w:val="single"/>
        </w:rPr>
        <w:t>1767.87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非同级财政拨款预算收入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万元；上年结转结余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 w:rsidR="00345121" w:rsidRDefault="00415C4C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 w:rsidR="00345121" w:rsidRDefault="00415C4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1767.87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755.17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 w:rsidR="00691F1A">
        <w:rPr>
          <w:rFonts w:ascii="仿宋_GB2312" w:eastAsia="仿宋_GB2312" w:hAnsi="仿宋_GB2312" w:cs="仿宋_GB2312" w:hint="eastAsia"/>
          <w:sz w:val="30"/>
          <w:szCs w:val="30"/>
        </w:rPr>
        <w:t>主要原因是人员增加,</w:t>
      </w:r>
      <w:r>
        <w:rPr>
          <w:rFonts w:eastAsia="仿宋_GB2312"/>
          <w:sz w:val="30"/>
          <w:szCs w:val="30"/>
        </w:rPr>
        <w:t>其中：</w:t>
      </w:r>
    </w:p>
    <w:p w:rsidR="00345121" w:rsidRDefault="00415C4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社会保障</w:t>
      </w:r>
      <w:r>
        <w:rPr>
          <w:rFonts w:eastAsia="仿宋_GB2312"/>
          <w:sz w:val="30"/>
          <w:szCs w:val="30"/>
        </w:rPr>
        <w:t>和就业支出科目支出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138.67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行政事业单位基本养老保险缴费支出</w:t>
      </w:r>
      <w:r>
        <w:rPr>
          <w:rFonts w:eastAsia="仿宋_GB2312"/>
          <w:sz w:val="30"/>
          <w:szCs w:val="30"/>
        </w:rPr>
        <w:t>；</w:t>
      </w:r>
    </w:p>
    <w:p w:rsidR="00345121" w:rsidRDefault="00415C4C">
      <w:pPr>
        <w:spacing w:line="60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卫生健康支出</w:t>
      </w:r>
      <w:r>
        <w:rPr>
          <w:rFonts w:eastAsia="仿宋_GB2312"/>
          <w:sz w:val="30"/>
          <w:szCs w:val="30"/>
        </w:rPr>
        <w:t>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73.29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行政事业单位医疗支出</w:t>
      </w:r>
      <w:r>
        <w:rPr>
          <w:rFonts w:eastAsia="仿宋_GB2312"/>
          <w:sz w:val="30"/>
          <w:szCs w:val="30"/>
          <w:u w:val="single"/>
        </w:rPr>
        <w:t xml:space="preserve"> ;</w:t>
      </w:r>
    </w:p>
    <w:p w:rsidR="00345121" w:rsidRDefault="00415C4C">
      <w:pPr>
        <w:spacing w:line="60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节能环保支出</w:t>
      </w:r>
      <w:r>
        <w:rPr>
          <w:rFonts w:eastAsia="仿宋_GB2312"/>
          <w:sz w:val="30"/>
          <w:szCs w:val="30"/>
        </w:rPr>
        <w:t>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1555.91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本部门人员经费与</w:t>
      </w:r>
      <w:r>
        <w:rPr>
          <w:rFonts w:eastAsia="仿宋_GB2312"/>
          <w:sz w:val="30"/>
          <w:szCs w:val="30"/>
          <w:u w:val="single"/>
        </w:rPr>
        <w:t>机关运行经费</w:t>
      </w:r>
      <w:r>
        <w:rPr>
          <w:rFonts w:eastAsia="仿宋_GB2312" w:hint="eastAsia"/>
          <w:sz w:val="30"/>
          <w:szCs w:val="30"/>
          <w:u w:val="single"/>
        </w:rPr>
        <w:t>。</w:t>
      </w:r>
    </w:p>
    <w:p w:rsidR="00345121" w:rsidRDefault="00415C4C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 w:rsidR="00345121" w:rsidRDefault="00415C4C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 w:rsidR="00345121" w:rsidRDefault="00415C4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年安排机关运行经费预算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185.85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</w:t>
      </w:r>
      <w:r>
        <w:rPr>
          <w:rFonts w:eastAsia="仿宋_GB2312" w:hint="eastAsia"/>
          <w:sz w:val="30"/>
          <w:szCs w:val="30"/>
        </w:rPr>
        <w:t>取暖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9.45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物业管理费</w:t>
      </w:r>
      <w:r>
        <w:rPr>
          <w:rFonts w:eastAsia="仿宋_GB2312" w:hint="eastAsia"/>
          <w:sz w:val="30"/>
          <w:szCs w:val="30"/>
          <w:u w:val="single"/>
        </w:rPr>
        <w:t xml:space="preserve"> 48.95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、公务接待费</w:t>
      </w:r>
      <w:r>
        <w:rPr>
          <w:rFonts w:eastAsia="仿宋_GB2312" w:hint="eastAsia"/>
          <w:sz w:val="30"/>
          <w:szCs w:val="30"/>
          <w:u w:val="single"/>
        </w:rPr>
        <w:t xml:space="preserve"> 0.61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、工会经费</w:t>
      </w:r>
      <w:r>
        <w:rPr>
          <w:rFonts w:eastAsia="仿宋_GB2312" w:hint="eastAsia"/>
          <w:sz w:val="30"/>
          <w:szCs w:val="30"/>
          <w:u w:val="single"/>
        </w:rPr>
        <w:t xml:space="preserve"> 6.93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/>
          <w:sz w:val="30"/>
          <w:szCs w:val="30"/>
        </w:rPr>
        <w:t>福利费</w:t>
      </w:r>
      <w:r>
        <w:rPr>
          <w:rFonts w:eastAsia="仿宋_GB2312" w:hint="eastAsia"/>
          <w:sz w:val="30"/>
          <w:szCs w:val="30"/>
          <w:u w:val="single"/>
        </w:rPr>
        <w:t xml:space="preserve"> 18.24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、公务用车运行维护费</w:t>
      </w:r>
      <w:r>
        <w:rPr>
          <w:rFonts w:eastAsia="仿宋_GB2312" w:hint="eastAsia"/>
          <w:sz w:val="30"/>
          <w:szCs w:val="30"/>
          <w:u w:val="single"/>
        </w:rPr>
        <w:t xml:space="preserve"> 8.80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/>
          <w:sz w:val="30"/>
          <w:szCs w:val="30"/>
        </w:rPr>
        <w:t>其他交通费用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29.93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、其他商品和服务支出</w:t>
      </w:r>
      <w:r>
        <w:rPr>
          <w:rFonts w:eastAsia="仿宋_GB2312" w:hint="eastAsia"/>
          <w:sz w:val="30"/>
          <w:szCs w:val="30"/>
          <w:u w:val="single"/>
        </w:rPr>
        <w:t xml:space="preserve"> 62.93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。</w:t>
      </w:r>
    </w:p>
    <w:p w:rsidR="00345121" w:rsidRDefault="0034512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45121" w:rsidRDefault="00415C4C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lastRenderedPageBreak/>
        <w:t>（二）政府采购情况</w:t>
      </w:r>
    </w:p>
    <w:p w:rsidR="00345121" w:rsidRDefault="00415C4C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48.95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48.95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：物业管理费项目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48.95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345121" w:rsidRDefault="00415C4C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345121" w:rsidRDefault="00415C4C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8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0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0 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0 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3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1 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0 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 4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监测业务用车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。单价50万元以上的通用设备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4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台（套），单价100万元以上的专用设备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3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345121" w:rsidRDefault="00415C4C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345121" w:rsidRDefault="00415C4C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22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216.48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345121" w:rsidRDefault="00415C4C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 w:rsidR="00345121" w:rsidRDefault="00415C4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345121" w:rsidRDefault="00415C4C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345121" w:rsidRDefault="00415C4C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22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政府性基金预算支出情况表为空表。</w:t>
      </w:r>
    </w:p>
    <w:p w:rsidR="00345121" w:rsidRDefault="00415C4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lastRenderedPageBreak/>
        <w:t>2.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 w:hint="eastAsia"/>
          <w:sz w:val="30"/>
          <w:szCs w:val="30"/>
        </w:rPr>
        <w:t>2022</w:t>
      </w:r>
      <w:r>
        <w:rPr>
          <w:rFonts w:eastAsia="楷体_GB2312" w:hint="eastAsia"/>
          <w:sz w:val="30"/>
          <w:szCs w:val="30"/>
        </w:rPr>
        <w:t>年国有资本经营预算财政拨款支出预算表为空表。</w:t>
      </w:r>
    </w:p>
    <w:p w:rsidR="00345121" w:rsidRDefault="00345121">
      <w:bookmarkStart w:id="0" w:name="_GoBack"/>
      <w:bookmarkEnd w:id="0"/>
    </w:p>
    <w:sectPr w:rsidR="00345121" w:rsidSect="0034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74" w:rsidRDefault="00AC3774">
      <w:pPr>
        <w:spacing w:line="240" w:lineRule="auto"/>
      </w:pPr>
      <w:r>
        <w:separator/>
      </w:r>
    </w:p>
  </w:endnote>
  <w:endnote w:type="continuationSeparator" w:id="1">
    <w:p w:rsidR="00AC3774" w:rsidRDefault="00AC3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DejaVu Math TeX Gyre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74" w:rsidRDefault="00AC3774">
      <w:pPr>
        <w:spacing w:line="240" w:lineRule="auto"/>
      </w:pPr>
      <w:r>
        <w:separator/>
      </w:r>
    </w:p>
  </w:footnote>
  <w:footnote w:type="continuationSeparator" w:id="1">
    <w:p w:rsidR="00AC3774" w:rsidRDefault="00AC37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966"/>
    <w:rsid w:val="000E0C14"/>
    <w:rsid w:val="001E52BC"/>
    <w:rsid w:val="00345121"/>
    <w:rsid w:val="00415C4C"/>
    <w:rsid w:val="004717ED"/>
    <w:rsid w:val="00511966"/>
    <w:rsid w:val="00691F1A"/>
    <w:rsid w:val="007F221D"/>
    <w:rsid w:val="00967103"/>
    <w:rsid w:val="00AC3774"/>
    <w:rsid w:val="00E01FB7"/>
    <w:rsid w:val="00F3657A"/>
    <w:rsid w:val="12765C36"/>
    <w:rsid w:val="2F5E000B"/>
    <w:rsid w:val="59CE5344"/>
    <w:rsid w:val="5DC80482"/>
    <w:rsid w:val="6A3A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21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51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45121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451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5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240</Words>
  <Characters>1368</Characters>
  <Application>Microsoft Office Word</Application>
  <DocSecurity>0</DocSecurity>
  <Lines>11</Lines>
  <Paragraphs>3</Paragraphs>
  <ScaleCrop>false</ScaleCrop>
  <Company>QPGOS.COM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dcterms:created xsi:type="dcterms:W3CDTF">2021-01-28T09:02:00Z</dcterms:created>
  <dcterms:modified xsi:type="dcterms:W3CDTF">2023-09-18T08:57:00Z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FE6F8066B0A846CEA6F27E492442F870</vt:lpwstr>
  </property>
</Properties>
</file>