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hint="eastAsia" w:ascii="华文中宋" w:hAnsi="华文中宋" w:eastAsia="华文中宋"/>
          <w:b w:val="0"/>
          <w:bCs w:val="0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</w:rPr>
        <w:t>天津市</w:t>
      </w:r>
      <w:r>
        <w:rPr>
          <w:rFonts w:hint="eastAsia" w:ascii="华文中宋" w:hAnsi="华文中宋" w:eastAsia="华文中宋"/>
          <w:b w:val="0"/>
          <w:bCs w:val="0"/>
          <w:lang w:val="en-US" w:eastAsia="zh-CN"/>
        </w:rPr>
        <w:t>南开区生态环境监测中心</w:t>
      </w:r>
    </w:p>
    <w:p>
      <w:pPr>
        <w:pStyle w:val="3"/>
        <w:spacing w:before="0" w:after="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 w:val="0"/>
          <w:bCs w:val="0"/>
        </w:rPr>
        <w:t>预决算公开工作操作规程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为进一步规范部门预决算公开工作，根据《中华人民共和国预算法》和财政部、市财政对预决算信息公开的有关要求，制定本规程。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一、公开职责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各单位是部门预决算公开的主体，负责本单位预决算公开工作，各单位应当树立依法公开观念，增强主动公开意识，切实履行主动公开责任，做好预决算公开后的说明解释工作。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二、公开时间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按照《预算法》、</w:t>
      </w:r>
      <w:r>
        <w:rPr>
          <w:rFonts w:hint="eastAsia" w:ascii="仿宋_GB2312" w:eastAsia="仿宋_GB2312"/>
          <w:sz w:val="30"/>
          <w:szCs w:val="30"/>
        </w:rPr>
        <w:t>《天津市预算审查监督条例》</w:t>
      </w:r>
      <w:r>
        <w:rPr>
          <w:rFonts w:hint="eastAsia" w:eastAsia="仿宋_GB2312"/>
          <w:sz w:val="30"/>
          <w:szCs w:val="30"/>
        </w:rPr>
        <w:t>相关规定，经</w:t>
      </w:r>
      <w:r>
        <w:rPr>
          <w:rFonts w:hint="eastAsia" w:ascii="仿宋_GB2312" w:eastAsia="仿宋_GB2312"/>
          <w:sz w:val="30"/>
          <w:szCs w:val="30"/>
        </w:rPr>
        <w:t>财政部门批复的部门预算、决算及报表，应当在批复后二十日内向社会公开；经预算主管部门批复的单位预算、决算及报表，应当在批复之日起二十日内由各单位向社会公开。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各单位必须在法律规定的时限内公开，原则上在同一天集中公开。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三、公开内容</w:t>
      </w:r>
    </w:p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部门预决算公开的内容为财政部门批复的部门预决算及报表，包括收支总体情况和财政拨款收支情况。涉及国家秘密的信息除外。</w:t>
      </w:r>
    </w:p>
    <w:p>
      <w:pPr>
        <w:spacing w:line="560" w:lineRule="exact"/>
        <w:ind w:firstLine="567" w:firstLineChars="18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般公共预算支出情况表公开到功能分类项级科目。一般公共预算基本支出表公开到经济性质分类款级科目。一般公共预算“三公”经费支出表按“因公出国（境）费”、“公务用车购置及运行费”、“公务接待费”公开，其中，“公务用车购置及运行费”应细化到“公务用车购置费”、“公务用车运行费”两个项目。</w:t>
      </w:r>
    </w:p>
    <w:p>
      <w:pPr>
        <w:spacing w:line="560" w:lineRule="exact"/>
        <w:ind w:firstLine="567" w:firstLineChars="18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公开部门预决算时，应当一并公开本部门职责、机构设置情况、预决算收支增减变化、机关运行经费安排、政府采购、预算绩效以及国有资产占用等情况的说明，并对专业性较强的名词进行解释。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四、公开形式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各单位应当通过本单位门户网站向社会公开部门预决算</w:t>
      </w:r>
      <w:r>
        <w:rPr>
          <w:rFonts w:hint="eastAsia" w:ascii="仿宋_GB2312" w:eastAsia="仿宋_GB2312"/>
          <w:sz w:val="30"/>
          <w:szCs w:val="30"/>
        </w:rPr>
        <w:t>及“三公”经费预决算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，并永久保留；各部门设立本部门预决算公开专栏，汇总集中公开所属单位预决算信息。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五、涉密事项管理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各单位应当建立健全预决算公开保密审查机制，严格按照《中华人民共和国保守国家秘密法》、《中华人民共和国政府信息公开条例》等法律法规规定进行审查。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各单位在依法公开部门预决算时，对涉及国家秘密的内容不予公开。部分内容涉及国家秘密的，在确保安全的前提下，按照下列原则处理：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（一）同一功能分类款级科目下，大部分项级科目涉密的，仅公开到该款级科目；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（二）同一功能分类类级科目下，大部分款级科目涉密的，仅公开到该类级科目；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（三）个别功能分类款级科目或项级科目涉密的，除不公开该涉密科目外，同一级次的“其他支出”科目也不公开。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18DF"/>
    <w:rsid w:val="21161C4E"/>
    <w:rsid w:val="5E3F18DF"/>
    <w:rsid w:val="64C17A74"/>
    <w:rsid w:val="6C2415A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480"/>
      <w:ind w:firstLine="0" w:firstLineChars="0"/>
      <w:jc w:val="center"/>
      <w:outlineLvl w:val="0"/>
    </w:pPr>
    <w:rPr>
      <w:rFonts w:eastAsia="黑体"/>
      <w:b/>
      <w:bCs/>
      <w:kern w:val="0"/>
      <w:sz w:val="36"/>
      <w:szCs w:val="32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2020-08-14T10:27:00Z</dcterms:created>
  <dc:creator>Administrator</dc:creator>
  <cp:lastModifiedBy>Administrator</cp:lastModifiedBy>
  <dcterms:modified xsi:type="dcterms:W3CDTF">2021-09-15T11:03:02Z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  <property fmtid="{D5CDD505-2E9C-101B-9397-08002B2CF9AE}" pid="3" name="ICV">
    <vt:lpwstr>4716BB46E2F14E2A82921A91A065C685</vt:lpwstr>
  </property>
</Properties>
</file>