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rPr>
          <w:rFonts w:hint="eastAsia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部门预算公开目录</w:t>
      </w:r>
    </w:p>
    <w:p>
      <w:pPr>
        <w:snapToGrid w:val="0"/>
        <w:rPr>
          <w:rFonts w:hint="eastAsia" w:eastAsia="仿宋_GB2312"/>
          <w:sz w:val="32"/>
          <w:szCs w:val="32"/>
        </w:rPr>
      </w:pPr>
    </w:p>
    <w:p>
      <w:pPr>
        <w:snapToGrid w:val="0"/>
        <w:rPr>
          <w:rFonts w:hint="eastAsia" w:eastAsia="仿宋_GB2312"/>
          <w:sz w:val="32"/>
          <w:szCs w:val="32"/>
        </w:rPr>
      </w:pPr>
    </w:p>
    <w:p>
      <w:pPr>
        <w:snapToGrid w:val="0"/>
        <w:rPr>
          <w:rFonts w:ascii="仿宋_GB2312" w:eastAsia="仿宋_GB2312"/>
          <w:sz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2021年部门收支总体情况表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2021年部门收入总体情况表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2021年部门支出总体情况表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2021年财政拨款收支总体情况表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hint="eastAsia" w:eastAsia="仿宋_GB2312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年政府性基金预算支出情况表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年一般公共预算“三公”经费</w:t>
      </w:r>
      <w:r>
        <w:rPr>
          <w:rFonts w:hint="eastAsia" w:eastAsia="仿宋_GB2312"/>
          <w:sz w:val="32"/>
          <w:szCs w:val="32"/>
        </w:rPr>
        <w:t>支出情况说明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 2021年一般公共预算“三公”经费支出情况表</w:t>
      </w:r>
    </w:p>
    <w:p>
      <w:pPr>
        <w:snapToGrid w:val="0"/>
        <w:spacing w:line="60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 xml:space="preserve"> 2021</w:t>
      </w:r>
      <w:r>
        <w:rPr>
          <w:rFonts w:hint="eastAsia" w:eastAsia="仿宋_GB2312"/>
          <w:color w:val="000000"/>
          <w:sz w:val="32"/>
          <w:szCs w:val="32"/>
        </w:rPr>
        <w:t>年项目支出表</w:t>
      </w:r>
    </w:p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erif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5B"/>
    <w:rsid w:val="00210A5B"/>
    <w:rsid w:val="006418C7"/>
    <w:rsid w:val="00A44B19"/>
    <w:rsid w:val="00E05941"/>
    <w:rsid w:val="FFF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2022-08-30T17:00:00Z</dcterms:created>
  <dc:creator>王宇娜</dc:creator>
  <cp:lastModifiedBy>user</cp:lastModifiedBy>
  <cp:lastPrinted>2022-08-30T11:49:00Z</cp:lastPrinted>
  <dcterms:modified xsi:type="dcterms:W3CDTF">2022-08-30T18:11:36Z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