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  <w:lang w:eastAsia="zh-CN"/>
        </w:rPr>
      </w:pPr>
      <w:r>
        <w:rPr>
          <w:rFonts w:hint="eastAsia" w:eastAsia="黑体"/>
          <w:w w:val="95"/>
          <w:sz w:val="44"/>
          <w:szCs w:val="44"/>
        </w:rPr>
        <w:t>天津市南开区生态环境</w:t>
      </w:r>
      <w:r>
        <w:rPr>
          <w:rFonts w:hint="eastAsia" w:eastAsia="黑体"/>
          <w:w w:val="95"/>
          <w:sz w:val="44"/>
          <w:szCs w:val="44"/>
          <w:lang w:eastAsia="zh-CN"/>
        </w:rPr>
        <w:t>监测中心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承担区生态环境监测工作；承担区机动车排气污染防治的相关检测工作；承担辖区内突发性环境污染事故调查、处理的事务性工作。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南开区</w:t>
      </w:r>
      <w:r>
        <w:rPr>
          <w:rFonts w:hint="eastAsia" w:eastAsia="仿宋_GB2312"/>
          <w:sz w:val="30"/>
          <w:szCs w:val="30"/>
          <w:lang w:eastAsia="zh-CN"/>
        </w:rPr>
        <w:t>生态</w:t>
      </w:r>
      <w:r>
        <w:rPr>
          <w:rFonts w:hint="eastAsia" w:eastAsia="仿宋_GB2312"/>
          <w:sz w:val="30"/>
          <w:szCs w:val="30"/>
        </w:rPr>
        <w:t>环境监测中心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0  </w:t>
      </w:r>
      <w:r>
        <w:rPr>
          <w:rFonts w:eastAsia="仿宋_GB2312"/>
          <w:sz w:val="30"/>
          <w:szCs w:val="30"/>
        </w:rPr>
        <w:t>个职能</w:t>
      </w:r>
      <w:r>
        <w:rPr>
          <w:rFonts w:hint="eastAsia" w:eastAsia="仿宋_GB2312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0  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本部门实有人员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47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人，其中在职人员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30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人，离休人员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人，退休人员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17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人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650.88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8.99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650.88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8.99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一般公共预算拨款收入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650.88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650.88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8.99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社会保障</w:t>
      </w:r>
      <w:r>
        <w:rPr>
          <w:rFonts w:eastAsia="仿宋_GB2312"/>
          <w:sz w:val="30"/>
          <w:szCs w:val="30"/>
        </w:rPr>
        <w:t>和就业支出科目支出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62.28</w:t>
      </w:r>
      <w:bookmarkStart w:id="0" w:name="_GoBack"/>
      <w:bookmarkEnd w:id="0"/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行政事业单位基本养老保险缴费支出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卫生健康支出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27.25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行政事业单位医疗支出</w:t>
      </w:r>
      <w:r>
        <w:rPr>
          <w:rFonts w:eastAsia="仿宋_GB2312"/>
          <w:sz w:val="30"/>
          <w:szCs w:val="30"/>
          <w:u w:val="single"/>
        </w:rPr>
        <w:t xml:space="preserve"> ;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节能环保支出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561.35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本部门人员及</w:t>
      </w:r>
      <w:r>
        <w:rPr>
          <w:rFonts w:eastAsia="仿宋_GB2312"/>
          <w:sz w:val="30"/>
          <w:szCs w:val="30"/>
          <w:u w:val="single"/>
        </w:rPr>
        <w:t>公用经费</w:t>
      </w:r>
      <w:r>
        <w:rPr>
          <w:rFonts w:hint="eastAsia" w:eastAsia="仿宋_GB2312"/>
          <w:sz w:val="30"/>
          <w:szCs w:val="30"/>
          <w:u w:val="single"/>
        </w:rPr>
        <w:t>。</w:t>
      </w:r>
    </w:p>
    <w:p>
      <w:pPr>
        <w:spacing w:line="60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本部门202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年未安排机关运行经费预算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hint="eastAsia" w:eastAsia="仿宋_GB2312" w:cs="Times New Roman"/>
          <w:sz w:val="30"/>
          <w:szCs w:val="30"/>
          <w:lang w:eastAsia="zh-CN"/>
        </w:rPr>
      </w:pPr>
      <w:r>
        <w:rPr>
          <w:rFonts w:hint="eastAsia" w:eastAsia="仿宋_GB2312" w:cs="Times New Roman"/>
          <w:sz w:val="30"/>
          <w:szCs w:val="30"/>
        </w:rPr>
        <w:t>本部门2021年未安排政府采购预算</w:t>
      </w:r>
      <w:r>
        <w:rPr>
          <w:rFonts w:hint="eastAsia" w:eastAsia="仿宋_GB2312" w:cs="Times New Roman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监测业务用车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.本部门2021年政府性基金预算支出情况表为空表。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.本部门2021年项目支出明细表为空表。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966"/>
    <w:rsid w:val="001E52BC"/>
    <w:rsid w:val="00511966"/>
    <w:rsid w:val="04407E5F"/>
    <w:rsid w:val="0FBE188F"/>
    <w:rsid w:val="164D12C0"/>
    <w:rsid w:val="170D7F2F"/>
    <w:rsid w:val="1EB4689D"/>
    <w:rsid w:val="35491A12"/>
    <w:rsid w:val="3D517074"/>
    <w:rsid w:val="5C8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4</Pages>
  <Words>244</Words>
  <Characters>1391</Characters>
  <Lines>11</Lines>
  <Paragraphs>3</Paragraphs>
  <TotalTime>3</TotalTime>
  <ScaleCrop>false</ScaleCrop>
  <LinksUpToDate>false</LinksUpToDate>
  <CharactersWithSpaces>1632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2021-01-28T09:02:00Z</dcterms:created>
  <dc:creator>Administrator</dc:creator>
  <cp:lastModifiedBy>dell</cp:lastModifiedBy>
  <dcterms:modified xsi:type="dcterms:W3CDTF">2021-02-18T07:30:05Z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