
<file path=[Content_Types].xml><?xml version="1.0" encoding="utf-8"?>
<Types xmlns="http://schemas.openxmlformats.org/package/2006/content-types">
  <Default ContentType="application/vnd.openxmlformats-package.relationships+xml" Extension="rels"/>
  <Default ContentType="application/xml" Extension="xml"/>
  <Override ContentType="application/xml" PartName="/customXml/item1.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 Id="rId4" Target="docProps/custom.xml" Type="http://schemas.openxmlformats.org/officeDocument/2006/relationships/custom-properties"/></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18.7 -->
  <w:body>
    <w:p>
      <w:pPr>
        <w:jc w:val="center"/>
        <w:rPr>
          <w:rFonts w:ascii="宋体" w:cs="宋体" w:hAnsi="宋体"/>
          <w:b/>
          <w:bCs/>
          <w:sz w:val="52"/>
          <w:szCs w:val="52"/>
        </w:rPr>
      </w:pPr>
      <w:bookmarkStart w:id="0" w:name="_Toc390680642"/>
    </w:p>
    <w:p>
      <w:pPr>
        <w:jc w:val="center"/>
        <w:rPr>
          <w:rFonts w:ascii="宋体" w:cs="宋体" w:hAnsi="宋体"/>
          <w:b/>
          <w:bCs/>
          <w:sz w:val="52"/>
          <w:szCs w:val="52"/>
        </w:rPr>
      </w:pPr>
    </w:p>
    <w:p>
      <w:pPr>
        <w:jc w:val="center"/>
        <w:rPr>
          <w:rFonts w:ascii="宋体" w:cs="宋体" w:hAnsi="宋体"/>
          <w:b/>
          <w:bCs/>
          <w:sz w:val="52"/>
          <w:szCs w:val="52"/>
        </w:rPr>
      </w:pPr>
    </w:p>
    <w:p>
      <w:pPr>
        <w:spacing w:line="360" w:lineRule="auto"/>
        <w:jc w:val="center"/>
        <w:rPr>
          <w:rFonts w:ascii="仿宋" w:eastAsia="仿宋" w:hAnsi="仿宋"/>
          <w:b/>
          <w:color w:val="000000"/>
          <w:sz w:val="44"/>
          <w:szCs w:val="44"/>
        </w:rPr>
      </w:pPr>
      <w:r>
        <w:rPr>
          <w:rFonts w:ascii="仿宋" w:eastAsia="仿宋" w:hAnsi="仿宋" w:hint="eastAsia"/>
          <w:b/>
          <w:color w:val="000000"/>
          <w:sz w:val="44"/>
          <w:szCs w:val="44"/>
        </w:rPr>
        <w:t>南开区部门整体支出绩效自评报告</w:t>
      </w:r>
      <w:bookmarkEnd w:id="0"/>
    </w:p>
    <w:p>
      <w:pPr>
        <w:snapToGrid w:val="0"/>
        <w:spacing w:line="360" w:lineRule="auto"/>
        <w:jc w:val="center"/>
        <w:rPr>
          <w:rFonts w:ascii="仿宋" w:eastAsia="仿宋" w:hAnsi="仿宋"/>
          <w:color w:val="000000"/>
          <w:sz w:val="44"/>
          <w:szCs w:val="44"/>
        </w:rPr>
      </w:pPr>
      <w:r>
        <w:rPr>
          <w:rFonts w:ascii="仿宋" w:eastAsia="仿宋" w:hAnsi="仿宋" w:hint="eastAsia"/>
          <w:color w:val="000000"/>
          <w:sz w:val="44"/>
          <w:szCs w:val="44"/>
        </w:rPr>
        <w:t>（</w:t>
      </w:r>
      <w:r>
        <w:rPr>
          <w:rFonts w:ascii="仿宋" w:eastAsia="仿宋" w:hAnsi="仿宋"/>
          <w:color w:val="000000"/>
          <w:sz w:val="44"/>
          <w:szCs w:val="44"/>
        </w:rPr>
        <w:t>2019年</w:t>
      </w:r>
      <w:r>
        <w:rPr>
          <w:rFonts w:ascii="仿宋" w:eastAsia="仿宋" w:hAnsi="仿宋" w:hint="eastAsia"/>
          <w:color w:val="000000"/>
          <w:sz w:val="44"/>
          <w:szCs w:val="44"/>
        </w:rPr>
        <w:t/>
      </w:r>
      <w:r>
        <w:rPr>
          <w:rFonts w:ascii="仿宋" w:eastAsia="仿宋" w:hAnsi="仿宋"/>
          <w:color w:val="000000"/>
          <w:sz w:val="44"/>
          <w:szCs w:val="44"/>
        </w:rPr>
        <w:t/>
      </w:r>
      <w:r>
        <w:rPr>
          <w:rFonts w:ascii="仿宋" w:eastAsia="仿宋" w:hAnsi="仿宋" w:hint="eastAsia"/>
          <w:color w:val="000000"/>
          <w:sz w:val="44"/>
          <w:szCs w:val="44"/>
        </w:rPr>
        <w:t>年度）</w:t>
      </w:r>
    </w:p>
    <w:p>
      <w:pPr>
        <w:snapToGrid w:val="0"/>
        <w:spacing w:line="360" w:lineRule="auto"/>
        <w:ind w:firstLine="600"/>
        <w:jc w:val="center"/>
        <w:rPr>
          <w:rFonts w:ascii="仿宋_GB2312"/>
          <w:sz w:val="30"/>
        </w:rPr>
      </w:pPr>
    </w:p>
    <w:p>
      <w:pPr>
        <w:snapToGrid w:val="0"/>
        <w:spacing w:line="360" w:lineRule="auto"/>
        <w:ind w:firstLine="600"/>
        <w:jc w:val="center"/>
        <w:rPr>
          <w:rFonts w:ascii="仿宋_GB2312"/>
          <w:sz w:val="30"/>
        </w:rPr>
      </w:pPr>
    </w:p>
    <w:p>
      <w:pPr>
        <w:snapToGrid w:val="0"/>
        <w:spacing w:line="360" w:lineRule="auto"/>
        <w:ind w:firstLine="600"/>
        <w:jc w:val="center"/>
        <w:rPr>
          <w:rFonts w:ascii="仿宋_GB2312"/>
          <w:sz w:val="30"/>
        </w:rPr>
      </w:pPr>
    </w:p>
    <w:p>
      <w:pPr>
        <w:snapToGrid w:val="0"/>
        <w:spacing w:line="360" w:lineRule="auto"/>
        <w:ind w:firstLine="600"/>
        <w:jc w:val="center"/>
        <w:rPr>
          <w:rFonts w:ascii="仿宋_GB2312"/>
          <w:sz w:val="30"/>
        </w:rPr>
      </w:pPr>
    </w:p>
    <w:p>
      <w:pPr>
        <w:snapToGrid w:val="0"/>
        <w:spacing w:line="360" w:lineRule="auto"/>
        <w:jc w:val="both"/>
        <w:rPr>
          <w:rFonts w:ascii="仿宋_GB2312"/>
          <w:sz w:val="30"/>
        </w:rPr>
      </w:pPr>
    </w:p>
    <w:p>
      <w:pPr>
        <w:snapToGrid w:val="0"/>
        <w:spacing w:line="360" w:lineRule="auto"/>
        <w:rPr>
          <w:rFonts w:ascii="仿宋" w:cs="宋体" w:eastAsia="仿宋" w:hAnsi="仿宋"/>
          <w:sz w:val="32"/>
          <w:szCs w:val="32"/>
        </w:rPr>
      </w:pPr>
    </w:p>
    <w:p>
      <w:pPr>
        <w:snapToGrid w:val="0"/>
        <w:spacing w:line="360" w:lineRule="auto"/>
        <w:ind w:firstLine="848" w:firstLineChars="265"/>
        <w:rPr>
          <w:rFonts w:ascii="仿宋" w:cs="宋体" w:eastAsia="仿宋" w:hAnsi="仿宋"/>
          <w:b/>
          <w:sz w:val="32"/>
          <w:szCs w:val="32"/>
          <w:u w:val="single"/>
        </w:rPr>
      </w:pPr>
      <w:r>
        <w:rPr>
          <w:rFonts w:ascii="仿宋" w:cs="宋体" w:eastAsia="仿宋" w:hAnsi="仿宋" w:hint="eastAsia"/>
          <w:b/>
          <w:sz w:val="32"/>
          <w:szCs w:val="32"/>
        </w:rPr>
        <w:t xml:space="preserve">部 门 名 称   </w:t>
      </w:r>
      <w:r>
        <w:rPr>
          <w:rFonts w:ascii="仿宋" w:cs="宋体" w:eastAsia="仿宋" w:hAnsi="仿宋" w:hint="eastAsia"/>
          <w:b/>
          <w:sz w:val="32"/>
          <w:szCs w:val="32"/>
          <w:u w:val="single"/>
        </w:rPr>
        <w:t xml:space="preserve">  </w:t>
      </w:r>
      <w:r>
        <w:rPr>
          <w:rFonts w:ascii="仿宋" w:cs="宋体" w:eastAsia="仿宋" w:hAnsi="仿宋"/>
          <w:b/>
          <w:sz w:val="32"/>
          <w:szCs w:val="32"/>
          <w:u w:val="single"/>
        </w:rPr>
        <w:t>天津市南开区环境监测中心</w:t>
      </w:r>
      <w:r>
        <w:rPr>
          <w:rFonts w:ascii="仿宋" w:cs="宋体" w:eastAsia="仿宋" w:hAnsi="仿宋" w:hint="eastAsia"/>
          <w:b/>
          <w:sz w:val="32"/>
          <w:szCs w:val="32"/>
          <w:u w:val="single"/>
        </w:rPr>
        <w:t/>
      </w:r>
      <w:r>
        <w:rPr>
          <w:rFonts w:ascii="仿宋" w:cs="宋体" w:eastAsia="仿宋" w:hAnsi="仿宋"/>
          <w:b/>
          <w:sz w:val="32"/>
          <w:szCs w:val="32"/>
          <w:u w:val="single"/>
        </w:rPr>
        <w:t/>
      </w:r>
      <w:r>
        <w:rPr>
          <w:rFonts w:ascii="仿宋" w:cs="宋体" w:eastAsia="仿宋" w:hAnsi="仿宋" w:hint="eastAsia"/>
          <w:b/>
          <w:sz w:val="32"/>
          <w:szCs w:val="32"/>
          <w:u w:val="single"/>
        </w:rPr>
        <w:t xml:space="preserve">  </w:t>
      </w:r>
    </w:p>
    <w:p>
      <w:pPr>
        <w:jc w:val="center"/>
        <w:rPr>
          <w:rFonts w:ascii="仿宋_GB2312" w:cs="宋体" w:hAnsi="宋体"/>
          <w:sz w:val="32"/>
          <w:szCs w:val="32"/>
        </w:rPr>
      </w:pPr>
    </w:p>
    <w:p>
      <w:pPr>
        <w:jc w:val="center"/>
        <w:rPr>
          <w:rFonts w:ascii="黑体" w:eastAsia="黑体"/>
          <w:sz w:val="36"/>
          <w:szCs w:val="36"/>
        </w:rPr>
      </w:pPr>
    </w:p>
    <w:p>
      <w:pPr>
        <w:jc w:val="center"/>
        <w:rPr>
          <w:rFonts w:ascii="仿宋" w:cs="黑体" w:eastAsia="仿宋" w:hAnsi="仿宋"/>
          <w:sz w:val="36"/>
          <w:szCs w:val="36"/>
        </w:rPr>
      </w:pPr>
    </w:p>
    <w:p>
      <w:pPr>
        <w:jc w:val="center"/>
        <w:rPr>
          <w:rFonts w:ascii="仿宋" w:eastAsia="仿宋" w:hAnsi="仿宋"/>
          <w:color w:val="000000"/>
          <w:sz w:val="24"/>
        </w:rPr>
      </w:pPr>
      <w:r>
        <w:rPr>
          <w:rFonts w:ascii="仿宋" w:eastAsia="仿宋" w:hAnsi="仿宋" w:hint="eastAsia"/>
          <w:color w:val="000000"/>
          <w:sz w:val="24"/>
        </w:rPr>
        <w:t>填报日期：</w:t>
      </w:r>
      <w:r>
        <w:rPr>
          <w:rFonts w:ascii="仿宋" w:eastAsia="仿宋" w:hAnsi="仿宋" w:hint="eastAsia"/>
          <w:color w:val="000000"/>
          <w:sz w:val="24"/>
          <w:u w:val="single"/>
        </w:rPr>
        <w:t xml:space="preserve"> </w:t>
      </w:r>
      <w:r>
        <w:rPr>
          <w:rFonts w:ascii="仿宋" w:eastAsia="仿宋" w:hAnsi="仿宋"/>
          <w:color w:val="000000"/>
          <w:sz w:val="24"/>
          <w:u w:val="single"/>
        </w:rPr>
        <w:t>2020</w:t>
      </w:r>
      <w:r>
        <w:rPr>
          <w:rFonts w:ascii="仿宋" w:eastAsia="仿宋" w:hAnsi="仿宋" w:hint="eastAsia"/>
          <w:color w:val="000000"/>
          <w:sz w:val="24"/>
          <w:u w:val="single"/>
        </w:rPr>
        <w:t/>
      </w:r>
      <w:r>
        <w:rPr>
          <w:rFonts w:ascii="仿宋" w:eastAsia="仿宋" w:hAnsi="仿宋"/>
          <w:color w:val="000000"/>
          <w:sz w:val="24"/>
          <w:u w:val="single"/>
        </w:rPr>
        <w:t/>
      </w:r>
      <w:r>
        <w:rPr>
          <w:rFonts w:ascii="仿宋" w:eastAsia="仿宋" w:hAnsi="仿宋" w:hint="eastAsia"/>
          <w:color w:val="000000"/>
          <w:sz w:val="24"/>
          <w:u w:val="single"/>
        </w:rPr>
        <w:t/>
      </w:r>
      <w:r>
        <w:rPr>
          <w:rFonts w:ascii="仿宋" w:eastAsia="仿宋" w:hAnsi="仿宋"/>
          <w:color w:val="000000"/>
          <w:sz w:val="24"/>
          <w:u w:val="single"/>
        </w:rPr>
        <w:t/>
      </w:r>
      <w:r>
        <w:rPr>
          <w:rFonts w:ascii="仿宋" w:eastAsia="仿宋" w:hAnsi="仿宋" w:hint="eastAsia"/>
          <w:color w:val="000000"/>
          <w:sz w:val="24"/>
          <w:u w:val="single"/>
        </w:rPr>
        <w:t xml:space="preserve"> </w:t>
      </w:r>
      <w:r>
        <w:rPr>
          <w:rFonts w:ascii="仿宋" w:eastAsia="仿宋" w:hAnsi="仿宋" w:hint="eastAsia"/>
          <w:color w:val="000000"/>
          <w:sz w:val="24"/>
        </w:rPr>
        <w:t xml:space="preserve">年 </w:t>
      </w:r>
      <w:r>
        <w:rPr>
          <w:rFonts w:ascii="仿宋" w:eastAsia="仿宋" w:hAnsi="仿宋" w:hint="eastAsia"/>
          <w:color w:val="000000"/>
          <w:sz w:val="24"/>
          <w:u w:val="single"/>
        </w:rPr>
        <w:t xml:space="preserve"> </w:t>
      </w:r>
      <w:r>
        <w:rPr>
          <w:rFonts w:ascii="仿宋" w:eastAsia="仿宋" w:hAnsi="仿宋"/>
          <w:color w:val="000000"/>
          <w:sz w:val="24"/>
          <w:u w:val="single"/>
        </w:rPr>
        <w:t>09</w:t>
      </w:r>
      <w:r>
        <w:rPr>
          <w:rFonts w:ascii="仿宋" w:eastAsia="仿宋" w:hAnsi="仿宋" w:hint="eastAsia"/>
          <w:color w:val="000000"/>
          <w:sz w:val="24"/>
          <w:u w:val="single"/>
        </w:rPr>
        <w:t/>
      </w:r>
      <w:r>
        <w:rPr>
          <w:rFonts w:ascii="仿宋" w:eastAsia="仿宋" w:hAnsi="仿宋"/>
          <w:color w:val="000000"/>
          <w:sz w:val="24"/>
          <w:u w:val="single"/>
        </w:rPr>
        <w:t/>
      </w:r>
      <w:r>
        <w:rPr>
          <w:rFonts w:ascii="仿宋" w:eastAsia="仿宋" w:hAnsi="仿宋" w:hint="eastAsia"/>
          <w:color w:val="000000"/>
          <w:sz w:val="24"/>
          <w:u w:val="single"/>
        </w:rPr>
        <w:t/>
      </w:r>
      <w:r>
        <w:rPr>
          <w:rFonts w:ascii="仿宋" w:eastAsia="仿宋" w:hAnsi="仿宋"/>
          <w:color w:val="000000"/>
          <w:sz w:val="24"/>
          <w:u w:val="single"/>
        </w:rPr>
        <w:t/>
      </w:r>
      <w:r>
        <w:rPr>
          <w:rFonts w:ascii="仿宋" w:eastAsia="仿宋" w:hAnsi="仿宋" w:hint="eastAsia"/>
          <w:color w:val="000000"/>
          <w:sz w:val="24"/>
          <w:u w:val="single"/>
        </w:rPr>
        <w:t xml:space="preserve"> </w:t>
      </w:r>
      <w:r>
        <w:rPr>
          <w:rFonts w:ascii="仿宋" w:eastAsia="仿宋" w:hAnsi="仿宋" w:hint="eastAsia"/>
          <w:color w:val="000000"/>
          <w:sz w:val="24"/>
        </w:rPr>
        <w:t xml:space="preserve"> 月 </w:t>
      </w:r>
      <w:r>
        <w:rPr>
          <w:rFonts w:ascii="仿宋" w:eastAsia="仿宋" w:hAnsi="仿宋" w:hint="eastAsia"/>
          <w:color w:val="000000"/>
          <w:sz w:val="24"/>
          <w:u w:val="single"/>
        </w:rPr>
        <w:t xml:space="preserve"> </w:t>
      </w:r>
      <w:r>
        <w:rPr>
          <w:rFonts w:ascii="仿宋" w:eastAsia="仿宋" w:hAnsi="仿宋"/>
          <w:color w:val="000000"/>
          <w:sz w:val="24"/>
          <w:u w:val="single"/>
        </w:rPr>
        <w:t>24</w:t>
      </w:r>
      <w:r>
        <w:rPr>
          <w:rFonts w:ascii="仿宋" w:eastAsia="仿宋" w:hAnsi="仿宋" w:hint="eastAsia"/>
          <w:color w:val="000000"/>
          <w:sz w:val="24"/>
          <w:u w:val="single"/>
        </w:rPr>
        <w:t/>
      </w:r>
      <w:r>
        <w:rPr>
          <w:rFonts w:ascii="仿宋" w:eastAsia="仿宋" w:hAnsi="仿宋"/>
          <w:color w:val="000000"/>
          <w:sz w:val="24"/>
          <w:u w:val="single"/>
        </w:rPr>
        <w:t/>
      </w:r>
      <w:r>
        <w:rPr>
          <w:rFonts w:ascii="仿宋" w:eastAsia="仿宋" w:hAnsi="仿宋" w:hint="eastAsia"/>
          <w:color w:val="000000"/>
          <w:sz w:val="24"/>
          <w:u w:val="single"/>
        </w:rPr>
        <w:t/>
      </w:r>
      <w:r>
        <w:rPr>
          <w:rFonts w:ascii="仿宋" w:eastAsia="仿宋" w:hAnsi="仿宋"/>
          <w:color w:val="000000"/>
          <w:sz w:val="24"/>
          <w:u w:val="single"/>
        </w:rPr>
        <w:t/>
      </w:r>
      <w:r>
        <w:rPr>
          <w:rFonts w:ascii="仿宋" w:eastAsia="仿宋" w:hAnsi="仿宋" w:hint="eastAsia"/>
          <w:color w:val="000000"/>
          <w:sz w:val="24"/>
          <w:u w:val="single"/>
        </w:rPr>
        <w:t xml:space="preserve"> </w:t>
      </w:r>
      <w:r>
        <w:rPr>
          <w:rFonts w:ascii="仿宋" w:eastAsia="仿宋" w:hAnsi="仿宋" w:hint="eastAsia"/>
          <w:color w:val="000000"/>
          <w:sz w:val="24"/>
        </w:rPr>
        <w:t xml:space="preserve"> 日</w:t>
      </w:r>
    </w:p>
    <w:p>
      <w:pPr>
        <w:jc w:val="center"/>
        <w:rPr>
          <w:rFonts w:ascii="宋体" w:cs="宋体" w:hAnsi="宋体"/>
          <w:b/>
          <w:sz w:val="44"/>
          <w:szCs w:val="44"/>
        </w:rPr>
        <w:sectPr>
          <w:headerReference r:id="rId5" w:type="even"/>
          <w:headerReference r:id="rId6" w:type="default"/>
          <w:footerReference r:id="rId7" w:type="even"/>
          <w:footerReference r:id="rId8" w:type="default"/>
          <w:headerReference r:id="rId9" w:type="first"/>
          <w:footerReference r:id="rId10" w:type="first"/>
          <w:pgSz w:h="16840" w:w="11907"/>
          <w:pgMar w:bottom="1440" w:footer="992" w:gutter="0" w:header="851" w:left="1797" w:right="1797" w:top="1440"/>
          <w:cols w:num="1" w:space="720"/>
          <w:docGrid w:charSpace="0" w:linePitch="312" w:type="linesAndChars"/>
        </w:sectPr>
      </w:pPr>
    </w:p>
    <w:p>
      <w:pPr>
        <w:spacing w:line="360" w:lineRule="auto"/>
        <w:ind w:firstLine="640"/>
        <w:outlineLvl w:val="0"/>
        <w:rPr>
          <w:rFonts w:ascii="黑体" w:cs="仿宋_GB2312" w:eastAsia="黑体" w:hAnsi="黑体"/>
          <w:b/>
          <w:bCs/>
          <w:sz w:val="32"/>
          <w:szCs w:val="32"/>
        </w:rPr>
      </w:pPr>
      <w:bookmarkStart w:id="1" w:name="_Toc456965826"/>
      <w:r>
        <w:rPr>
          <w:rFonts w:ascii="黑体" w:cs="仿宋_GB2312" w:eastAsia="黑体" w:hAnsi="黑体" w:hint="eastAsia"/>
          <w:b/>
          <w:bCs/>
          <w:sz w:val="32"/>
          <w:szCs w:val="32"/>
        </w:rPr>
        <w:t>一、部门概述</w:t>
      </w:r>
      <w:bookmarkEnd w:id="1"/>
    </w:p>
    <w:p>
      <w:pPr>
        <w:spacing w:line="360" w:lineRule="auto"/>
        <w:ind w:firstLine="640" w:firstLineChars="200"/>
        <w:outlineLvl w:val="1"/>
        <w:rPr>
          <w:rFonts w:ascii="楷体_GB2312" w:cs="仿宋_GB2312" w:eastAsia="楷体_GB2312" w:hAnsi="仿宋" w:hint="eastAsia"/>
          <w:b/>
          <w:sz w:val="32"/>
          <w:szCs w:val="32"/>
        </w:rPr>
      </w:pPr>
      <w:bookmarkStart w:id="2" w:name="_Toc456965827"/>
      <w:r>
        <w:rPr>
          <w:rFonts w:ascii="楷体_GB2312" w:cs="仿宋_GB2312" w:eastAsia="楷体_GB2312" w:hAnsi="仿宋" w:hint="eastAsia"/>
          <w:b/>
          <w:sz w:val="32"/>
          <w:szCs w:val="32"/>
        </w:rPr>
        <w:t>（一）部门职能</w:t>
      </w:r>
      <w:bookmarkEnd w:id="2"/>
    </w:p>
    <w:p>
      <w:pPr>
        <w:spacing w:line="360" w:lineRule="auto"/>
        <w:ind w:firstLine="640"/>
        <w:rPr>
          <w:rFonts w:ascii="仿宋" w:eastAsia="仿宋" w:hAnsi="仿宋" w:hint="eastAsia"/>
          <w:sz w:val="32"/>
          <w:szCs w:val="32"/>
        </w:rPr>
      </w:pPr>
      <w:r>
        <w:rPr>
          <w:rFonts w:ascii="仿宋" w:eastAsia="仿宋" w:hAnsi="仿宋" w:hint="eastAsia"/>
          <w:sz w:val="32"/>
          <w:szCs w:val="32"/>
        </w:rPr>
        <w:t>一是负责本辖区内各种环境要素的监测，对各种污染源进行监督性监测；二是及时、系统地收集、汇总和管理辖区内环境监测数据，编写本区环境监测月报、季报及环境质量报告书；三是制定本区环境监测计划，并组织实施；四是定期向区环境保护行政主管部门和市局监测处报送监测数据；五是为社会提供监测技术服务；六是组织技术交流和人员培训工作等。</w:t>
      </w:r>
    </w:p>
    <w:p>
      <w:pPr>
        <w:spacing w:line="360" w:lineRule="auto"/>
        <w:ind w:firstLine="640" w:firstLineChars="200"/>
        <w:outlineLvl w:val="1"/>
        <w:rPr>
          <w:rFonts w:ascii="楷体_GB2312" w:cs="仿宋_GB2312" w:eastAsia="楷体_GB2312" w:hAnsi="仿宋" w:hint="eastAsia"/>
          <w:b/>
          <w:sz w:val="32"/>
          <w:szCs w:val="32"/>
        </w:rPr>
      </w:pPr>
      <w:bookmarkStart w:id="3" w:name="_Toc456965828"/>
      <w:r>
        <w:rPr>
          <w:rFonts w:ascii="楷体_GB2312" w:cs="仿宋_GB2312" w:eastAsia="楷体_GB2312" w:hAnsi="仿宋" w:hint="eastAsia"/>
          <w:b/>
          <w:sz w:val="32"/>
          <w:szCs w:val="32"/>
        </w:rPr>
        <w:t>（二）机构设置</w:t>
      </w:r>
      <w:bookmarkEnd w:id="3"/>
    </w:p>
    <w:p>
      <w:pPr>
        <w:spacing w:line="360" w:lineRule="auto"/>
        <w:ind w:firstLine="640"/>
        <w:rPr>
          <w:rFonts w:ascii="仿宋" w:eastAsia="仿宋" w:hAnsi="仿宋" w:hint="eastAsia"/>
          <w:sz w:val="32"/>
          <w:szCs w:val="32"/>
        </w:rPr>
      </w:pPr>
      <w:r>
        <w:rPr>
          <w:rFonts w:ascii="仿宋" w:eastAsia="仿宋" w:hAnsi="仿宋" w:hint="eastAsia"/>
          <w:sz w:val="32"/>
          <w:szCs w:val="32"/>
        </w:rPr>
        <w:t>根据南编发[2018]10号文件，将天津市南开区环境保护监测站更名为天津市南开区环境监测中心，仍为区环保局所属公益一类事业单位，相当于科级，财政补助。调整后，区环境监测中心事业编制由25名增至29名</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firstLineChars="200"/>
        <w:outlineLvl w:val="1"/>
        <w:rPr>
          <w:rFonts w:ascii="楷体_GB2312" w:cs="仿宋_GB2312" w:eastAsia="楷体_GB2312" w:hAnsi="仿宋" w:hint="eastAsia"/>
          <w:b/>
          <w:sz w:val="32"/>
          <w:szCs w:val="32"/>
        </w:rPr>
      </w:pPr>
      <w:bookmarkStart w:id="4" w:name="_Toc456965829"/>
      <w:r>
        <w:rPr>
          <w:rFonts w:ascii="楷体_GB2312" w:cs="仿宋_GB2312" w:eastAsia="楷体_GB2312" w:hAnsi="仿宋" w:hint="eastAsia"/>
          <w:b/>
          <w:sz w:val="32"/>
          <w:szCs w:val="32"/>
        </w:rPr>
        <w:t>（三）</w:t>
      </w:r>
      <w:bookmarkEnd w:id="4"/>
      <w:r>
        <w:rPr>
          <w:rFonts w:ascii="楷体_GB2312" w:cs="仿宋_GB2312" w:eastAsia="楷体_GB2312" w:hAnsi="仿宋" w:hint="eastAsia"/>
          <w:b/>
          <w:sz w:val="32"/>
          <w:szCs w:val="32"/>
        </w:rPr>
        <w:t>事业发展规划</w:t>
      </w:r>
    </w:p>
    <w:p>
      <w:pPr>
        <w:spacing w:line="360" w:lineRule="auto"/>
        <w:ind w:firstLine="640"/>
        <w:rPr>
          <w:rFonts w:ascii="仿宋" w:eastAsia="仿宋" w:hAnsi="仿宋" w:hint="eastAsia"/>
          <w:sz w:val="32"/>
          <w:szCs w:val="32"/>
        </w:rPr>
      </w:pPr>
      <w:r>
        <w:rPr>
          <w:rFonts w:ascii="仿宋" w:eastAsia="仿宋" w:hAnsi="仿宋" w:hint="eastAsia"/>
          <w:sz w:val="32"/>
          <w:szCs w:val="32"/>
        </w:rPr>
        <w:t>按照市局监测处和区生态环境局交办的工作计划，认真完成环境质量监测任务，及时、准确上报监测数据。突出将质量控制和质量保证的技术手段和管理程序贯穿在环境监测全过程，有利地促进了环境监测工作的全面发展。</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firstLineChars="200"/>
        <w:outlineLvl w:val="1"/>
        <w:rPr>
          <w:rFonts w:ascii="楷体_GB2312" w:cs="仿宋_GB2312" w:eastAsia="楷体_GB2312" w:hAnsi="仿宋"/>
          <w:b/>
          <w:sz w:val="32"/>
          <w:szCs w:val="32"/>
        </w:rPr>
      </w:pPr>
      <w:bookmarkStart w:id="5" w:name="_Toc456965830"/>
      <w:r>
        <w:rPr>
          <w:rFonts w:ascii="楷体_GB2312" w:cs="仿宋_GB2312" w:eastAsia="楷体_GB2312" w:hAnsi="仿宋" w:hint="eastAsia"/>
          <w:b/>
          <w:sz w:val="32"/>
          <w:szCs w:val="32"/>
        </w:rPr>
        <w:t>（四）</w:t>
      </w:r>
      <w:bookmarkEnd w:id="5"/>
      <w:r>
        <w:rPr>
          <w:rFonts w:ascii="楷体_GB2312" w:cs="仿宋_GB2312" w:eastAsia="楷体_GB2312" w:hAnsi="仿宋" w:hint="eastAsia"/>
          <w:b/>
          <w:sz w:val="32"/>
          <w:szCs w:val="32"/>
        </w:rPr>
        <w:t>年度预决算情况和项目立项依据</w:t>
      </w:r>
    </w:p>
    <w:p>
      <w:pPr>
        <w:spacing w:line="360" w:lineRule="auto"/>
        <w:ind w:firstLine="640"/>
        <w:rPr>
          <w:rFonts w:ascii="仿宋" w:eastAsia="仿宋" w:hAnsi="仿宋" w:hint="eastAsia"/>
          <w:sz w:val="32"/>
          <w:szCs w:val="32"/>
        </w:rPr>
      </w:pPr>
      <w:bookmarkStart w:id="6" w:name="_Toc456965831"/>
      <w:r>
        <w:rPr>
          <w:rFonts w:ascii="仿宋" w:eastAsia="仿宋" w:hAnsi="仿宋" w:hint="eastAsia"/>
          <w:sz w:val="32"/>
          <w:szCs w:val="32"/>
        </w:rPr>
        <w:t>（1）预、决算差异情况：</w:t>
      </w:r>
      <w:r>
        <w:rPr>
          <w:rFonts w:ascii="仿宋" w:eastAsia="仿宋" w:hAnsi="仿宋" w:hint="eastAsia"/>
          <w:sz w:val="32"/>
          <w:szCs w:val="32"/>
        </w:rPr>
        <w:br/>
        <w:t>收入与预算差异主要来自于</w:t>
      </w:r>
      <w:r>
        <w:rPr>
          <w:rFonts w:ascii="仿宋" w:eastAsia="仿宋" w:hAnsi="仿宋" w:hint="eastAsia"/>
          <w:sz w:val="32"/>
          <w:szCs w:val="32"/>
        </w:rPr>
        <w:br/>
        <w:t>1、跨年度执行环保项目。新建地表水水质监测站及已建水站填平项目为2019年新增预算项目，合同执行期将正常延续至2020年，  声环境功能区自动监测网络项目  街道环境空气自动监测站运  监测仪器维修鉴定费维经费，均为2019年调整增加预算项目，形成2019年预算较大调整数。</w:t>
      </w:r>
      <w:r>
        <w:rPr>
          <w:rFonts w:ascii="仿宋" w:eastAsia="仿宋" w:hAnsi="仿宋" w:hint="eastAsia"/>
          <w:sz w:val="32"/>
          <w:szCs w:val="32"/>
        </w:rPr>
        <w:br/>
        <w:t>（2）差异原因分析。</w:t>
      </w:r>
      <w:r>
        <w:rPr>
          <w:rFonts w:ascii="仿宋" w:eastAsia="仿宋" w:hAnsi="仿宋" w:hint="eastAsia"/>
          <w:sz w:val="32"/>
          <w:szCs w:val="32"/>
        </w:rPr>
        <w:br/>
        <w:t>主要支出差异由年中调整增加的环保项目形成。新建地表水水质监测站及已建水站填平项目、声环境功能区自动监测网络项目、街道环境空气自动监测站运、监测仪器维修鉴定费维经费，均为2019年调整增加预算项目。</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firstLineChars="200"/>
        <w:outlineLvl w:val="1"/>
        <w:rPr>
          <w:rFonts w:ascii="楷体_GB2312" w:cs="仿宋_GB2312" w:eastAsia="楷体_GB2312" w:hAnsi="仿宋" w:hint="eastAsia"/>
          <w:b/>
          <w:sz w:val="32"/>
          <w:szCs w:val="32"/>
        </w:rPr>
      </w:pPr>
      <w:r>
        <w:rPr>
          <w:rFonts w:ascii="楷体_GB2312" w:cs="仿宋_GB2312" w:eastAsia="楷体_GB2312" w:hAnsi="仿宋" w:hint="eastAsia"/>
          <w:b/>
          <w:sz w:val="32"/>
          <w:szCs w:val="32"/>
        </w:rPr>
        <w:t>（五）部门资产情况</w:t>
      </w:r>
      <w:bookmarkEnd w:id="6"/>
    </w:p>
    <w:p>
      <w:pPr>
        <w:spacing w:line="360" w:lineRule="auto"/>
        <w:ind w:firstLine="640"/>
        <w:rPr>
          <w:rFonts w:ascii="仿宋" w:eastAsia="仿宋" w:hAnsi="仿宋" w:hint="eastAsia"/>
          <w:sz w:val="32"/>
          <w:szCs w:val="32"/>
        </w:rPr>
      </w:pPr>
      <w:r>
        <w:rPr>
          <w:rFonts w:ascii="仿宋" w:eastAsia="仿宋" w:hAnsi="仿宋" w:hint="eastAsia"/>
          <w:sz w:val="32"/>
          <w:szCs w:val="32"/>
        </w:rPr>
        <w:t>与2018年度对比，资产因绩效管理得当，货币资金总额结余降低98%。2019年环保项目投入较2018年增加，因此2019年资产总计较2018年增加80%。</w:t>
      </w:r>
      <w:r>
        <w:rPr>
          <w:rFonts w:ascii="仿宋" w:eastAsia="仿宋" w:hAnsi="仿宋" w:hint="eastAsia"/>
          <w:sz w:val="32"/>
          <w:szCs w:val="32"/>
          <w:lang w:eastAsia="zh-CN" w:val="en-US"/>
        </w:rPr>
        <w:t/>
      </w:r>
      <w:r>
        <w:rPr>
          <w:rFonts w:ascii="仿宋" w:eastAsia="仿宋" w:hAnsi="仿宋" w:hint="eastAsia"/>
          <w:sz w:val="32"/>
          <w:szCs w:val="32"/>
        </w:rPr>
        <w:t/>
      </w:r>
    </w:p>
    <w:p>
      <w:pPr>
        <w:pStyle w:val="NormalWeb"/>
        <w:spacing w:after="0" w:afterAutospacing="0" w:before="0" w:beforeAutospacing="0" w:line="360" w:lineRule="auto"/>
        <w:ind w:firstLine="640" w:firstLineChars="200"/>
        <w:jc w:val="both"/>
        <w:rPr>
          <w:rFonts w:ascii="黑体" w:cs="Times New Roman" w:eastAsia="黑体" w:hAnsi="黑体"/>
          <w:b/>
          <w:color w:val="auto"/>
          <w:kern w:val="2"/>
          <w:sz w:val="32"/>
          <w:szCs w:val="32"/>
        </w:rPr>
      </w:pPr>
      <w:bookmarkStart w:id="7" w:name="_Toc268005759"/>
      <w:bookmarkStart w:id="8" w:name="_Toc263686375"/>
      <w:bookmarkStart w:id="9" w:name="_Toc456965846"/>
      <w:r>
        <w:rPr>
          <w:rFonts w:ascii="黑体" w:cs="Times New Roman" w:eastAsia="黑体" w:hAnsi="黑体" w:hint="eastAsia"/>
          <w:b/>
          <w:color w:val="auto"/>
          <w:kern w:val="2"/>
          <w:sz w:val="32"/>
          <w:szCs w:val="32"/>
        </w:rPr>
        <w:t>二、部门</w:t>
      </w:r>
      <w:bookmarkEnd w:id="7"/>
      <w:r>
        <w:rPr>
          <w:rFonts w:ascii="黑体" w:cs="Times New Roman" w:eastAsia="黑体" w:hAnsi="黑体" w:hint="eastAsia"/>
          <w:b/>
          <w:color w:val="auto"/>
          <w:kern w:val="2"/>
          <w:sz w:val="32"/>
          <w:szCs w:val="32"/>
        </w:rPr>
        <w:t>绩效目标设置及决策情况</w:t>
      </w:r>
    </w:p>
    <w:p>
      <w:pPr>
        <w:spacing w:line="360" w:lineRule="auto"/>
        <w:ind w:firstLine="640" w:firstLineChars="200"/>
        <w:outlineLvl w:val="1"/>
        <w:rPr>
          <w:rFonts w:ascii="楷体_GB2312" w:cs="仿宋_GB2312" w:eastAsia="楷体_GB2312" w:hAnsi="仿宋"/>
          <w:b/>
          <w:sz w:val="32"/>
          <w:szCs w:val="32"/>
        </w:rPr>
      </w:pPr>
      <w:bookmarkStart w:id="10" w:name="_Toc268005760"/>
      <w:r>
        <w:rPr>
          <w:rFonts w:ascii="楷体_GB2312" w:cs="仿宋_GB2312" w:eastAsia="楷体_GB2312" w:hAnsi="仿宋" w:hint="eastAsia"/>
          <w:b/>
          <w:sz w:val="32"/>
          <w:szCs w:val="32"/>
        </w:rPr>
        <w:t>（一）</w:t>
      </w:r>
      <w:bookmarkEnd w:id="10"/>
      <w:r>
        <w:rPr>
          <w:rFonts w:ascii="楷体_GB2312" w:cs="仿宋_GB2312" w:eastAsia="楷体_GB2312" w:hAnsi="仿宋" w:hint="eastAsia"/>
          <w:b/>
          <w:sz w:val="32"/>
          <w:szCs w:val="32"/>
        </w:rPr>
        <w:t>部门绩效目标和绩效指标设定情况</w:t>
      </w:r>
    </w:p>
    <w:p>
      <w:pPr>
        <w:spacing w:line="360" w:lineRule="auto"/>
        <w:ind w:firstLine="640"/>
        <w:rPr>
          <w:rFonts w:ascii="仿宋" w:eastAsia="仿宋" w:hAnsi="仿宋" w:hint="eastAsia"/>
          <w:sz w:val="32"/>
          <w:szCs w:val="32"/>
        </w:rPr>
      </w:pPr>
      <w:bookmarkStart w:id="11" w:name="_Toc268005761"/>
      <w:r>
        <w:rPr>
          <w:rFonts w:ascii="仿宋" w:eastAsia="仿宋" w:hAnsi="仿宋" w:hint="eastAsia"/>
          <w:sz w:val="32"/>
          <w:szCs w:val="32"/>
        </w:rPr>
        <w:t>年初工作目标制定明确，各项工作任务按照计划有序实施，完成数量和质量均得到有效控制，实施过程监管到位，通过各项工作计划的组织实施，产生了较显著的经济效益，各项经费到位及时，经费使用严格按照相关财务管理制度执行，对资金的使用监管有力有效，全年工作计划的实施达到了预期的绩效目标</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firstLineChars="200"/>
        <w:outlineLvl w:val="1"/>
        <w:rPr>
          <w:rFonts w:ascii="楷体_GB2312" w:cs="仿宋_GB2312" w:eastAsia="楷体_GB2312" w:hAnsi="仿宋"/>
          <w:b/>
          <w:sz w:val="32"/>
          <w:szCs w:val="32"/>
        </w:rPr>
      </w:pPr>
      <w:r>
        <w:rPr>
          <w:rFonts w:ascii="楷体_GB2312" w:cs="仿宋_GB2312" w:eastAsia="楷体_GB2312" w:hAnsi="仿宋" w:hint="eastAsia"/>
          <w:b/>
          <w:sz w:val="32"/>
          <w:szCs w:val="32"/>
        </w:rPr>
        <w:t>（二）</w:t>
      </w:r>
      <w:bookmarkEnd w:id="11"/>
      <w:r>
        <w:rPr>
          <w:rFonts w:ascii="楷体_GB2312" w:cs="仿宋_GB2312" w:eastAsia="楷体_GB2312" w:hAnsi="仿宋" w:hint="eastAsia"/>
          <w:b/>
          <w:sz w:val="32"/>
          <w:szCs w:val="32"/>
        </w:rPr>
        <w:t>部门决策情况</w:t>
      </w:r>
    </w:p>
    <w:p>
      <w:pPr>
        <w:spacing w:line="360" w:lineRule="auto"/>
        <w:ind w:firstLine="640"/>
        <w:rPr>
          <w:rFonts w:ascii="仿宋" w:eastAsia="仿宋" w:hAnsi="仿宋"/>
          <w:sz w:val="32"/>
          <w:szCs w:val="32"/>
        </w:rPr>
      </w:pPr>
      <w:r>
        <w:rPr>
          <w:rFonts w:ascii="仿宋" w:eastAsia="仿宋" w:hAnsi="仿宋" w:hint="eastAsia"/>
          <w:sz w:val="32"/>
          <w:szCs w:val="32"/>
        </w:rPr>
        <w:t>1.决策依据</w:t>
      </w:r>
    </w:p>
    <w:p>
      <w:pPr>
        <w:spacing w:line="360" w:lineRule="auto"/>
        <w:ind w:firstLine="640"/>
        <w:rPr>
          <w:rFonts w:ascii="仿宋" w:eastAsia="仿宋" w:hAnsi="仿宋" w:hint="eastAsia"/>
          <w:sz w:val="32"/>
          <w:szCs w:val="32"/>
        </w:rPr>
      </w:pPr>
      <w:r>
        <w:rPr>
          <w:rFonts w:ascii="仿宋" w:eastAsia="仿宋" w:hAnsi="仿宋" w:hint="eastAsia"/>
          <w:sz w:val="32"/>
          <w:szCs w:val="32"/>
        </w:rPr>
        <w:t>2019年度的预算编制全面、科学、合理，预算执行严格有效，预算管理规范，履职效益明显，严格执行各项财经法规和会计制度，财务管理和会计基础工作规范。</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仿宋" w:eastAsia="仿宋" w:hAnsi="仿宋"/>
          <w:sz w:val="32"/>
          <w:szCs w:val="32"/>
        </w:rPr>
      </w:pPr>
      <w:r>
        <w:rPr>
          <w:rFonts w:ascii="仿宋" w:eastAsia="仿宋" w:hAnsi="仿宋" w:hint="eastAsia"/>
          <w:sz w:val="32"/>
          <w:szCs w:val="32"/>
        </w:rPr>
        <w:t>2.决策流程</w:t>
      </w:r>
    </w:p>
    <w:p>
      <w:pPr>
        <w:spacing w:line="360" w:lineRule="auto"/>
        <w:ind w:firstLine="640"/>
        <w:rPr>
          <w:rFonts w:ascii="仿宋" w:eastAsia="仿宋" w:hAnsi="仿宋" w:hint="eastAsia"/>
          <w:sz w:val="32"/>
          <w:szCs w:val="32"/>
        </w:rPr>
      </w:pPr>
      <w:r>
        <w:rPr>
          <w:rFonts w:ascii="仿宋" w:eastAsia="仿宋" w:hAnsi="仿宋" w:hint="eastAsia"/>
          <w:sz w:val="32"/>
          <w:szCs w:val="32"/>
        </w:rPr>
        <w:t>（1）预算执行有效；（2）预算管理规范；（3）资产管理规范</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黑体" w:eastAsia="黑体" w:hAnsi="黑体"/>
          <w:sz w:val="32"/>
          <w:szCs w:val="32"/>
        </w:rPr>
      </w:pPr>
      <w:r>
        <w:rPr>
          <w:rFonts w:ascii="黑体" w:eastAsia="黑体" w:hAnsi="黑体" w:hint="eastAsia"/>
          <w:sz w:val="32"/>
          <w:szCs w:val="32"/>
        </w:rPr>
        <w:t>三、部门预算、预算执行及管理情况</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（一）部门预算编制情况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严格按照区部门预算编制通知和有关要求，按时完成预算编制工作，并提交部门预算草案。按规定编制预算，预算编制全面、科学。部门决算、绩效目标填报及年末结余结转都是严格按照区财政局的要求认真完成。</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（二）部门预算执行情况</w:t>
      </w:r>
    </w:p>
    <w:p>
      <w:pPr>
        <w:spacing w:line="360" w:lineRule="auto"/>
        <w:ind w:firstLine="640"/>
        <w:rPr>
          <w:rFonts w:ascii="仿宋" w:eastAsia="仿宋" w:hAnsi="仿宋" w:hint="eastAsia"/>
          <w:color w:val="000000"/>
          <w:sz w:val="24"/>
          <w:u w:val="none"/>
        </w:rPr>
      </w:pPr>
      <w:bookmarkEnd w:id="8"/>
      <w:bookmarkStart w:id="12" w:name="_Toc263686390"/>
      <w:bookmarkStart w:id="13" w:name="_Toc268005765"/>
      <w:bookmarkStart w:id="14" w:name="_Toc171765188"/>
      <w:bookmarkStart w:id="15" w:name="_Toc171764863"/>
      <w:bookmarkStart w:id="16" w:name="_Toc171772698"/>
      <w:r>
        <w:rPr>
          <w:rFonts w:ascii="仿宋" w:eastAsia="仿宋" w:hAnsi="仿宋" w:hint="eastAsia"/>
          <w:sz w:val="32"/>
          <w:szCs w:val="32"/>
        </w:rPr>
        <w:t>在资金使用上，支出符合财务管理制度规定，资金拨付有完整的审批程序和手续，支出符合部门预算批复的用途，无截留、挤占、挪用、虚列支出等情况。</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仿宋" w:eastAsia="仿宋" w:hAnsi="仿宋"/>
          <w:sz w:val="32"/>
          <w:szCs w:val="32"/>
        </w:rPr>
      </w:pPr>
      <w:r>
        <w:rPr>
          <w:rFonts w:ascii="楷体_GB2312" w:eastAsia="楷体_GB2312" w:hAnsi="仿宋" w:hint="eastAsia"/>
          <w:b/>
          <w:sz w:val="32"/>
          <w:szCs w:val="32"/>
        </w:rPr>
        <w:t>（三）部门预算的管理情况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通过实施内部控制制度管理，财务管理工作稳步提升，管理措施进一步得到有效落实，提高了管理效能。</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（四）部门财务管理情况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我单位财务管理制度健全，执行制度严格合规，会计核算符合相关规定，资金专款专用，资金支付依据和开支标准合法合规，严格执行政府采购。</w:t>
      </w:r>
      <w:r>
        <w:rPr>
          <w:rFonts w:ascii="仿宋" w:eastAsia="仿宋" w:hAnsi="仿宋" w:hint="eastAsia"/>
          <w:sz w:val="32"/>
          <w:szCs w:val="32"/>
          <w:lang w:eastAsia="zh-CN" w:val="en-US"/>
        </w:rPr>
        <w:t/>
      </w:r>
      <w:r>
        <w:rPr>
          <w:rFonts w:ascii="仿宋" w:eastAsia="仿宋" w:hAnsi="仿宋" w:hint="eastAsia"/>
          <w:sz w:val="32"/>
          <w:szCs w:val="32"/>
        </w:rPr>
        <w:t/>
      </w:r>
    </w:p>
    <w:p>
      <w:pPr>
        <w:pStyle w:val="NormalWeb"/>
        <w:spacing w:after="0" w:afterAutospacing="0" w:before="0" w:beforeAutospacing="0" w:line="360" w:lineRule="auto"/>
        <w:ind w:firstLine="640" w:firstLineChars="200"/>
        <w:jc w:val="both"/>
        <w:rPr>
          <w:rFonts w:ascii="黑体" w:cs="Times New Roman" w:eastAsia="黑体" w:hAnsi="黑体"/>
          <w:b/>
          <w:color w:val="auto"/>
          <w:kern w:val="2"/>
          <w:sz w:val="32"/>
          <w:szCs w:val="32"/>
        </w:rPr>
      </w:pPr>
      <w:r>
        <w:rPr>
          <w:rFonts w:ascii="黑体" w:cs="Times New Roman" w:eastAsia="黑体" w:hAnsi="黑体" w:hint="eastAsia"/>
          <w:b/>
          <w:color w:val="auto"/>
          <w:kern w:val="2"/>
          <w:sz w:val="32"/>
          <w:szCs w:val="32"/>
        </w:rPr>
        <w:t>四、部门管理情况</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（一）制度建设情况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加强单位内控制度建设，完善相关内部管理制度。按区财政局要求开展内部控制建设工作，通过查找内部管理中的薄弱环节，建立健全各项内部控制制度，更好地发挥内部控制在提升单位内部管理水平、规范内部权力运行、促进依法行政、推进廉政建设中的重要作用。</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（二）部门项目管理情况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为加强资金安排管理，我单位一方面严格项目审批，明确资金申报范围、程序和具体要求，要求申报项目必须符合政策要求，必须产生明显的环境、经济和社会效益；另一方面，我单位加强资金使用过程中的监督监控，严格按照资金管理使用办法，要求各单位开展资金项目年度实施情况检查，并对重点项目实施情况进行抽查。</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（三）部门资产管理情况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制定了资产管理制度，资产保存完整、处置规范、账务管理合规。建立资产管理与责任落实相结合的管理机制，建立固定资产问责制，做到在资产配置、资产使用、资产处置等各个环节都有人管理、有人负责，能及时发现问题、解决问题。</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黑体" w:cs="Times New Roman" w:eastAsia="黑体" w:hAnsi="黑体"/>
          <w:b/>
          <w:color w:val="auto"/>
          <w:kern w:val="2"/>
          <w:sz w:val="32"/>
          <w:szCs w:val="32"/>
        </w:rPr>
      </w:pPr>
      <w:r>
        <w:rPr>
          <w:rFonts w:ascii="黑体" w:cs="Times New Roman" w:eastAsia="黑体" w:hAnsi="黑体" w:hint="eastAsia"/>
          <w:b/>
          <w:color w:val="auto"/>
          <w:kern w:val="2"/>
          <w:sz w:val="32"/>
          <w:szCs w:val="32"/>
        </w:rPr>
        <w:t>五、部门绩效实现情况</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（一）部门产出目标完成情况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1个年度任务，11个年度目标全部完成</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（二）部门效果目标实现情况</w:t>
      </w:r>
    </w:p>
    <w:p>
      <w:pPr>
        <w:spacing w:line="360" w:lineRule="auto"/>
        <w:ind w:firstLine="640"/>
        <w:rPr>
          <w:rFonts w:ascii="仿宋" w:eastAsia="仿宋" w:hAnsi="仿宋" w:hint="eastAsia"/>
          <w:sz w:val="32"/>
          <w:szCs w:val="32"/>
        </w:rPr>
      </w:pPr>
      <w:r>
        <w:rPr>
          <w:rFonts w:ascii="仿宋" w:eastAsia="仿宋" w:hAnsi="仿宋" w:hint="eastAsia"/>
          <w:sz w:val="32"/>
          <w:szCs w:val="32"/>
        </w:rPr>
        <w:t>财政拨款安排支出主要用于保障单位正常运转、完成日常工作任务及相关工作；基本支出包括工资福利支出、商品和服务支出以及对个人和家庭的补助。用于保障单位正常运转的日常开支，包括基本工资、对个人和家庭补助等人员经费以及办公费、印刷费、邮电费、培训费、咨询费等其他正常运转所需开支。项目支出用于保障单位为完成特定的行政工作任务或专项业务工作的经费支出。</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（三）绩效目标未完成情况及原因分析</w:t>
      </w:r>
    </w:p>
    <w:p>
      <w:pPr>
        <w:spacing w:line="360" w:lineRule="auto"/>
        <w:ind w:firstLine="640"/>
        <w:rPr>
          <w:rFonts w:ascii="仿宋" w:eastAsia="仿宋" w:hAnsi="仿宋" w:hint="eastAsia"/>
          <w:sz w:val="32"/>
          <w:szCs w:val="32"/>
        </w:rPr>
      </w:pPr>
      <w:r>
        <w:rPr>
          <w:rFonts w:ascii="仿宋" w:eastAsia="仿宋" w:hAnsi="仿宋" w:hint="eastAsia"/>
          <w:sz w:val="32"/>
          <w:szCs w:val="32"/>
        </w:rPr>
        <w:t>无未完成</w:t>
      </w:r>
      <w:r>
        <w:rPr>
          <w:rFonts w:ascii="仿宋" w:eastAsia="仿宋" w:hAnsi="仿宋" w:hint="eastAsia"/>
          <w:sz w:val="32"/>
          <w:szCs w:val="32"/>
          <w:lang w:eastAsia="zh-CN" w:val="en-US"/>
        </w:rPr>
        <w:t/>
      </w:r>
      <w:r>
        <w:rPr>
          <w:rFonts w:ascii="仿宋" w:eastAsia="仿宋" w:hAnsi="仿宋" w:hint="eastAsia"/>
          <w:sz w:val="32"/>
          <w:szCs w:val="32"/>
        </w:rPr>
        <w:t/>
      </w:r>
    </w:p>
    <w:p>
      <w:pPr>
        <w:pStyle w:val="NormalWeb"/>
        <w:spacing w:after="0" w:afterAutospacing="0" w:before="0" w:beforeAutospacing="0" w:line="360" w:lineRule="auto"/>
        <w:ind w:firstLine="640" w:firstLineChars="200"/>
        <w:jc w:val="both"/>
        <w:rPr>
          <w:rFonts w:ascii="黑体" w:cs="Times New Roman" w:eastAsia="黑体" w:hAnsi="黑体"/>
          <w:b/>
          <w:color w:val="auto"/>
          <w:kern w:val="2"/>
          <w:sz w:val="32"/>
          <w:szCs w:val="32"/>
        </w:rPr>
      </w:pPr>
      <w:r>
        <w:rPr>
          <w:rFonts w:ascii="黑体" w:cs="Times New Roman" w:eastAsia="黑体" w:hAnsi="黑体" w:hint="eastAsia"/>
          <w:b/>
          <w:color w:val="auto"/>
          <w:kern w:val="2"/>
          <w:sz w:val="32"/>
          <w:szCs w:val="32"/>
        </w:rPr>
        <w:t>六、主要经验、存在问题和建议</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（一）主要经验</w:t>
      </w:r>
    </w:p>
    <w:p>
      <w:pPr>
        <w:spacing w:line="360" w:lineRule="auto"/>
        <w:ind w:firstLine="640"/>
        <w:rPr>
          <w:rFonts w:ascii="仿宋" w:eastAsia="仿宋" w:hAnsi="仿宋" w:hint="eastAsia"/>
          <w:sz w:val="32"/>
          <w:szCs w:val="32"/>
        </w:rPr>
      </w:pPr>
      <w:r>
        <w:rPr>
          <w:rFonts w:ascii="仿宋" w:eastAsia="仿宋" w:hAnsi="仿宋" w:hint="eastAsia"/>
          <w:sz w:val="32"/>
          <w:szCs w:val="32"/>
        </w:rPr>
        <w:t>无</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（二）存在问题</w:t>
      </w:r>
    </w:p>
    <w:p>
      <w:pPr>
        <w:spacing w:line="360" w:lineRule="auto"/>
        <w:ind w:firstLine="640"/>
        <w:rPr>
          <w:rFonts w:ascii="仿宋" w:eastAsia="仿宋" w:hAnsi="仿宋" w:hint="eastAsia"/>
          <w:sz w:val="32"/>
          <w:szCs w:val="32"/>
        </w:rPr>
      </w:pPr>
      <w:r>
        <w:rPr>
          <w:rFonts w:ascii="仿宋" w:eastAsia="仿宋" w:hAnsi="仿宋" w:hint="eastAsia"/>
          <w:sz w:val="32"/>
          <w:szCs w:val="32"/>
        </w:rPr>
        <w:t>（1）绩效目标设立需进一步细化（2）绩效评价考核基础工作需要进一步提高</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（三）后续工作计划</w:t>
      </w:r>
    </w:p>
    <w:p>
      <w:pPr>
        <w:spacing w:line="360" w:lineRule="auto"/>
        <w:ind w:firstLine="640"/>
        <w:rPr>
          <w:rFonts w:ascii="仿宋" w:eastAsia="仿宋" w:hAnsi="仿宋" w:hint="eastAsia"/>
          <w:sz w:val="32"/>
          <w:szCs w:val="32"/>
        </w:rPr>
      </w:pPr>
      <w:r>
        <w:rPr>
          <w:rFonts w:ascii="仿宋" w:eastAsia="仿宋" w:hAnsi="仿宋" w:hint="eastAsia"/>
          <w:sz w:val="32"/>
          <w:szCs w:val="32"/>
        </w:rPr>
        <w:t>（1）细化预算编制工作，认真做好预算的编制（2）加强预算绩效编制工作（3）进一步加强预算支出管理</w:t>
      </w:r>
      <w:r>
        <w:rPr>
          <w:rFonts w:ascii="仿宋" w:eastAsia="仿宋" w:hAnsi="仿宋" w:hint="eastAsia"/>
          <w:sz w:val="32"/>
          <w:szCs w:val="32"/>
          <w:lang w:eastAsia="zh-CN" w:val="en-US"/>
        </w:rPr>
        <w:t/>
      </w:r>
      <w:r>
        <w:rPr>
          <w:rFonts w:ascii="仿宋" w:eastAsia="仿宋" w:hAnsi="仿宋" w:hint="eastAsia"/>
          <w:sz w:val="32"/>
          <w:szCs w:val="32"/>
        </w:rPr>
        <w:t/>
      </w:r>
    </w:p>
    <w:p>
      <w:pPr>
        <w:spacing w:line="360" w:lineRule="auto"/>
        <w:ind w:firstLine="640"/>
        <w:rPr>
          <w:rFonts w:ascii="楷体_GB2312" w:eastAsia="楷体_GB2312" w:hAnsi="仿宋"/>
          <w:b/>
          <w:sz w:val="32"/>
          <w:szCs w:val="32"/>
        </w:rPr>
      </w:pPr>
      <w:r>
        <w:rPr>
          <w:rFonts w:ascii="楷体_GB2312" w:eastAsia="楷体_GB2312" w:hAnsi="仿宋" w:hint="eastAsia"/>
          <w:b/>
          <w:sz w:val="32"/>
          <w:szCs w:val="32"/>
        </w:rPr>
        <w:t>（四）相关建议</w:t>
      </w:r>
    </w:p>
    <w:p>
      <w:pPr>
        <w:spacing w:line="360" w:lineRule="auto"/>
        <w:ind w:firstLine="640"/>
        <w:rPr>
          <w:rFonts w:ascii="仿宋" w:eastAsia="仿宋" w:hAnsi="仿宋" w:hint="eastAsia"/>
          <w:sz w:val="32"/>
          <w:szCs w:val="32"/>
        </w:rPr>
      </w:pPr>
      <w:bookmarkEnd w:id="12"/>
      <w:bookmarkEnd w:id="13"/>
      <w:bookmarkEnd w:id="14"/>
      <w:bookmarkEnd w:id="15"/>
      <w:bookmarkEnd w:id="16"/>
      <w:r>
        <w:rPr>
          <w:rFonts w:ascii="仿宋" w:eastAsia="仿宋" w:hAnsi="仿宋" w:hint="eastAsia"/>
          <w:sz w:val="32"/>
          <w:szCs w:val="32"/>
        </w:rPr>
        <w:t>无</w:t>
      </w:r>
      <w:r>
        <w:rPr>
          <w:rFonts w:ascii="仿宋" w:eastAsia="仿宋" w:hAnsi="仿宋" w:hint="eastAsia"/>
          <w:sz w:val="32"/>
          <w:szCs w:val="32"/>
          <w:lang w:eastAsia="zh-CN" w:val="en-US"/>
        </w:rPr>
        <w:t/>
      </w:r>
      <w:r>
        <w:rPr>
          <w:rFonts w:ascii="仿宋" w:eastAsia="仿宋" w:hAnsi="仿宋" w:hint="eastAsia"/>
          <w:sz w:val="32"/>
          <w:szCs w:val="32"/>
        </w:rPr>
        <w:t/>
      </w:r>
    </w:p>
    <w:p>
      <w:pPr>
        <w:pStyle w:val="NormalWeb"/>
        <w:spacing w:after="0" w:afterAutospacing="0" w:before="0" w:beforeAutospacing="0" w:line="360" w:lineRule="auto"/>
        <w:ind w:firstLine="640" w:firstLineChars="200"/>
        <w:jc w:val="both"/>
        <w:rPr>
          <w:rFonts w:ascii="仿宋" w:eastAsia="仿宋" w:hAnsi="仿宋"/>
          <w:sz w:val="32"/>
          <w:szCs w:val="32"/>
        </w:rPr>
      </w:pPr>
      <w:r>
        <w:rPr>
          <w:rFonts w:ascii="黑体" w:cs="Times New Roman" w:eastAsia="黑体" w:hAnsi="黑体" w:hint="eastAsia"/>
          <w:b/>
          <w:color w:val="auto"/>
          <w:kern w:val="2"/>
          <w:sz w:val="32"/>
          <w:szCs w:val="32"/>
        </w:rPr>
        <w:t>七、其他需要说明的问题</w:t>
      </w:r>
      <w:bookmarkEnd w:id="9"/>
    </w:p>
    <w:p>
      <w:pPr>
        <w:spacing w:line="360" w:lineRule="auto"/>
        <w:ind w:firstLine="640"/>
        <w:rPr>
          <w:rFonts w:ascii="仿宋" w:eastAsia="仿宋" w:hAnsi="仿宋" w:hint="eastAsia"/>
          <w:sz w:val="32"/>
          <w:szCs w:val="32"/>
        </w:rPr>
      </w:pPr>
      <w:r>
        <w:rPr>
          <w:rFonts w:ascii="仿宋" w:eastAsia="仿宋" w:hAnsi="仿宋" w:hint="eastAsia"/>
          <w:sz w:val="32"/>
          <w:szCs w:val="32"/>
        </w:rPr>
        <w:t>无</w:t>
      </w:r>
      <w:r>
        <w:rPr>
          <w:rFonts w:ascii="仿宋" w:eastAsia="仿宋" w:hAnsi="仿宋" w:hint="eastAsia"/>
          <w:sz w:val="32"/>
          <w:szCs w:val="32"/>
          <w:lang w:eastAsia="zh-CN" w:val="en-US"/>
        </w:rPr>
        <w:t/>
      </w:r>
      <w:r>
        <w:rPr>
          <w:rFonts w:ascii="仿宋" w:eastAsia="仿宋" w:hAnsi="仿宋" w:hint="eastAsia"/>
          <w:sz w:val="32"/>
          <w:szCs w:val="32"/>
        </w:rPr>
        <w:t/>
      </w:r>
    </w:p>
    <w:p>
      <w:pPr>
        <w:rPr>
          <w:rFonts w:ascii="仿宋_GB2312" w:eastAsia="仿宋_GB2312"/>
          <w:b/>
          <w:bCs/>
          <w:sz w:val="28"/>
          <w:szCs w:val="36"/>
        </w:rPr>
      </w:pPr>
      <w:r>
        <w:rPr>
          <w:rFonts w:ascii="仿宋_GB2312" w:eastAsia="仿宋_GB2312" w:hint="eastAsia"/>
          <w:b/>
          <w:bCs/>
          <w:sz w:val="28"/>
          <w:szCs w:val="36"/>
        </w:rPr>
        <w:t>附件1 年度主要任务完成情况</w:t>
      </w:r>
    </w:p>
    <w:tbl>
      <w:tblPr>
        <w:tblStyle w:val="TableNormal"/>
        <w:tblW w:type="dxa" w:w="7748"/>
        <w:tblInd w:type="dxa" w:w="-30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top w:type="dxa" w:w="15"/>
          <w:left w:type="dxa" w:w="15"/>
          <w:bottom w:type="dxa" w:w="15"/>
          <w:right w:type="dxa" w:w="15"/>
        </w:tblCellMar>
      </w:tblPr>
      <w:tblGrid>
        <w:gridCol w:w="775"/>
        <w:gridCol w:w="1651"/>
        <w:gridCol w:w="2085"/>
        <w:gridCol w:w="594"/>
        <w:gridCol w:w="480"/>
        <w:gridCol w:w="525"/>
        <w:gridCol w:w="594"/>
        <w:gridCol w:w="541"/>
        <w:gridCol w:w="502"/>
        <w:gridCol w:w="1"/>
      </w:tblGrid>
      <w:tr>
        <w:tblPrEx>
          <w:tblW w:type="dxa" w:w="7748"/>
          <w:tblInd w:type="dxa" w:w="-30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top w:type="dxa" w:w="15"/>
            <w:left w:type="dxa" w:w="15"/>
            <w:bottom w:type="dxa" w:w="15"/>
            <w:right w:type="dxa" w:w="15"/>
          </w:tblCellMar>
        </w:tblPrEx>
        <w:trPr>
          <w:gridAfter w:val="1"/>
          <w:wAfter w:type="dxa" w:w="1"/>
          <w:trHeight w:val="745"/>
        </w:trPr>
        <w:tc>
          <w:tcPr>
            <w:tcW w:type="dxa" w:w="775"/>
            <w:vMerge w:val="restart"/>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任务编号</w:t>
            </w:r>
          </w:p>
        </w:tc>
        <w:tc>
          <w:tcPr>
            <w:tcW w:type="dxa" w:w="1651"/>
            <w:vMerge w:val="restart"/>
            <w:shd w:color="auto" w:fill="FFFFFF" w:val="clear"/>
            <w:vAlign w:val="center"/>
          </w:tcPr>
          <w:p>
            <w:pPr>
              <w:widowControl/>
              <w:spacing w:line="312" w:lineRule="auto"/>
              <w:jc w:val="center"/>
              <w:textAlignment w:val="center"/>
              <w:rPr>
                <w:rFonts w:ascii="仿宋_GB2312" w:cs="宋体" w:eastAsia="仿宋_GB2312" w:hAnsi="宋体" w:hint="eastAsia"/>
                <w:color w:val="000000"/>
                <w:kern w:val="0"/>
                <w:sz w:val="22"/>
                <w:szCs w:val="22"/>
                <w:lang w:bidi="ar" w:eastAsia="zh-CN" w:val="en-US"/>
              </w:rPr>
            </w:pPr>
            <w:r>
              <w:rPr>
                <w:rFonts w:ascii="仿宋_GB2312" w:cs="宋体" w:eastAsia="仿宋_GB2312" w:hAnsi="宋体" w:hint="eastAsia"/>
                <w:color w:val="000000"/>
                <w:kern w:val="0"/>
                <w:sz w:val="22"/>
                <w:szCs w:val="22"/>
                <w:lang w:bidi="ar" w:eastAsia="zh-CN" w:val="en-US"/>
              </w:rPr>
              <w:t>任务概述</w:t>
            </w:r>
          </w:p>
        </w:tc>
        <w:tc>
          <w:tcPr>
            <w:tcW w:type="dxa" w:w="2085"/>
            <w:vMerge w:val="restart"/>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完成情况</w:t>
            </w:r>
          </w:p>
        </w:tc>
        <w:tc>
          <w:tcPr>
            <w:tcW w:type="dxa" w:w="1599"/>
            <w:gridSpan w:val="3"/>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预算数（万元）</w:t>
            </w:r>
          </w:p>
        </w:tc>
        <w:tc>
          <w:tcPr>
            <w:tcW w:type="dxa" w:w="1637"/>
            <w:gridSpan w:val="3"/>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执行数（万元）</w:t>
            </w:r>
          </w:p>
        </w:tc>
      </w:tr>
      <w:tr>
        <w:tblPrEx>
          <w:tblW w:type="dxa" w:w="7748"/>
          <w:tblInd w:type="dxa" w:w="-302"/>
          <w:tblLayout w:type="fixed"/>
          <w:tblCellMar>
            <w:top w:type="dxa" w:w="15"/>
            <w:left w:type="dxa" w:w="15"/>
            <w:bottom w:type="dxa" w:w="15"/>
            <w:right w:type="dxa" w:w="15"/>
          </w:tblCellMar>
        </w:tblPrEx>
        <w:trPr>
          <w:trHeight w:val="745"/>
        </w:trPr>
        <w:tc>
          <w:tcPr>
            <w:tcW w:type="dxa" w:w="775"/>
            <w:vMerge/>
            <w:shd w:color="auto" w:fill="FFFFFF" w:val="clear"/>
            <w:vAlign w:val="center"/>
          </w:tcPr>
          <w:p>
            <w:pPr>
              <w:spacing w:line="312" w:lineRule="auto"/>
              <w:jc w:val="center"/>
              <w:rPr>
                <w:rFonts w:ascii="仿宋_GB2312" w:cs="宋体" w:eastAsia="仿宋_GB2312" w:hAnsi="宋体"/>
                <w:color w:val="000000"/>
                <w:sz w:val="22"/>
                <w:szCs w:val="22"/>
              </w:rPr>
            </w:pPr>
          </w:p>
        </w:tc>
        <w:tc>
          <w:tcPr>
            <w:tcW w:type="dxa" w:w="1651"/>
            <w:vMerge/>
            <w:shd w:color="auto" w:fill="FFFFFF" w:val="clear"/>
            <w:vAlign w:val="center"/>
          </w:tcPr>
          <w:p>
            <w:pPr>
              <w:spacing w:line="312" w:lineRule="auto"/>
              <w:jc w:val="center"/>
              <w:rPr>
                <w:rFonts w:ascii="仿宋_GB2312" w:cs="宋体" w:eastAsia="仿宋_GB2312" w:hAnsi="宋体"/>
                <w:color w:val="000000"/>
                <w:sz w:val="22"/>
                <w:szCs w:val="22"/>
              </w:rPr>
            </w:pPr>
          </w:p>
        </w:tc>
        <w:tc>
          <w:tcPr>
            <w:tcW w:type="dxa" w:w="2085"/>
            <w:vMerge/>
            <w:shd w:color="auto" w:fill="FFFFFF" w:val="clear"/>
            <w:vAlign w:val="center"/>
          </w:tcPr>
          <w:p>
            <w:pPr>
              <w:spacing w:line="312" w:lineRule="auto"/>
              <w:jc w:val="center"/>
              <w:rPr>
                <w:rFonts w:ascii="仿宋_GB2312" w:cs="宋体" w:eastAsia="仿宋_GB2312" w:hAnsi="宋体"/>
                <w:color w:val="000000"/>
                <w:sz w:val="22"/>
                <w:szCs w:val="22"/>
              </w:rPr>
            </w:pPr>
          </w:p>
        </w:tc>
        <w:tc>
          <w:tcPr>
            <w:tcW w:type="dxa" w:w="594"/>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小计</w:t>
            </w:r>
          </w:p>
        </w:tc>
        <w:tc>
          <w:tcPr>
            <w:tcW w:type="dxa" w:w="480"/>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财政   拨款</w:t>
            </w:r>
          </w:p>
        </w:tc>
        <w:tc>
          <w:tcPr>
            <w:tcW w:type="dxa" w:w="525"/>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其他   资金</w:t>
            </w:r>
          </w:p>
        </w:tc>
        <w:tc>
          <w:tcPr>
            <w:tcW w:type="dxa" w:w="594"/>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小计</w:t>
            </w:r>
          </w:p>
        </w:tc>
        <w:tc>
          <w:tcPr>
            <w:tcW w:type="dxa" w:w="541"/>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财政   拨款</w:t>
            </w:r>
          </w:p>
        </w:tc>
        <w:tc>
          <w:tcPr>
            <w:tcW w:type="dxa" w:w="503"/>
            <w:gridSpan w:val="2"/>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其他  资金</w:t>
            </w:r>
          </w:p>
        </w:tc>
      </w:tr>
      <w:tr>
        <w:tc>
          <w:tcPr>
            <w:tcW w:type="dxa" w:w="775"/>
            <w:shd w:color="auto" w:fill="FFFFFF" w:val="clear"/>
            <w:vAlign w:val="center"/>
            <w:vAlign w:val="center"/>
          </w:tcPr>
          <w:p>
            <w:pPr>
              <w:pageBreakBefore w:val="false"/>
              <w:pBdr/>
              <w:spacing w:line="312" w:lineRule="auto"/>
              <w:jc w:val="center"/>
              <w:textAlignment w:val="center"/>
            </w:pPr>
            <w:r>
              <w:rPr>
                <w:rFonts w:ascii="仿宋_GB2312" w:hAnsi="仿宋_GB2312" w:cs="仿宋_GB2312" w:eastAsia="仿宋_GB2312" w:hint="eastAsia"/>
                <w:b w:val="false"/>
                <w:i w:val="false"/>
                <w:color w:val="000000"/>
                <w:position w:val="-1"/>
                <w:sz w:val="22"/>
              </w:rPr>
            </w:r>
            <w:r>
              <w:t>1</w:t>
            </w:r>
          </w:p>
        </w:tc>
        <w:tc>
          <w:tcPr>
            <w:tcW w:type="dxa" w:w="1651"/>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保证单位正常运行，确保人员与公用支出</w:t>
            </w:r>
          </w:p>
        </w:tc>
        <w:tc>
          <w:tcPr>
            <w:tcW w:type="dxa" w:w="2085"/>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保障单位正常运转、完成日常工作任务及相关工作。</w:t>
            </w:r>
          </w:p>
        </w:tc>
        <w:tc>
          <w:tcPr>
            <w:tcW w:type="dxa" w:w="594"/>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637.53</w:t>
            </w:r>
          </w:p>
        </w:tc>
        <w:tc>
          <w:tcPr>
            <w:tcW w:type="dxa" w:w="48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637.53</w:t>
            </w:r>
          </w:p>
        </w:tc>
        <w:tc>
          <w:tcPr>
            <w:tcW w:type="dxa" w:w="525"/>
            <w:shd w:color="auto" w:fill="FFFFFF" w:val="clear"/>
            <w:vAlign w:val="center"/>
            <w:vAlign w:val="center"/>
          </w:tcPr>
          <w:p>
            <w:pPr>
              <w:pageBreakBefore w:val="false"/>
              <w:pBdr/>
              <w:spacing w:line="312" w:lineRule="auto"/>
              <w:jc w:val="center"/>
              <w:textAlignment w:val="auto"/>
            </w:pPr>
            <w:r>
              <w:rPr>
                <w:rFonts w:ascii="仿宋_GB2312" w:hAnsi="仿宋_GB2312" w:cs="仿宋_GB2312" w:eastAsia="仿宋_GB2312" w:hint="eastAsia"/>
                <w:b w:val="false"/>
                <w:i w:val="false"/>
                <w:color w:val="000000"/>
                <w:position w:val="-1"/>
                <w:sz w:val="22"/>
              </w:rPr>
            </w:r>
            <w:r>
              <w:t>0.0</w:t>
            </w:r>
          </w:p>
        </w:tc>
        <w:tc>
          <w:tcPr>
            <w:tcW w:type="dxa" w:w="594"/>
            <w:shd w:color="auto" w:fill="FFFFFF" w:val="clear"/>
            <w:vAlign w:val="center"/>
            <w:vAlign w:val="center"/>
          </w:tcPr>
          <w:p>
            <w:pPr>
              <w:pageBreakBefore w:val="false"/>
              <w:pBdr/>
              <w:spacing w:line="312" w:lineRule="auto"/>
              <w:jc w:val="center"/>
              <w:textAlignment w:val="auto"/>
            </w:pPr>
            <w:r>
              <w:rPr>
                <w:rFonts w:ascii="仿宋_GB2312" w:hAnsi="仿宋_GB2312" w:cs="仿宋_GB2312" w:eastAsia="仿宋_GB2312" w:hint="eastAsia"/>
                <w:b w:val="false"/>
                <w:i w:val="false"/>
                <w:color w:val="000000"/>
                <w:position w:val="-1"/>
                <w:sz w:val="22"/>
              </w:rPr>
            </w:r>
            <w:r>
              <w:t>811.8299999999999</w:t>
            </w:r>
          </w:p>
        </w:tc>
        <w:tc>
          <w:tcPr>
            <w:tcW w:type="dxa" w:w="541"/>
            <w:shd w:color="auto" w:fill="FFFFFF" w:val="clear"/>
            <w:vAlign w:val="center"/>
            <w:vAlign w:val="center"/>
          </w:tcPr>
          <w:p>
            <w:pPr>
              <w:pageBreakBefore w:val="false"/>
              <w:pBdr/>
              <w:spacing w:line="312" w:lineRule="auto"/>
              <w:jc w:val="center"/>
              <w:textAlignment w:val="auto"/>
            </w:pPr>
            <w:r>
              <w:rPr>
                <w:rFonts w:ascii="仿宋_GB2312" w:hAnsi="仿宋_GB2312" w:cs="仿宋_GB2312" w:eastAsia="仿宋_GB2312" w:hint="eastAsia"/>
                <w:b w:val="false"/>
                <w:i w:val="false"/>
                <w:color w:val="000000"/>
                <w:position w:val="-1"/>
                <w:sz w:val="22"/>
              </w:rPr>
            </w:r>
            <w:r>
              <w:t>811.83</w:t>
            </w:r>
          </w:p>
        </w:tc>
        <w:tc>
          <w:tcPr>
            <w:tcW w:type="dxa" w:w="503"/>
            <w:gridSpan w:val="2"/>
            <w:shd w:color="auto" w:fill="FFFFFF" w:val="clear"/>
            <w:vAlign w:val="center"/>
            <w:vAlign w:val="center"/>
          </w:tcPr>
          <w:p>
            <w:pPr>
              <w:pageBreakBefore w:val="false"/>
              <w:pBdr/>
              <w:spacing w:line="312" w:lineRule="auto"/>
              <w:jc w:val="center"/>
              <w:textAlignment w:val="auto"/>
            </w:pPr>
            <w:r>
              <w:rPr>
                <w:rFonts w:ascii="仿宋_GB2312" w:hAnsi="仿宋_GB2312" w:cs="仿宋_GB2312" w:eastAsia="仿宋_GB2312" w:hint="eastAsia"/>
                <w:b w:val="false"/>
                <w:i w:val="false"/>
                <w:color w:val="000000"/>
                <w:position w:val="-1"/>
                <w:sz w:val="22"/>
              </w:rPr>
            </w:r>
            <w:r>
              <w:t>0.0</w:t>
            </w:r>
          </w:p>
        </w:tc>
      </w:tr>
      <w:tr>
        <w:tblPrEx>
          <w:tblW w:type="dxa" w:w="7748"/>
          <w:tblInd w:type="dxa" w:w="-302"/>
          <w:tblLayout w:type="fixed"/>
          <w:tblCellMar>
            <w:top w:type="dxa" w:w="15"/>
            <w:left w:type="dxa" w:w="15"/>
            <w:bottom w:type="dxa" w:w="15"/>
            <w:right w:type="dxa" w:w="15"/>
          </w:tblCellMar>
        </w:tblPrEx>
        <w:trPr>
          <w:trHeight w:val="745"/>
        </w:trPr>
        <w:tc>
          <w:tcPr>
            <w:tcW w:type="dxa" w:w="4511"/>
            <w:gridSpan w:val="3"/>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kern w:val="0"/>
                <w:sz w:val="22"/>
                <w:szCs w:val="22"/>
                <w:lang w:bidi="ar"/>
              </w:rPr>
              <w:t>金额合计</w:t>
            </w:r>
          </w:p>
        </w:tc>
        <w:tc>
          <w:tcPr>
            <w:tcW w:type="dxa" w:w="594"/>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sz w:val="22"/>
                <w:szCs w:val="22"/>
              </w:rPr>
              <w:t>637.53</w:t>
            </w:r>
          </w:p>
        </w:tc>
        <w:tc>
          <w:tcPr>
            <w:tcW w:type="dxa" w:w="480"/>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sz w:val="22"/>
                <w:szCs w:val="22"/>
              </w:rPr>
              <w:t>637.53</w:t>
            </w:r>
          </w:p>
        </w:tc>
        <w:tc>
          <w:tcPr>
            <w:tcW w:type="dxa" w:w="525"/>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sz w:val="22"/>
                <w:szCs w:val="22"/>
              </w:rPr>
              <w:t>0.0</w:t>
            </w:r>
          </w:p>
        </w:tc>
        <w:tc>
          <w:tcPr>
            <w:tcW w:type="dxa" w:w="594"/>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sz w:val="22"/>
                <w:szCs w:val="22"/>
              </w:rPr>
              <w:t>811.8299999999999</w:t>
            </w:r>
          </w:p>
        </w:tc>
        <w:tc>
          <w:tcPr>
            <w:tcW w:type="dxa" w:w="541"/>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sz w:val="22"/>
                <w:szCs w:val="22"/>
              </w:rPr>
              <w:t>811.83</w:t>
            </w:r>
          </w:p>
        </w:tc>
        <w:tc>
          <w:tcPr>
            <w:tcW w:type="dxa" w:w="503"/>
            <w:gridSpan w:val="2"/>
            <w:shd w:color="auto" w:fill="FFFFFF" w:val="clear"/>
            <w:vAlign w:val="center"/>
          </w:tcPr>
          <w:p>
            <w:pPr>
              <w:spacing w:line="312" w:lineRule="auto"/>
              <w:jc w:val="center"/>
              <w:rPr>
                <w:rFonts w:ascii="仿宋_GB2312" w:cs="宋体" w:eastAsia="仿宋_GB2312" w:hAnsi="宋体" w:hint="eastAsia"/>
                <w:color w:val="000000"/>
                <w:sz w:val="22"/>
                <w:szCs w:val="22"/>
              </w:rPr>
            </w:pPr>
            <w:r>
              <w:rPr>
                <w:rFonts w:ascii="仿宋_GB2312" w:cs="宋体" w:eastAsia="仿宋_GB2312" w:hAnsi="宋体" w:hint="eastAsia"/>
                <w:color w:val="000000"/>
                <w:sz w:val="22"/>
                <w:szCs w:val="22"/>
              </w:rPr>
              <w:t>0.0</w:t>
            </w:r>
          </w:p>
        </w:tc>
      </w:tr>
    </w:tbl>
    <w:p>
      <w:pPr>
        <w:rPr>
          <w:rFonts w:ascii="仿宋_GB2312" w:eastAsia="仿宋_GB2312"/>
        </w:rPr>
      </w:pPr>
    </w:p>
    <w:p>
      <w:pPr>
        <w:rPr>
          <w:rFonts w:ascii="仿宋_GB2312" w:eastAsia="仿宋_GB2312"/>
        </w:rPr>
      </w:pPr>
    </w:p>
    <w:p>
      <w:pPr>
        <w:rPr>
          <w:rFonts w:ascii="仿宋_GB2312" w:eastAsia="仿宋_GB2312"/>
          <w:b/>
          <w:bCs/>
          <w:sz w:val="28"/>
          <w:szCs w:val="36"/>
        </w:rPr>
      </w:pPr>
      <w:r>
        <w:rPr>
          <w:rFonts w:ascii="仿宋_GB2312" w:eastAsia="仿宋_GB2312" w:hint="eastAsia"/>
          <w:b/>
          <w:bCs/>
          <w:sz w:val="28"/>
          <w:szCs w:val="36"/>
        </w:rPr>
        <w:t>附件2 年度绩效目标完成情况</w:t>
      </w:r>
    </w:p>
    <w:p>
      <w:pPr>
        <w:rPr>
          <w:rFonts w:ascii="仿宋_GB2312" w:eastAsia="仿宋_GB2312"/>
        </w:rPr>
      </w:pPr>
    </w:p>
    <w:tbl>
      <w:tblPr>
        <w:tblStyle w:val="TableNormal"/>
        <w:tblW w:type="dxa" w:w="9265"/>
        <w:tblInd w:type="dxa" w:w="-30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top w:type="dxa" w:w="15"/>
          <w:left w:type="dxa" w:w="15"/>
          <w:bottom w:type="dxa" w:w="15"/>
          <w:right w:type="dxa" w:w="15"/>
        </w:tblCellMar>
      </w:tblPr>
      <w:tblGrid>
        <w:gridCol w:w="4165"/>
        <w:gridCol w:w="5100"/>
      </w:tblGrid>
      <w:tr>
        <w:tblPrEx>
          <w:tblW w:type="dxa" w:w="9265"/>
          <w:tblInd w:type="dxa" w:w="-30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CellMar>
            <w:top w:type="dxa" w:w="15"/>
            <w:left w:type="dxa" w:w="15"/>
            <w:bottom w:type="dxa" w:w="15"/>
            <w:right w:type="dxa" w:w="15"/>
          </w:tblCellMar>
        </w:tblPrEx>
        <w:trPr>
          <w:trHeight w:val="745"/>
        </w:trPr>
        <w:tc>
          <w:tcPr>
            <w:tcW w:type="dxa" w:w="4165"/>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预期目标</w:t>
            </w:r>
          </w:p>
        </w:tc>
        <w:tc>
          <w:tcPr>
            <w:tcW w:type="dxa" w:w="5100"/>
            <w:shd w:color="auto" w:fill="FFFFFF" w:val="clear"/>
            <w:vAlign w:val="center"/>
          </w:tcPr>
          <w:p>
            <w:pPr>
              <w:widowControl/>
              <w:spacing w:line="312" w:lineRule="auto"/>
              <w:jc w:val="center"/>
              <w:textAlignment w:val="center"/>
              <w:rPr>
                <w:rFonts w:ascii="仿宋_GB2312" w:cs="宋体" w:eastAsia="仿宋_GB2312" w:hAnsi="宋体"/>
                <w:color w:val="000000"/>
                <w:sz w:val="22"/>
                <w:szCs w:val="22"/>
              </w:rPr>
            </w:pPr>
            <w:r>
              <w:rPr>
                <w:rFonts w:ascii="仿宋_GB2312" w:cs="宋体" w:eastAsia="仿宋_GB2312" w:hAnsi="宋体" w:hint="eastAsia"/>
                <w:color w:val="000000"/>
                <w:kern w:val="0"/>
                <w:sz w:val="22"/>
                <w:szCs w:val="22"/>
                <w:lang w:bidi="ar"/>
              </w:rPr>
              <w:t>实际完成情况</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保障在职人员24人，退休人员17人的正常办公、生活秩序</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保障在职人员30人，退休人员17人的正常办公。</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开展1次水污染源监测，开展2次废气重点污染源监测</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对2个点位共计开展4次地表水监测，汇总收集相关数据，并对相关数据进行保存</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出具一份“应急预案”，开展应急演练，根据“应急预案”要求及数据报送规定执行</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4月、5月份开展城市道路交通噪声及区域环境噪声监测，收集汇总相关数据</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出具一份2018年度环境质量报告书</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根据各室实际情况在2019年11月底前制定工作与质控管理计划，每年开展1次质控考核</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根据相关处室提供的监测名单开展执法性监督监测，并上报相关监测结果</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不定期开展内部督查工作，保障各职能科室的工作质量，同时内部审核质量体系至少2次</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做好“安静小区”的验收、资料检查、抽测、监测技术、监测数据整理的检查监督，监测结果及时上报市局固体处</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r>
        <w:tc>
          <w:tcPr>
            <w:tcW w:type="dxa" w:w="4165"/>
            <w:shd w:color="auto" w:fill="FFFFFF" w:val="clear"/>
            <w:vAlign w:val="center"/>
            <w:vAlign w:val="center"/>
          </w:tcPr>
          <w:p>
            <w:pPr>
              <w:pageBreakBefore w:val="false"/>
              <w:pBdr/>
              <w:spacing w:line="312" w:lineRule="auto"/>
              <w:jc w:val="left"/>
              <w:textAlignment w:val="center"/>
            </w:pPr>
            <w:r>
              <w:rPr>
                <w:rFonts w:ascii="仿宋_GB2312" w:hAnsi="仿宋_GB2312" w:cs="仿宋_GB2312" w:eastAsia="仿宋_GB2312" w:hint="eastAsia"/>
                <w:b w:val="false"/>
                <w:i w:val="false"/>
                <w:color w:val="000000"/>
                <w:position w:val="-1"/>
                <w:sz w:val="22"/>
              </w:rPr>
            </w:r>
            <w:r>
              <w:t>开展人员培训，业务人员培训参与率100%</w:t>
            </w:r>
          </w:p>
        </w:tc>
        <w:tc>
          <w:tcPr>
            <w:tcW w:type="dxa" w:w="5100"/>
            <w:shd w:color="auto" w:fill="FFFFFF" w:val="clear"/>
            <w:vAlign w:val="center"/>
            <w:vAlign w:val="center"/>
          </w:tcPr>
          <w:p>
            <w:pPr>
              <w:pageBreakBefore w:val="false"/>
              <w:pBdr/>
              <w:spacing w:line="312" w:lineRule="auto"/>
              <w:jc w:val="left"/>
              <w:textAlignment w:val="auto"/>
            </w:pPr>
            <w:r>
              <w:rPr>
                <w:rFonts w:ascii="仿宋_GB2312" w:hAnsi="仿宋_GB2312" w:cs="仿宋_GB2312" w:eastAsia="仿宋_GB2312" w:hint="eastAsia"/>
                <w:b w:val="false"/>
                <w:i w:val="false"/>
                <w:color w:val="000000"/>
                <w:position w:val="-1"/>
                <w:sz w:val="22"/>
              </w:rPr>
            </w:r>
            <w:r>
              <w:t>全部完成</w:t>
            </w:r>
          </w:p>
        </w:tc>
      </w:tr>
    </w:tbl>
    <w:p>
      <w:pPr>
        <w:rPr>
          <w:rFonts w:ascii="仿宋_GB2312" w:eastAsia="仿宋_GB2312"/>
        </w:rPr>
      </w:pPr>
    </w:p>
    <w:p>
      <w:pPr>
        <w:spacing w:line="560" w:lineRule="exact"/>
        <w:ind w:firstLine="640" w:firstLineChars="200"/>
        <w:rPr>
          <w:rFonts w:ascii="仿宋" w:eastAsia="仿宋" w:hAnsi="仿宋" w:hint="eastAsia"/>
          <w:sz w:val="32"/>
          <w:szCs w:val="32"/>
        </w:rPr>
      </w:pPr>
    </w:p>
    <w:sectPr>
      <w:pgSz w:h="16838" w:w="11906"/>
      <w:pgMar w:bottom="1440" w:footer="992" w:gutter="0" w:header="851" w:left="1800" w:right="1800" w:top="1440"/>
      <w:cols w:num="1" w:space="425"/>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pPr>
      <w:pStyle w:val="Footer"/>
      <w:framePr w:hAnchor="margin" w:vAnchor="text" w:wrap="around"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ind w:firstLine="360"/>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pPr>
      <w:pStyle w:val="Footer"/>
      <w:framePr w:hAnchor="margin" w:vAnchor="text" w:wrap="around"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pPr>
      <w:pStyle w:val="Footer"/>
      <w:ind w:firstLine="360"/>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pPr>
      <w:pStyle w:val="Header"/>
      <w:pBdr>
        <w:bottom w:color="auto" w:space="1" w:sz="0" w:val="none"/>
      </w:pBdr>
      <w:ind w:firstLine="360"/>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9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5D"/>
    <w:rsid w:val="000366C0"/>
    <w:rsid w:val="00096ED1"/>
    <w:rsid w:val="000B725D"/>
    <w:rsid w:val="0012248D"/>
    <w:rsid w:val="001E0BA7"/>
    <w:rsid w:val="00492B98"/>
    <w:rsid w:val="005D1600"/>
    <w:rsid w:val="00726F06"/>
    <w:rsid w:val="007D0D57"/>
    <w:rsid w:val="0080545B"/>
    <w:rsid w:val="009B4E28"/>
    <w:rsid w:val="00BA19A1"/>
    <w:rsid w:val="00C747B2"/>
    <w:rsid w:val="00D04AD3"/>
    <w:rsid w:val="00D06262"/>
    <w:rsid w:val="00D616BA"/>
    <w:rsid w:val="00E027E0"/>
    <w:rsid w:val="00E26FF1"/>
    <w:rsid w:val="00E27E43"/>
    <w:rsid w:val="00F11CD0"/>
    <w:rsid w:val="00F324E1"/>
    <w:rsid w:val="00FB216A"/>
    <w:rsid w:val="090507D3"/>
    <w:rsid w:val="21B631A5"/>
    <w:rsid w:val="21C06A17"/>
    <w:rsid w:val="268B30A3"/>
    <w:rsid w:val="2EF91626"/>
    <w:rsid w:val="30375BD2"/>
    <w:rsid w:val="3F936BB3"/>
    <w:rsid w:val="4DCF2866"/>
    <w:rsid w:val="681E750B"/>
    <w:rsid w:val="68817EE4"/>
    <w:rsid w:val="7658178E"/>
  </w:rsids>
  <m:mathPr>
    <m:mathFont m:val="Cambria Math"/>
  </m:mathPr>
  <w:themeFontLang w:eastAsia="zh-CN" w:val="en-US"/>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宋体" w:hAnsi="Times New Roman"/>
        <w:lang w:bidi="ar-SA" w:eastAsia="en-US" w:val="en-US"/>
      </w:rPr>
    </w:rPrDefault>
    <w:pPrDefault>
      <w:pPr>
        <w:spacing w:after="200" w:line="276" w:lineRule="auto"/>
      </w:pPr>
    </w:pPrDefault>
  </w:docDefaults>
  <w:latentStyles w:count="260"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semiHidden="0"/>
    <w:lsdException w:name="footer" w:qFormat="1" w:semiHidden="0"/>
    <w:lsdException w:name="index heading"/>
    <w:lsdException w:name="caption" w:qFormat="1" w:uiPriority="35"/>
    <w:lsdException w:name="table of figures"/>
    <w:lsdException w:name="envelope address"/>
    <w:lsdException w:name="envelope return"/>
    <w:lsdException w:name="footnote reference"/>
    <w:lsdException w:name="annotation reference"/>
    <w:lsdException w:name="line number"/>
    <w:lsdException w:name="page number" w:qFormat="1" w:semiHidden="0"/>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qFormat="1" w:semiHidden="0" w:uiPriority="10" w:unhideWhenUsed="0"/>
    <w:lsdException w:name="Closing"/>
    <w:lsdException w:name="Signature"/>
    <w:lsdException w:name="Default Paragraph Font" w:qFormat="1" w:uiPriority="1"/>
    <w:lsdException w:name="Body Text"/>
    <w:lsdException w:name="Body Text Indent" w:qFormat="1" w:semiHidden="0"/>
    <w:lsdException w:name="List Continue"/>
    <w:lsdException w:name="List Continue 2"/>
    <w:lsdException w:name="List Continue 3"/>
    <w:lsdException w:name="List Continue 4"/>
    <w:lsdException w:name="List Continue 5"/>
    <w:lsdException w:name="Message Header"/>
    <w:lsdException w:name="Subtitle" w:qFormat="1" w:semiHidden="0" w:uiPriority="11" w:unhideWhenUsed="0"/>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qFormat="1" w:semiHidden="0" w:uiPriority="22" w:unhideWhenUsed="0"/>
    <w:lsdException w:name="Emphasis" w:qFormat="1" w:semiHidden="0" w:uiPriority="20" w:unhideWhenUsed="0"/>
    <w:lsdException w:name="Document Map"/>
    <w:lsdException w:name="Plain Text"/>
    <w:lsdException w:name="E-mail Signature"/>
    <w:lsdException w:name="Normal (Web)" w:qFormat="1" w:semiHidden="0" w:uiPriority="0" w:unhideWhenUsed="0"/>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Normal" w:type="paragraph">
    <w:name w:val="Normal"/>
    <w:qFormat/>
    <w:pPr>
      <w:widowControl w:val="0"/>
      <w:jc w:val="both"/>
    </w:pPr>
    <w:rPr>
      <w:rFonts w:asciiTheme="minorHAnsi" w:cstheme="minorBidi" w:eastAsia="宋体" w:hAnsiTheme="minorHAnsi"/>
      <w:kern w:val="2"/>
      <w:sz w:val="21"/>
      <w:szCs w:val="24"/>
      <w:lang w:bidi="ar-SA" w:eastAsia="zh-CN" w:val="en-US"/>
    </w:rPr>
  </w:style>
  <w:style w:default="1" w:styleId="DefaultParagraphFont" w:type="character">
    <w:name w:val="Default Paragraph Font"/>
    <w:uiPriority w:val="1"/>
    <w:semiHidden/>
    <w:unhideWhenUsed/>
    <w:qFormat/>
  </w:style>
  <w:style w:default="1" w:styleId="TableNormal" w:type="table">
    <w:name w:val="Normal Table"/>
    <w:uiPriority w:val="99"/>
    <w:semiHidden/>
    <w:unhideWhenUsed/>
    <w:tblPr>
      <w:tblCellMar>
        <w:top w:type="dxa" w:w="0"/>
        <w:left w:type="dxa" w:w="108"/>
        <w:bottom w:type="dxa" w:w="0"/>
        <w:right w:type="dxa" w:w="108"/>
      </w:tblCellMar>
    </w:tblPr>
  </w:style>
  <w:style w:styleId="BodyTextIndent" w:type="paragraph">
    <w:name w:val="Body Text Indent"/>
    <w:basedOn w:val="Normal"/>
    <w:link w:val="Char1"/>
    <w:uiPriority w:val="99"/>
    <w:unhideWhenUsed/>
    <w:qFormat/>
    <w:pPr>
      <w:ind w:firstLine="200" w:firstLineChars="200" w:left="284"/>
    </w:pPr>
    <w:rPr>
      <w:rFonts w:ascii="楷体_GB2312" w:cs="Times New Roman" w:eastAsia="楷体_GB2312" w:hAnsi="Times New Roman"/>
      <w:sz w:val="84"/>
      <w:szCs w:val="20"/>
    </w:rPr>
  </w:style>
  <w:style w:styleId="Footer" w:type="paragraph">
    <w:name w:val="footer"/>
    <w:basedOn w:val="Normal"/>
    <w:link w:val="Char0"/>
    <w:uiPriority w:val="99"/>
    <w:unhideWhenUsed/>
    <w:qFormat/>
    <w:pPr>
      <w:tabs>
        <w:tab w:pos="4153" w:val="center"/>
        <w:tab w:pos="8306" w:val="right"/>
      </w:tabs>
      <w:snapToGrid w:val="0"/>
      <w:jc w:val="left"/>
    </w:pPr>
    <w:rPr>
      <w:sz w:val="18"/>
      <w:szCs w:val="18"/>
    </w:rPr>
  </w:style>
  <w:style w:styleId="Header" w:type="paragraph">
    <w:name w:val="header"/>
    <w:basedOn w:val="Normal"/>
    <w:link w:val="Char"/>
    <w:uiPriority w:val="99"/>
    <w:unhideWhenUsed/>
    <w:qFormat/>
    <w:pPr>
      <w:pBdr>
        <w:bottom w:color="auto" w:space="1" w:sz="6" w:val="single"/>
      </w:pBdr>
      <w:tabs>
        <w:tab w:pos="4153" w:val="center"/>
        <w:tab w:pos="8306" w:val="right"/>
      </w:tabs>
      <w:snapToGrid w:val="0"/>
      <w:jc w:val="center"/>
    </w:pPr>
    <w:rPr>
      <w:sz w:val="18"/>
      <w:szCs w:val="18"/>
    </w:rPr>
  </w:style>
  <w:style w:styleId="NormalWeb" w:type="paragraph">
    <w:name w:val="Normal (Web)"/>
    <w:basedOn w:val="Normal"/>
    <w:qFormat/>
    <w:pPr>
      <w:widowControl/>
      <w:spacing w:after="100" w:afterAutospacing="1" w:before="100" w:beforeAutospacing="1"/>
      <w:jc w:val="left"/>
    </w:pPr>
    <w:rPr>
      <w:rFonts w:ascii="宋体" w:cs="宋体" w:hAnsi="宋体"/>
      <w:color w:val="000000"/>
      <w:kern w:val="0"/>
      <w:sz w:val="24"/>
    </w:rPr>
  </w:style>
  <w:style w:styleId="PageNumber" w:type="character">
    <w:name w:val="page number"/>
    <w:basedOn w:val="DefaultParagraphFont"/>
    <w:uiPriority w:val="99"/>
    <w:unhideWhenUsed/>
    <w:qFormat/>
  </w:style>
  <w:style w:customStyle="1" w:styleId="Char" w:type="character">
    <w:name w:val="页眉 Char"/>
    <w:basedOn w:val="DefaultParagraphFont"/>
    <w:link w:val="Header"/>
    <w:uiPriority w:val="99"/>
    <w:qFormat/>
    <w:rPr>
      <w:sz w:val="18"/>
      <w:szCs w:val="18"/>
    </w:rPr>
  </w:style>
  <w:style w:customStyle="1" w:styleId="Char0" w:type="character">
    <w:name w:val="页脚 Char"/>
    <w:basedOn w:val="DefaultParagraphFont"/>
    <w:link w:val="Footer"/>
    <w:uiPriority w:val="99"/>
    <w:qFormat/>
    <w:rPr>
      <w:sz w:val="18"/>
      <w:szCs w:val="18"/>
    </w:rPr>
  </w:style>
  <w:style w:customStyle="1" w:styleId="Char1" w:type="character">
    <w:name w:val="正文文本缩进 Char"/>
    <w:basedOn w:val="DefaultParagraphFont"/>
    <w:link w:val="BodyTextIndent"/>
    <w:uiPriority w:val="99"/>
    <w:qFormat/>
    <w:rPr>
      <w:rFonts w:ascii="楷体_GB2312" w:cs="Times New Roman" w:eastAsia="楷体_GB2312" w:hAnsi="Times New Roman"/>
      <w:sz w:val="8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3.xml" Type="http://schemas.openxmlformats.org/officeDocument/2006/relationships/footer"/><Relationship Id="rId11" Target="theme/theme1.xml" Type="http://schemas.openxmlformats.org/officeDocument/2006/relationships/theme"/><Relationship Id="rId12"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customXml/item1.xml" Type="http://schemas.openxmlformats.org/officeDocument/2006/relationships/customXml"/><Relationship Id="rId5" Target="header1.xml" Type="http://schemas.openxmlformats.org/officeDocument/2006/relationships/header"/><Relationship Id="rId6" Target="header2.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header3.xml" Type="http://schemas.openxmlformats.org/officeDocument/2006/relationships/head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2018-07-23T08:42:00Z</dcterms:created>
  <dc:creator>Suda</dc:creator>
  <cp:lastModifiedBy>xue</cp:lastModifiedBy>
  <dcterms:modified xsi:type="dcterms:W3CDTF">2019-03-05T02:01:46Z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2052-10.1.0.7697</vt:lpwstr>
  </property>
</Properties>
</file>