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ind w:firstLine="923"/>
        <w:spacing w:line="348" w:lineRule="auto"/>
      </w:pPr>
      <w:r>
        <w:rPr>
          <w:b/>
          <w:rFonts w:ascii="宋体" w:hAnsi="宋体"/>
          <w:sz w:val="44"/>
          <w:szCs w:val="44"/>
        </w:rPr>
        <w:t>2019年</w:t>
      </w:r>
      <w:r>
        <w:rPr>
          <w:b/>
          <w:rFonts w:ascii="宋体" w:hAnsi="宋体"/>
          <w:sz w:val="44"/>
          <w:szCs w:val="44"/>
        </w:rPr>
        <w:t>度</w:t>
      </w:r>
      <w:r>
        <w:rPr>
          <w:b/>
          <w:rFonts w:ascii="宋体" w:hAnsi="宋体"/>
          <w:sz w:val="44"/>
          <w:szCs w:val="44"/>
        </w:rPr>
        <w:t>规划和自然资源局南开</w:t>
      </w:r>
    </w:p>
    <w:p>
      <w:pPr>
        <w:pStyle w:val=""/>
        <w:jc w:val="center"/>
        <w:ind w:firstLine="923"/>
        <w:spacing w:line="348" w:lineRule="auto"/>
      </w:pPr>
      <w:r>
        <w:rPr>
          <w:b/>
          <w:rFonts w:ascii="宋体" w:hAnsi="宋体"/>
          <w:sz w:val="44"/>
          <w:szCs w:val="44"/>
        </w:rPr>
        <w:t>分</w:t>
      </w:r>
      <w:r>
        <w:rPr>
          <w:b/>
          <w:rFonts w:ascii="宋体" w:hAnsi="宋体"/>
          <w:sz w:val="44"/>
          <w:szCs w:val="44"/>
        </w:rPr>
        <w:t>局政府信息公开工作年度报告</w:t>
      </w:r>
    </w:p>
    <w:p>
      <w:pPr>
        <w:pStyle w:val=""/>
        <w:ind w:firstLine="680"/>
        <w:spacing w:line="348" w:lineRule="auto"/>
        <w:rPr>
          <w:rFonts w:ascii="黑体" w:hAnsi="黑体"/>
          <w:sz w:val="32"/>
          <w:szCs w:val="32"/>
        </w:rPr>
      </w:pPr>
      <w:r>
        <w:rPr>
          <w:rFonts w:ascii="黑体" w:hAnsi="黑体"/>
          <w:sz w:val="32"/>
          <w:szCs w:val="32"/>
        </w:rPr>
        <w:t>一、总体情况</w:t>
      </w:r>
    </w:p>
    <w:p>
      <w:pPr>
        <w:pStyle w:val=""/>
        <w:ind w:firstLine="680"/>
        <w:spacing w:line="348" w:lineRule="auto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2019</w:t>
      </w:r>
      <w:r>
        <w:rPr>
          <w:rFonts w:ascii="仿宋" w:hAnsi="仿宋"/>
          <w:sz w:val="32"/>
          <w:szCs w:val="32"/>
        </w:rPr>
        <w:t>年，我分局认真贯彻落实《中华人民共和国政府</w:t>
      </w:r>
      <w:r>
        <w:rPr>
          <w:rFonts w:ascii="仿宋" w:hAnsi="仿宋"/>
          <w:sz w:val="32"/>
          <w:szCs w:val="32"/>
        </w:rPr>
        <w:t>信息公开条例》和市局、区政府统一部署，不断健全完善政务信息公开工作制度，扎实做好政务信息公开工作，切实保障人民群众的知情权、参与权、监督权和表达权。现将我分局2019年度政府信息公开工作报告如下：</w:t>
      </w:r>
    </w:p>
    <w:p>
      <w:pPr>
        <w:pStyle w:val=""/>
        <w:ind w:firstLine="683"/>
        <w:spacing w:line="348" w:lineRule="auto"/>
      </w:pPr>
      <w:r>
        <w:rPr>
          <w:b/>
          <w:rFonts w:ascii="仿宋" w:hAnsi="仿宋"/>
          <w:sz w:val="32"/>
          <w:szCs w:val="32"/>
        </w:rPr>
        <w:t>2019年工作开展情况</w:t>
      </w:r>
    </w:p>
    <w:p>
      <w:pPr>
        <w:pStyle w:val=""/>
        <w:ind w:firstLine="680"/>
        <w:spacing w:line="348" w:lineRule="auto"/>
      </w:pPr>
      <w:r>
        <w:rPr>
          <w:rFonts w:ascii="仿宋" w:hAnsi="仿宋"/>
          <w:sz w:val="32"/>
          <w:szCs w:val="32"/>
        </w:rPr>
        <w:t>建立健全政务信息公开工作机制</w:t>
      </w:r>
    </w:p>
    <w:p>
      <w:pPr>
        <w:pStyle w:val=""/>
        <w:ind w:firstLine="680"/>
        <w:spacing w:line="348" w:lineRule="auto"/>
      </w:pPr>
      <w:r>
        <w:rPr>
          <w:rFonts w:ascii="仿宋" w:hAnsi="仿宋"/>
          <w:sz w:val="32"/>
          <w:szCs w:val="32"/>
        </w:rPr>
        <w:t>一是强化组织领导。成立了</w:t>
      </w:r>
      <w:r>
        <w:rPr>
          <w:rFonts w:ascii="仿宋" w:hAnsi="仿宋"/>
          <w:sz w:val="32"/>
          <w:szCs w:val="32"/>
        </w:rPr>
        <w:t>以</w:t>
      </w:r>
      <w:r>
        <w:rPr>
          <w:rFonts w:ascii="仿宋" w:hAnsi="仿宋"/>
          <w:sz w:val="32"/>
          <w:szCs w:val="32"/>
        </w:rPr>
        <w:t>郑晓辉局长任组长，各副局长任副组长，各科室负责人为成员的政务公开领导</w:t>
      </w:r>
      <w:r>
        <w:rPr>
          <w:rFonts w:ascii="仿宋" w:hAnsi="仿宋"/>
          <w:sz w:val="32"/>
          <w:szCs w:val="32"/>
        </w:rPr>
        <w:t>小组，并指定了专人负责此项工作。二是建立健全信息公开工作制度。依据《中华人民共和国政府信息公开条例》严格区分主动公开、依申请公开、不予公开工作信息。三是完善政务信息公开指南和目录。本着高效、快捷、便民的原则，及时完善分局信息公开指南和目录，对主动公开的信息范围（目录）、内容、查询方法以及对申请公开的步骤、处理程序等作了明确规定。四是加强政务信息公开载体建设。利用网站政务公开栏主动公开相关文件，公民、法人和其他组织均可登陆网站，按照标题、文号等方式进行查询。</w:t>
      </w:r>
    </w:p>
    <w:p>
      <w:pPr>
        <w:pStyle w:val=""/>
        <w:ind w:firstLine="680"/>
        <w:spacing w:line="348" w:lineRule="auto"/>
      </w:pPr>
      <w:r>
        <w:rPr>
          <w:rFonts w:ascii="黑体" w:hAnsi="黑体"/>
          <w:sz w:val="32"/>
          <w:szCs w:val="32"/>
        </w:rPr>
        <w:t>二、主动公开政府信息情况</w:t>
      </w:r>
    </w:p>
    <w:p>
      <w:pPr>
        <w:pStyle w:val=""/>
        <w:ind w:firstLine="680"/>
        <w:spacing w:line="348" w:lineRule="auto"/>
      </w:pPr>
      <w:r>
        <w:rPr>
          <w:rFonts w:ascii="仿宋" w:hAnsi="仿宋"/>
          <w:sz w:val="32"/>
          <w:szCs w:val="32"/>
        </w:rPr>
        <w:t>扎实开展政务信息公开工作</w:t>
      </w:r>
    </w:p>
    <w:p>
      <w:pPr>
        <w:pStyle w:val=""/>
        <w:ind w:firstLine="680"/>
        <w:spacing w:line="348" w:lineRule="auto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主动公开政务信息情况。通过市局官方网站主动公开发表政务信息185条。</w:t>
      </w:r>
    </w:p>
    <w:tbl>
      <w:tblPr>
        <w:jc w:val="center"/>
        <w:tblStyle w:val="普通表格"/>
        <w:tblLook w:val="1E0"/>
        <w:tblW w:w="0" w:type="auto"/>
      </w:tblPr>
      <w:tblGrid>
        <w:gridCol w:w="3113"/>
        <w:gridCol w:w="1875"/>
        <w:gridCol w:w="6"/>
        <w:gridCol w:w="1265"/>
        <w:gridCol w:w="1881"/>
      </w:tblGrid>
      <w:tr>
        <w:trPr>
          <w:trHeight w:val="495" w:hRule="atLeast"/>
        </w:trPr>
        <w:tc>
          <w:tcPr>
            <w:gridSpan w:val="5"/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C6D9F1"/>
            <w:vAlign w:val="center"/>
            <w:tcW w:w="814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第二十条第（一）项</w:t>
            </w:r>
          </w:p>
        </w:tc>
      </w:tr>
      <w:tr>
        <w:trPr>
          <w:trHeight w:val="882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113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信息内容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7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本年新 </w:t>
            </w:r>
            <w:r>
              <w:rPr>
                <w:rFonts w:ascii="宋体" w:hAnsi="宋体"/>
                <w:sz w:val="20"/>
                <w:szCs w:val="20"/>
              </w:rPr>
              <w:t>制作数量</w:t>
            </w:r>
          </w:p>
        </w:tc>
        <w:tc>
          <w:tcPr>
            <w:gridSpan w:val="2"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271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本年新 </w:t>
            </w:r>
            <w:r>
              <w:rPr>
                <w:rFonts w:ascii="宋体" w:hAnsi="宋体"/>
                <w:sz w:val="20"/>
                <w:szCs w:val="20"/>
              </w:rPr>
              <w:t>公开数量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对外公开总数量</w:t>
            </w:r>
          </w:p>
        </w:tc>
      </w:tr>
      <w:tr>
        <w:trPr>
          <w:trHeight w:val="523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113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规章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7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无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271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</w:p>
        </w:tc>
      </w:tr>
      <w:tr>
        <w:trPr>
          <w:trHeight w:val="471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113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规范性文件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75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无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271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</w:p>
        </w:tc>
      </w:tr>
      <w:tr>
        <w:trPr>
          <w:trHeight w:val="480" w:hRule="atLeast"/>
        </w:trPr>
        <w:tc>
          <w:tcPr>
            <w:gridSpan w:val="5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C6D9F1"/>
            <w:vAlign w:val="center"/>
            <w:tcW w:w="814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第二十条第（五）项</w:t>
            </w:r>
          </w:p>
        </w:tc>
      </w:tr>
      <w:tr>
        <w:trPr>
          <w:trHeight w:val="634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113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信息内容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7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上一年项目数量</w:t>
            </w:r>
          </w:p>
        </w:tc>
        <w:tc>
          <w:tcPr>
            <w:gridSpan w:val="2"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271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本年增/减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处理决定数量</w:t>
            </w:r>
          </w:p>
        </w:tc>
      </w:tr>
      <w:tr>
        <w:trPr>
          <w:trHeight w:val="528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113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行政许可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163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265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增22</w:t>
            </w:r>
            <w:r>
              <w:rPr>
                <w:rFonts w:ascii="宋体" w:hAnsi="宋体"/>
                <w:sz w:val="20"/>
                <w:szCs w:val="20"/>
              </w:rPr>
              <w:t>件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185</w:t>
            </w:r>
          </w:p>
        </w:tc>
      </w:tr>
      <w:tr>
        <w:trPr>
          <w:trHeight w:val="550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113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其他对外管理服务事项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265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</w:p>
        </w:tc>
      </w:tr>
      <w:tr>
        <w:trPr>
          <w:trHeight w:val="406" w:hRule="atLeast"/>
        </w:trPr>
        <w:tc>
          <w:tcPr>
            <w:gridSpan w:val="5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C6D9F1"/>
            <w:vAlign w:val="center"/>
            <w:tcW w:w="814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第二十条第（六）项</w:t>
            </w:r>
          </w:p>
        </w:tc>
      </w:tr>
      <w:tr>
        <w:trPr>
          <w:trHeight w:val="634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113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信息内容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7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上一年项目数量</w:t>
            </w:r>
          </w:p>
        </w:tc>
        <w:tc>
          <w:tcPr>
            <w:gridSpan w:val="2"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271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本年增/减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处理决定数量</w:t>
            </w:r>
          </w:p>
        </w:tc>
      </w:tr>
      <w:tr>
        <w:trPr>
          <w:trHeight w:val="430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113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行政处罚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265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</w:p>
        </w:tc>
      </w:tr>
      <w:tr>
        <w:trPr>
          <w:trHeight w:val="409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113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行政强制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265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</w:p>
        </w:tc>
      </w:tr>
      <w:tr>
        <w:trPr>
          <w:trHeight w:val="474" w:hRule="atLeast"/>
        </w:trPr>
        <w:tc>
          <w:tcPr>
            <w:gridSpan w:val="5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C6D9F1"/>
            <w:vAlign w:val="center"/>
            <w:tcW w:w="814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第二十条第（八）项</w:t>
            </w:r>
          </w:p>
        </w:tc>
      </w:tr>
      <w:tr>
        <w:trPr>
          <w:trHeight w:val="270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113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信息内容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上一年项目数量</w:t>
            </w:r>
          </w:p>
        </w:tc>
        <w:tc>
          <w:tcPr>
            <w:gridSpan w:val="2"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3146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本年增/减</w:t>
            </w:r>
          </w:p>
        </w:tc>
      </w:tr>
      <w:tr>
        <w:trPr>
          <w:trHeight w:val="551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113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行政事业性收费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无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3146" w:type="dxa"/>
          </w:tcPr>
          <w:p>
            <w:pPr>
              <w:pStyle w:val=""/>
              <w:jc w:val="center"/>
            </w:pPr>
          </w:p>
        </w:tc>
      </w:tr>
      <w:tr>
        <w:trPr>
          <w:trHeight w:val="476" w:hRule="atLeast"/>
        </w:trPr>
        <w:tc>
          <w:tcPr>
            <w:gridSpan w:val="5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C6D9F1"/>
            <w:vAlign w:val="center"/>
            <w:tcW w:w="814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第二十条第（九）项</w:t>
            </w:r>
          </w:p>
        </w:tc>
      </w:tr>
      <w:tr>
        <w:trPr>
          <w:trHeight w:val="585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113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信息内容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采购项目数量</w:t>
            </w:r>
          </w:p>
        </w:tc>
        <w:tc>
          <w:tcPr>
            <w:gridSpan w:val="2"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3146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采购总金额</w:t>
            </w:r>
          </w:p>
        </w:tc>
      </w:tr>
      <w:tr>
        <w:trPr>
          <w:trHeight w:val="539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113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宋体" w:hAnsi="宋体"/>
                <w:sz w:val="20"/>
                <w:szCs w:val="20"/>
              </w:rPr>
              <w:t>政府集中采购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1881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无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3146" w:type="dxa"/>
          </w:tcPr>
          <w:p>
            <w:pPr>
              <w:pStyle w:val=""/>
              <w:jc w:val="center"/>
            </w:pPr>
          </w:p>
        </w:tc>
      </w:tr>
    </w:tbl>
    <w:p>
      <w:pPr>
        <w:pStyle w:val=""/>
        <w:ind w:firstLine="680"/>
        <w:spacing w:line="348" w:lineRule="auto"/>
        <w:rPr>
          <w:rFonts w:ascii="仿宋" w:hAnsi="仿宋"/>
          <w:sz w:val="32"/>
          <w:szCs w:val="32"/>
        </w:rPr>
      </w:pPr>
    </w:p>
    <w:p>
      <w:pPr>
        <w:shd w:fill="FFFFFF"/>
        <w:pStyle w:val=""/>
        <w:ind w:firstLine="480"/>
        <w:spacing w:after="240"/>
        <w:rPr>
          <w:rFonts w:ascii="黑体" w:hAnsi="宋体"/>
          <w:sz w:val="32"/>
          <w:szCs w:val="32"/>
        </w:rPr>
      </w:pPr>
      <w:r>
        <w:rPr>
          <w:rFonts w:ascii="黑体" w:hAnsi="宋体"/>
          <w:sz w:val="32"/>
          <w:szCs w:val="32"/>
        </w:rPr>
        <w:t>三、收到和处理政府信息公开申请情况</w:t>
      </w:r>
    </w:p>
    <w:p>
      <w:pPr>
        <w:pStyle w:val=""/>
        <w:ind w:firstLine="680"/>
        <w:spacing w:line="348" w:lineRule="auto"/>
        <w:rPr>
          <w:rFonts w:ascii="仿宋" w:hAnsi="仿宋"/>
          <w:sz w:val="32"/>
          <w:szCs w:val="32"/>
        </w:rPr>
      </w:pPr>
    </w:p>
    <w:p>
      <w:pPr>
        <w:pStyle w:val=""/>
        <w:ind w:firstLine="680"/>
        <w:spacing w:line="348" w:lineRule="auto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依申请公开政务信息办理情况。</w:t>
      </w:r>
      <w:r>
        <w:rPr>
          <w:rFonts w:ascii="仿宋" w:hAnsi="仿宋"/>
          <w:sz w:val="32"/>
          <w:szCs w:val="32"/>
        </w:rPr>
        <w:t>全年我分局共计受累依</w:t>
      </w:r>
      <w:r>
        <w:rPr>
          <w:rFonts w:ascii="仿宋" w:hAnsi="仿宋"/>
          <w:sz w:val="32"/>
          <w:szCs w:val="32"/>
        </w:rPr>
        <w:t>申请公开</w:t>
      </w:r>
      <w:r>
        <w:rPr>
          <w:rFonts w:ascii="仿宋" w:hAnsi="仿宋"/>
          <w:sz w:val="32"/>
          <w:szCs w:val="32"/>
        </w:rPr>
        <w:t>36件。</w:t>
      </w:r>
    </w:p>
    <w:tbl>
      <w:tblPr>
        <w:jc w:val="center"/>
        <w:tblStyle w:val="普通表格"/>
        <w:tblLook w:val="1E0"/>
        <w:tblW w:w="9071" w:type="dxa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c>
          <w:tcPr>
            <w:gridSpan w:val="3"/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vMerge w:val="restart"/>
            <w:tcW w:w="3557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gridSpan w:val="7"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5514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申请人情况</w:t>
            </w:r>
          </w:p>
        </w:tc>
      </w:tr>
      <w:tr>
        <w:tc>
          <w:tcPr>
            <w:vMerge/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gridSpan w:val="3"/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vMerge w:val="restart"/>
            <w:tcW w:w="813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自然人</w:t>
            </w:r>
          </w:p>
        </w:tc>
        <w:tc>
          <w:tcPr>
            <w:gridSpan w:val="5"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4007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法人或其他组织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vMerge w:val="restart"/>
            <w:tcW w:w="694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总计</w:t>
            </w:r>
          </w:p>
        </w:tc>
      </w:tr>
      <w:tr>
        <w:tc>
          <w:tcPr>
            <w:vMerge/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gridSpan w:val="3"/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商业企业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科研机构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社会公益组织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法律服务机构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其他</w:t>
            </w:r>
          </w:p>
        </w:tc>
        <w:tc>
          <w:tcPr>
            <w:vMerge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</w:tr>
      <w:tr>
        <w:tc>
          <w:tcPr>
            <w:gridSpan w:val="3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557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36</w:t>
            </w:r>
          </w:p>
        </w:tc>
      </w:tr>
      <w:tr>
        <w:tc>
          <w:tcPr>
            <w:gridSpan w:val="3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557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vMerge w:val="restart"/>
            <w:tcW w:w="617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三、本年度办理结果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940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（一）予以公开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940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vMerge w:val="restart"/>
            <w:tcW w:w="854" w:type="dxa"/>
          </w:tcPr>
          <w:p>
            <w:pPr>
              <w:pStyle w:val=""/>
              <w:jc w:val="left"/>
            </w:pPr>
            <w:r>
              <w:rPr>
                <w:rFonts w:ascii="楷体_GB2312" w:hAnsi="楷体"/>
                <w:sz w:val="20"/>
                <w:szCs w:val="20"/>
              </w:rPr>
              <w:t>（三）不予公开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1.属于国家秘密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2.其他法律行政法规禁止公开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3.危及“三安全一稳定”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4.保护第三方合法权益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5.属于三类内部事务信息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6.属于四类过程性信息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7.属于行政执法案卷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8.属于行政查询事项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vMerge w:val="restart"/>
            <w:tcW w:w="854" w:type="dxa"/>
          </w:tcPr>
          <w:p>
            <w:pPr>
              <w:pStyle w:val=""/>
              <w:jc w:val="left"/>
            </w:pPr>
            <w:r>
              <w:rPr>
                <w:rFonts w:ascii="楷体_GB2312" w:hAnsi="楷体"/>
                <w:sz w:val="20"/>
                <w:szCs w:val="20"/>
              </w:rPr>
              <w:t>（四）无法提供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1.本机关不掌握相关政府信息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2.没有现成信息需要另行制作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3.补正后申请内容仍不明确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vMerge w:val="restart"/>
            <w:tcW w:w="854" w:type="dxa"/>
          </w:tcPr>
          <w:p>
            <w:pPr>
              <w:pStyle w:val=""/>
              <w:jc w:val="left"/>
            </w:pPr>
            <w:r>
              <w:rPr>
                <w:rFonts w:ascii="楷体_GB2312" w:hAnsi="楷体"/>
                <w:sz w:val="20"/>
                <w:szCs w:val="20"/>
              </w:rPr>
              <w:t>（五）不予处理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1.信访举报投诉类申请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2.重复申请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3.要求提供公开出版物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4.无正当理由大量反复申请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086" w:type="dxa"/>
          </w:tcPr>
          <w:p>
            <w:pPr>
              <w:pStyle w:val=""/>
              <w:jc w:val="left"/>
              <w:spacing w:line="500" w:lineRule="exact"/>
            </w:pPr>
            <w:r>
              <w:rPr>
                <w:rFonts w:ascii="楷体_GB2312" w:hAnsi="楷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940" w:type="dxa"/>
          </w:tcPr>
          <w:p>
            <w:pPr>
              <w:pStyle w:val=""/>
              <w:jc w:val="left"/>
            </w:pPr>
            <w:r>
              <w:rPr>
                <w:rFonts w:ascii="楷体_GB2312" w:hAnsi="楷体"/>
                <w:sz w:val="20"/>
                <w:szCs w:val="20"/>
              </w:rPr>
              <w:t>（六）其他处理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940" w:type="dxa"/>
          </w:tcPr>
          <w:p>
            <w:pPr>
              <w:pStyle w:val=""/>
              <w:jc w:val="left"/>
            </w:pPr>
            <w:r>
              <w:rPr>
                <w:rFonts w:ascii="楷体_GB2312" w:hAnsi="楷体"/>
                <w:sz w:val="20"/>
                <w:szCs w:val="20"/>
              </w:rPr>
              <w:t>（七）总计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36</w:t>
            </w:r>
          </w:p>
        </w:tc>
      </w:tr>
      <w:tr>
        <w:tc>
          <w:tcPr>
            <w:gridSpan w:val="3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557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0"/>
                <w:szCs w:val="20"/>
              </w:rPr>
              <w:t>四、结转下年度继续办理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5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973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711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9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shd w:fill="FFFFFF"/>
        <w:pStyle w:val=""/>
        <w:ind w:firstLine="482"/>
        <w:rPr>
          <w:rFonts w:ascii="黑体" w:hAnsi="宋体"/>
          <w:sz w:val="32"/>
          <w:szCs w:val="32"/>
        </w:rPr>
      </w:pPr>
      <w:r>
        <w:rPr>
          <w:rFonts w:ascii="黑体" w:hAnsi="宋体"/>
          <w:sz w:val="32"/>
          <w:szCs w:val="32"/>
        </w:rPr>
        <w:t>四、政府信息公开行政复议、行政诉讼情况</w:t>
      </w:r>
    </w:p>
    <w:tbl>
      <w:tblPr>
        <w:jc w:val="center"/>
        <w:tblStyle w:val="普通表格"/>
        <w:tblLook w:val="1E0"/>
        <w:tblW w:w="0" w:type="auto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c>
          <w:tcPr>
            <w:gridSpan w:val="5"/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074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行政复议</w:t>
            </w:r>
          </w:p>
        </w:tc>
        <w:tc>
          <w:tcPr>
            <w:gridSpan w:val="10"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5997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行政诉讼</w:t>
            </w:r>
          </w:p>
        </w:tc>
      </w:tr>
      <w:t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vMerge w:val="restart"/>
            <w:tcW w:w="604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结果维持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vMerge w:val="restart"/>
            <w:tcW w:w="604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结果纠正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vMerge w:val="restart"/>
            <w:tcW w:w="604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其他结果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vMerge w:val="restart"/>
            <w:tcW w:w="604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尚未审结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vMerge w:val="restart"/>
            <w:tcW w:w="658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总计</w:t>
            </w:r>
          </w:p>
        </w:tc>
        <w:tc>
          <w:tcPr>
            <w:gridSpan w:val="5"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2970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未经复议直接起诉</w:t>
            </w:r>
          </w:p>
        </w:tc>
        <w:tc>
          <w:tcPr>
            <w:gridSpan w:val="5"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3027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复议后起诉</w:t>
            </w:r>
          </w:p>
        </w:tc>
      </w:tr>
      <w:tr>
        <w:tc>
          <w:tcPr>
            <w:vMerge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vMerge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550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结果维持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结果纠正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其他结果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尚未审结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总计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结果维持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结果纠正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其他结果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6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尚未审结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6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0"/>
                <w:szCs w:val="20"/>
              </w:rPr>
              <w:t>总计</w:t>
            </w:r>
          </w:p>
        </w:tc>
      </w:tr>
      <w:t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60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4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58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550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5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6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606" w:type="dxa"/>
          </w:tcPr>
          <w:p>
            <w:pPr>
              <w:pStyle w:val="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"/>
        <w:ind w:firstLine="680"/>
        <w:spacing w:line="348" w:lineRule="auto"/>
        <w:rPr>
          <w:rFonts w:ascii="黑体" w:hAnsi="黑体"/>
          <w:sz w:val="32"/>
          <w:szCs w:val="32"/>
        </w:rPr>
      </w:pPr>
      <w:r>
        <w:rPr>
          <w:rFonts w:ascii="黑体" w:hAnsi="黑体"/>
          <w:sz w:val="32"/>
          <w:szCs w:val="32"/>
        </w:rPr>
        <w:t>五、存在的主要问题及改进情况</w:t>
      </w:r>
    </w:p>
    <w:p>
      <w:pPr>
        <w:pStyle w:val=""/>
        <w:ind w:firstLine="680"/>
        <w:spacing w:line="348" w:lineRule="auto"/>
      </w:pPr>
      <w:r>
        <w:rPr>
          <w:rFonts w:ascii="仿宋" w:hAnsi="仿宋"/>
          <w:sz w:val="32"/>
          <w:szCs w:val="32"/>
        </w:rPr>
        <w:t>2019年，我</w:t>
      </w:r>
      <w:r>
        <w:rPr>
          <w:rFonts w:ascii="仿宋" w:hAnsi="仿宋"/>
          <w:sz w:val="32"/>
          <w:szCs w:val="32"/>
        </w:rPr>
        <w:t>分局信息公开工作虽然取得了一定进展，但离市局、区</w:t>
      </w:r>
      <w:r>
        <w:rPr>
          <w:rFonts w:ascii="仿宋" w:hAnsi="仿宋"/>
          <w:sz w:val="32"/>
          <w:szCs w:val="32"/>
        </w:rPr>
        <w:t>政府和人</w:t>
      </w:r>
      <w:r>
        <w:rPr>
          <w:rFonts w:ascii="仿宋" w:hAnsi="仿宋"/>
          <w:sz w:val="32"/>
          <w:szCs w:val="32"/>
        </w:rPr>
        <w:t>民群众的要求</w:t>
      </w:r>
      <w:r>
        <w:rPr>
          <w:rFonts w:ascii="仿宋" w:hAnsi="仿宋"/>
          <w:sz w:val="32"/>
          <w:szCs w:val="32"/>
        </w:rPr>
        <w:t>还有一定的差距。一是政务信息公开力度有待进一步加大。二</w:t>
      </w:r>
      <w:r>
        <w:rPr>
          <w:rFonts w:ascii="仿宋" w:hAnsi="仿宋"/>
          <w:sz w:val="32"/>
          <w:szCs w:val="32"/>
        </w:rPr>
        <w:t>是信息公开更新还不够及时。</w:t>
      </w:r>
    </w:p>
    <w:p>
      <w:pPr>
        <w:pStyle w:val=""/>
        <w:ind w:firstLine="680"/>
        <w:spacing w:line="348" w:lineRule="auto"/>
      </w:pPr>
      <w:r>
        <w:rPr>
          <w:rFonts w:ascii="仿宋" w:hAnsi="仿宋"/>
          <w:sz w:val="32"/>
          <w:szCs w:val="32"/>
        </w:rPr>
        <w:t>为此，我</w:t>
      </w:r>
      <w:r>
        <w:rPr>
          <w:rFonts w:ascii="仿宋" w:hAnsi="仿宋"/>
          <w:sz w:val="32"/>
          <w:szCs w:val="32"/>
        </w:rPr>
        <w:t>分局</w:t>
      </w:r>
      <w:r>
        <w:rPr>
          <w:rFonts w:ascii="仿宋" w:hAnsi="仿宋"/>
          <w:sz w:val="32"/>
          <w:szCs w:val="32"/>
        </w:rPr>
        <w:t>将采取以下改进措施：一是加大信息公开力度。进一步完善信息公开制度，强化信息公开的责任意识、大局意识、服务意识，确保政务信息公开工作及时、准确。二是更好地接受社会公众对信息公开情况的监督。三是大力开展公路法宣传教育活动，增强群众对政务信息公开工作的认知度。</w:t>
      </w:r>
    </w:p>
    <w:p>
      <w:pPr>
        <w:pStyle w:val=""/>
        <w:ind w:firstLine="680"/>
        <w:spacing w:line="348" w:lineRule="auto"/>
      </w:pPr>
      <w:r>
        <w:rPr>
          <w:rFonts w:ascii="黑体" w:hAnsi="黑体"/>
          <w:sz w:val="32"/>
          <w:szCs w:val="32"/>
        </w:rPr>
        <w:t>六、</w:t>
      </w:r>
      <w:r>
        <w:rPr>
          <w:rFonts w:ascii="黑体" w:hAnsi="黑体"/>
          <w:sz w:val="32"/>
          <w:szCs w:val="32"/>
        </w:rPr>
        <w:t>2020年工作计划</w:t>
      </w:r>
    </w:p>
    <w:p>
      <w:pPr>
        <w:pStyle w:val=""/>
        <w:ind w:firstLine="680"/>
        <w:spacing w:line="348" w:lineRule="auto"/>
      </w:pPr>
      <w:r>
        <w:rPr>
          <w:rFonts w:ascii="仿宋" w:hAnsi="仿宋"/>
          <w:sz w:val="32"/>
          <w:szCs w:val="32"/>
        </w:rPr>
        <w:t>2020年，我</w:t>
      </w:r>
      <w:r>
        <w:rPr>
          <w:rFonts w:ascii="仿宋" w:hAnsi="仿宋"/>
          <w:sz w:val="32"/>
          <w:szCs w:val="32"/>
        </w:rPr>
        <w:t>分局将在市局、区</w:t>
      </w:r>
      <w:r>
        <w:rPr>
          <w:rFonts w:ascii="仿宋" w:hAnsi="仿宋"/>
          <w:sz w:val="32"/>
          <w:szCs w:val="32"/>
        </w:rPr>
        <w:t>政府的正确领导下，重点做好以下工作：</w:t>
      </w:r>
    </w:p>
    <w:p>
      <w:pPr>
        <w:pStyle w:val=""/>
        <w:ind w:firstLine="680"/>
        <w:spacing w:line="348" w:lineRule="auto"/>
      </w:pPr>
      <w:r>
        <w:rPr>
          <w:rFonts w:ascii="仿宋" w:hAnsi="仿宋"/>
          <w:sz w:val="32"/>
          <w:szCs w:val="32"/>
        </w:rPr>
        <w:t>1</w:t>
      </w:r>
      <w:r>
        <w:rPr>
          <w:rFonts w:ascii="仿宋" w:hAnsi="仿宋"/>
          <w:sz w:val="32"/>
          <w:szCs w:val="32"/>
        </w:rPr>
        <w:t>、认真贯彻落实《中华人民共和国政府信息公开条例</w:t>
      </w:r>
      <w:r>
        <w:rPr>
          <w:rFonts w:ascii="仿宋" w:hAnsi="仿宋"/>
          <w:sz w:val="32"/>
          <w:szCs w:val="32"/>
        </w:rPr>
        <w:t>》，切实加强政务信息公开业务的学习和培训，不断提升政务信息公开工作水平。</w:t>
      </w:r>
    </w:p>
    <w:p>
      <w:pPr>
        <w:pStyle w:val=""/>
        <w:ind w:firstLine="680"/>
        <w:spacing w:line="348" w:lineRule="auto"/>
      </w:pPr>
      <w:r>
        <w:rPr>
          <w:rFonts w:ascii="仿宋" w:hAnsi="仿宋"/>
          <w:sz w:val="32"/>
          <w:szCs w:val="32"/>
        </w:rPr>
        <w:t>2、强化公开力度。进一步细化、优化政府信息公开目录，不断加大政府信息的公开力度，以社会需求为导向，选择社会关注度高的信息作为突破口，不断丰富信息公开的内容，继续强化信息内容更新。</w:t>
      </w:r>
    </w:p>
    <w:p>
      <w:pPr>
        <w:pStyle w:val=""/>
        <w:ind w:firstLine="680"/>
        <w:spacing w:line="348" w:lineRule="auto"/>
      </w:pPr>
      <w:r>
        <w:rPr>
          <w:rFonts w:ascii="仿宋" w:hAnsi="仿宋"/>
          <w:sz w:val="32"/>
          <w:szCs w:val="32"/>
        </w:rPr>
        <w:t>3、完善制度建设。进一步探索和掌握信息公开工作规律，逐步制定完善信息公开配套制度，加强对信息公开工作的检查。重视依申请公开办理效率和答复质量，推动政府信息公开工作取得更大进展。</w:t>
      </w:r>
    </w:p>
    <w:p>
      <w:pPr>
        <w:pStyle w:val=""/>
        <w:ind w:firstLine="680"/>
        <w:spacing w:line="348" w:lineRule="auto"/>
      </w:pPr>
      <w:r>
        <w:rPr>
          <w:rFonts w:ascii="仿宋" w:hAnsi="仿宋"/>
          <w:sz w:val="32"/>
          <w:szCs w:val="32"/>
        </w:rPr>
        <w:t>4、强化舆论宣传。通过宣传栏、</w:t>
      </w:r>
      <w:r>
        <w:rPr>
          <w:rFonts w:ascii="仿宋" w:hAnsi="仿宋"/>
          <w:sz w:val="32"/>
          <w:szCs w:val="32"/>
        </w:rPr>
        <w:t>市局官网、区政府官网</w:t>
      </w:r>
      <w:r>
        <w:rPr>
          <w:rFonts w:ascii="仿宋" w:hAnsi="仿宋"/>
          <w:sz w:val="32"/>
          <w:szCs w:val="32"/>
        </w:rPr>
        <w:t>等</w:t>
      </w:r>
      <w:r>
        <w:rPr>
          <w:rFonts w:ascii="仿宋" w:hAnsi="仿宋"/>
          <w:sz w:val="32"/>
          <w:szCs w:val="32"/>
        </w:rPr>
        <w:t>渠道</w:t>
      </w:r>
      <w:r>
        <w:rPr>
          <w:rFonts w:ascii="仿宋" w:hAnsi="仿宋"/>
          <w:sz w:val="32"/>
          <w:szCs w:val="32"/>
        </w:rPr>
        <w:t>，强化宣传的力度、广度与深度，积极引导社会公众正确行使知情权。</w:t>
      </w:r>
    </w:p>
    <w:p>
      <w:pPr>
        <w:pStyle w:val=""/>
        <w:ind w:firstLine="680"/>
        <w:spacing w:line="348" w:lineRule="auto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 </w:t>
      </w:r>
    </w:p>
    <w:p>
      <w:pPr>
        <w:pStyle w:val=""/>
        <w:ind w:firstLine="680"/>
        <w:spacing w:line="348" w:lineRule="auto"/>
        <w:rPr>
          <w:rFonts w:ascii="仿宋" w:hAnsi="仿宋"/>
          <w:sz w:val="32"/>
          <w:szCs w:val="32"/>
        </w:rPr>
      </w:pPr>
    </w:p>
    <w:p>
      <w:pPr>
        <w:pStyle w:val=""/>
        <w:ind w:firstLine="680"/>
        <w:spacing w:line="348" w:lineRule="auto"/>
        <w:rPr>
          <w:rFonts w:ascii="仿宋" w:hAnsi="仿宋"/>
          <w:sz w:val="32"/>
          <w:szCs w:val="32"/>
        </w:rPr>
      </w:pPr>
    </w:p>
    <w:p>
      <w:pPr>
        <w:pStyle w:val=""/>
        <w:jc w:val="right"/>
        <w:ind w:firstLine="2380"/>
        <w:spacing w:line="348" w:lineRule="auto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天津市规划和自然资源局南开分局</w:t>
      </w:r>
    </w:p>
    <w:p>
      <w:pPr>
        <w:pStyle w:val=""/>
        <w:ind w:right="680"/>
        <w:ind w:firstLine="4590"/>
        <w:spacing w:line="348" w:lineRule="auto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20</w:t>
      </w:r>
      <w:r>
        <w:rPr>
          <w:rFonts w:ascii="仿宋" w:hAnsi="仿宋"/>
          <w:sz w:val="32"/>
          <w:szCs w:val="32"/>
        </w:rPr>
        <w:t>20</w:t>
      </w:r>
      <w:r>
        <w:rPr>
          <w:rFonts w:ascii="仿宋" w:hAnsi="仿宋"/>
          <w:sz w:val="32"/>
          <w:szCs w:val="32"/>
        </w:rPr>
        <w:t>年</w:t>
      </w:r>
      <w:r>
        <w:rPr>
          <w:rFonts w:ascii="仿宋" w:hAnsi="仿宋"/>
          <w:sz w:val="32"/>
          <w:szCs w:val="32"/>
        </w:rPr>
        <w:t>1</w:t>
      </w:r>
      <w:r>
        <w:rPr>
          <w:rFonts w:ascii="仿宋" w:hAnsi="仿宋"/>
          <w:sz w:val="32"/>
          <w:szCs w:val="32"/>
        </w:rPr>
        <w:t>月</w:t>
      </w:r>
      <w:r>
        <w:rPr>
          <w:rFonts w:ascii="仿宋" w:hAnsi="仿宋"/>
          <w:sz w:val="32"/>
          <w:szCs w:val="32"/>
        </w:rPr>
        <w:t>6</w:t>
      </w:r>
      <w:r>
        <w:rPr>
          <w:rFonts w:ascii="仿宋" w:hAnsi="仿宋"/>
          <w:sz w:val="32"/>
          <w:szCs w:val="32"/>
        </w:rPr>
        <w:t>日</w:t>
      </w: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宋体"/>
  <w:font w:name="黑体"/>
  <w:font w:name="仿宋"/>
  <w:font w:name="Calibri"/>
  <w:font w:name="楷体_GB2312"/>
  <w:font w:name="楷体"/>
  <w:font w:name="Cambria Math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2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styleId="">
    <w:name w:val="普通(网站)"/>
    <w:qFormat/>
    <w:basedOn w:val="正文"/>
    <w:pPr>
      <w:jc w:val="left"/>
      <w:spacing w:before="0" w:after="0"/>
    </w:pPr>
    <w:rPr>
      <w:rFonts w:ascii="宋体" w:hAnsi="宋体"/>
      <w:sz w:val="24"/>
      <w:szCs w:val="24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character" w:styleId="Char">
    <w:name w:val="页眉 Char"/>
    <w:qFormat/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character" w:styleId="Char">
    <w:name w:val="页脚 Char"/>
    <w:qFormat/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