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天津市南开区住房和建设委员会</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本单位负责贯彻执行国家和本市有关住房和建设的法律、法规、规章和政策文件，拟订有关规范、标准并组织实施。落实市住房保障、城市建设及相关市政基础设施发展规划，拟订近期建设规划和年度建设计划并组织实施。推动住房和建设领域信用体系建设，负责住房和建设综合统计工作。承担本区低收入住房困难家庭住房保障责任，拟订住房保障相关政策并组织实施。承担推进住房制度改革责任，落实住房制度改革政策。负责住房货币分配，公有住房出售和房改资金管理，负责公有住房租金调整及归集。承担规范房地产市场秩序、监督管理房地产市场的责任。负责本区房地产市场的行政管理工作，负责对本区从事房地产交易、商品房销售、房屋估价及房屋经纪等机构的管理。负责检查、治理和规范本区房地产市场秩序。负责全区房地产市场情况统计上报，价格分析和信息管理。负责辖区内房屋租赁合同登记备案，负责本辖区商品房建设计划管理，推动落实住宅项目非经营性公建配套建设。负责直管公产房屋资产的监督管理。负责历史风貌建筑保护利用管理。督促、协调落实私房政策。负责单位产房管工作的业务指导和行政监督。贯彻执行物业管理政策法规，监督物业管理活动，履行物业管理行政职责，负责房屋共用部位，共用设施设备维修资金使用管理。负责建筑市场管理。负责房屋建筑、市政基础设施建设管理。负责执行招投标、合同、施工许可证等相关政策并监督管理。负责建筑施工企业管理。负责房屋建筑和市政基础设施领域建筑劳务用工管理。负责建设工程勘察设计行业管理。负责建设工程消防设计审查验收相关工作。负责建设工程（法律、法规有特殊规定的除外）施工质量、安全生产和文明施工的监督管理。组织或参与工程质量、安全事故调查处理。负责对辖区内已建成交付使用的各类房屋进行安全鉴定检测及提供加固处理建议，提出危房处理建议，提供房屋安全咨询服务。负责推动住房和建设领域科技和信息化建设工作，推进科技进步和成果转化工作。负责推广建筑节能、绿色建筑和装配式建筑发展工作，会同有关部门拟订相关政策并组织实施。负责推动区内土地储备整理和出让。负责住房和建设资金的统筹协调，组织推动住房和建设任务的实施。负责区内新建燃气、供热、城市道路、排水设施建设的组织实施与施工建设管理工作。负责政府审查征收项目前期工作。负责征收项目实施前书面通知有关部门暂停办理相关手续。组织实施单位对房屋征收范围内房屋调查登记。组织被征收人、公有房屋承租人选定评估机构。负责拟订征收补偿方案。负责因旧城区改建需要征收房屋，协调政府各部门组织听证会。负责报请区政府做出房屋征收决定和补偿决定。负责组织单位依法建立房屋征收补偿档案并公示。办理拆房和渣土装运备案手续，监管拆房施工工地现场。负责房地产行政执法，依法对各种违法、违章行为进行行政处罚。组织住房和建设领域招商引资工作。负责本系统人才队伍建设。完成区委、区政府交办的其他事项。坚持房子是用来住的，不是用来炒的定位，加快解决中低收入群体住房困难。推动租售并举的住房保障体系。深化建设项目审批制度改革。坚持依法行政，坚持问题导向，坚持务实创新，坚持信息引领，简政放权，优化流程，营造良好营商环境，最大限度地激发市场创造活力和发展内生动力。负责拟订燃气、供热、城市道路、排水等市政公用基础设施的年度建设计划，并组织实施。负责燃气、供热、城市道路、排水等市政公用基础设施新建。负责新建燃气、供热、城市道路、排水等市政公用基础设施特许经营管理。</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天津市南开区住房和建设委员会内设15个职能</w:t>
      </w:r>
      <w:r>
        <w:rPr>
          <w:rFonts w:hint="eastAsia" w:ascii="Times New Roman" w:hAnsi="Times New Roman" w:eastAsia="仿宋_GB2312" w:cs="仿宋_GB2312"/>
          <w:sz w:val="30"/>
          <w:szCs w:val="30"/>
          <w:lang w:eastAsia="zh-CN"/>
        </w:rPr>
        <w:t>科</w:t>
      </w:r>
      <w:r>
        <w:rPr>
          <w:rFonts w:hint="eastAsia" w:ascii="Times New Roman" w:hAnsi="Times New Roman" w:eastAsia="仿宋_GB2312" w:cs="仿宋_GB2312"/>
          <w:sz w:val="30"/>
          <w:szCs w:val="30"/>
        </w:rPr>
        <w:t>室；下辖5个预算单位。纳入天津市南开区住房和建设委员会2023年度部门决算编制范围的单位包括：</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1.天津市南开区住房和建设委员会（本级）</w:t>
      </w:r>
    </w:p>
    <w:p>
      <w:pPr>
        <w:autoSpaceDE w:val="0"/>
        <w:autoSpaceDN w:val="0"/>
        <w:adjustRightInd w:val="0"/>
        <w:spacing w:line="600" w:lineRule="exact"/>
        <w:ind w:left="596" w:leftChars="284"/>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2.天津市南开区房产服务中心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3.天津市南开区物业管理服务中心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4.天津市南开区住房保障服务中心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5.天津市南开区住房和建设综合行政执法支队</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6.天津市南开区住房和市政工程建设服务中心</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天津市南开区住房和建设委员会2023年度国有资本经营预算财政拨款收入支出决算表为空表。</w:t>
      </w:r>
    </w:p>
    <w:p>
      <w:pPr>
        <w:rPr>
          <w:rFonts w:ascii="Times New Roman" w:hAnsi="Times New Roman" w:eastAsia="仿宋_GB2312" w:cs="仿宋_GB2312"/>
          <w:sz w:val="30"/>
          <w:szCs w:val="30"/>
        </w:rPr>
      </w:pPr>
      <w:r>
        <w:rPr>
          <w:rFonts w:hint="eastAsia"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天津市南开区住房和建设委员会2023年度收入、支出决算总计</w:t>
      </w:r>
      <w:r>
        <w:rPr>
          <w:rFonts w:hint="eastAsia" w:ascii="Times New Roman" w:hAnsi="Times New Roman" w:eastAsia="仿宋_GB2312" w:cs="仿宋_GB2312"/>
          <w:sz w:val="30"/>
          <w:szCs w:val="30"/>
        </w:rPr>
        <w:t>4,098,938,307.96元，与2022年度相比，收、支总计各增加3,815,862,632.38元，增长1348.0%，</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：本年度发生棚户区改造及旧城区改建项目收支较多。</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天津市南开区住房和建设委员会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4,057,304,574.64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年度相比增加3,815,787,391.72元，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：本年度发生棚户区改造及旧城区改建</w:t>
      </w:r>
      <w:r>
        <w:rPr>
          <w:rFonts w:hint="eastAsia" w:ascii="Times New Roman" w:hAnsi="Times New Roman" w:eastAsia="仿宋_GB2312" w:cs="仿宋_GB2312"/>
          <w:sz w:val="30"/>
          <w:szCs w:val="30"/>
        </w:rPr>
        <w:t>项目</w:t>
      </w:r>
      <w:r>
        <w:rPr>
          <w:rFonts w:hint="eastAsia" w:ascii="Times New Roman" w:hAnsi="Times New Roman" w:eastAsia="仿宋_GB2312" w:cs="仿宋_GB2312"/>
          <w:kern w:val="0"/>
          <w:sz w:val="30"/>
          <w:szCs w:val="30"/>
        </w:rPr>
        <w:t>收入较多。</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229,826,402.55</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5.66</w:t>
      </w:r>
      <w:r>
        <w:rPr>
          <w:rFonts w:hint="eastAsia" w:ascii="Times New Roman" w:hAnsi="Times New Roman" w:eastAsia="宋体" w:cs="Times New Roman"/>
          <w:sz w:val="30"/>
          <w:szCs w:val="30"/>
        </w:rPr>
        <w:t>%；</w:t>
      </w: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3,791,000,000.00元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93.44%；</w:t>
      </w: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2,465,157.65元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0.06%；</w:t>
      </w: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27,478,231.69元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0.68%；</w:t>
      </w: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6,534,782.75元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0.16%。</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rPr>
          <w:rFonts w:ascii="Times New Roman" w:hAnsi="Times New Roman" w:eastAsia="黑体" w:cs="黑体"/>
          <w:sz w:val="30"/>
          <w:szCs w:val="30"/>
          <w:lang w:val="zh-CN"/>
        </w:rPr>
      </w:pPr>
      <w:r>
        <w:rPr>
          <w:rFonts w:hint="eastAsia" w:ascii="Times New Roman" w:hAnsi="Times New Roman" w:eastAsia="仿宋_GB2312" w:cs="仿宋_GB2312"/>
          <w:sz w:val="30"/>
          <w:szCs w:val="30"/>
        </w:rPr>
        <w:t>天津市南开区住房和建设委员会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年度本年支出合计4,100,307,816.14元，与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年度相比增加3,858,572,842.96元，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本年度发生棚户区改造及旧城区改建</w:t>
      </w:r>
      <w:r>
        <w:rPr>
          <w:rFonts w:hint="eastAsia" w:ascii="Times New Roman" w:hAnsi="Times New Roman" w:eastAsia="仿宋_GB2312" w:cs="仿宋_GB2312"/>
          <w:sz w:val="30"/>
          <w:szCs w:val="30"/>
        </w:rPr>
        <w:t>项目</w:t>
      </w:r>
      <w:r>
        <w:rPr>
          <w:rFonts w:hint="eastAsia" w:ascii="Times New Roman" w:hAnsi="Times New Roman" w:eastAsia="仿宋_GB2312" w:cs="仿宋_GB2312"/>
          <w:kern w:val="0"/>
          <w:sz w:val="30"/>
          <w:szCs w:val="30"/>
        </w:rPr>
        <w:t>支出较多。</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128,546,897.21元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占3.14%；</w:t>
      </w: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3,933,010,653.18元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占95.92%；</w:t>
      </w: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38,750,265.75元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占0.94%。</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天津市南开区住房和建设委员会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4,061,357,520.89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年度相比，财政拨款收、支总计各增加3,860,845,817.03元，增长1925.5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本年度发生棚户区改造及旧城区改建项目收支较多。</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天津市南开区住房和建设委员会2023年度部门决算一般公共预算财政拨款支出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计234,828,020.68元，占本年支出合计的5.73%，与2022年度相比，一般公共预算财政拨款支出增加74,846,491.62元，增长46.78%，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：本年度住建委本级发生长江道房产置换、住房市政中心发生海绵城市建设等项目支出。</w:t>
      </w:r>
    </w:p>
    <w:p>
      <w:pPr>
        <w:autoSpaceDE w:val="0"/>
        <w:autoSpaceDN w:val="0"/>
        <w:adjustRightInd w:val="0"/>
        <w:spacing w:line="600" w:lineRule="exact"/>
        <w:ind w:left="48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234,828,020.68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1,336,910.00元，占比0.57%；社会保障和就业支出9,896,446.18元，占比4.21%；卫生健康支出2,253,112.98元，占比0.96%；城乡社区支出189,196,964.14元，占比80.57%；住房保障支出31,644,587.38元，占比13.48%；灾害防治及应急管理支出500,000.00元，占比0.21%。</w:t>
      </w:r>
    </w:p>
    <w:p>
      <w:pPr>
        <w:autoSpaceDE w:val="0"/>
        <w:autoSpaceDN w:val="0"/>
        <w:adjustRightInd w:val="0"/>
        <w:spacing w:line="600" w:lineRule="exact"/>
        <w:ind w:left="480"/>
        <w:rPr>
          <w:rFonts w:ascii="Times New Roman" w:hAnsi="Times New Roman" w:eastAsia="仿宋_GB2312" w:cs="仿宋_GB2312"/>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2023年度一般公共预算财政拨款支出年初预算为142,417,370.75元，支出决算234,828,020.68元，完成年初预算的164.89%。其中：</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1.住房保障支出（类）保障性安居工程支出（款）其他保障性安居工程支出（项）的年初预算数为0.00元，追加预算2,223,571.00元，支出决算为2,223,571.00元，完成追加预算的100.00%，决算数</w:t>
      </w:r>
      <w:r>
        <w:rPr>
          <w:rFonts w:hint="eastAsia" w:ascii="Times New Roman" w:hAnsi="Times New Roman" w:eastAsia="仿宋_GB2312" w:cs="仿宋_GB2312"/>
          <w:sz w:val="30"/>
          <w:szCs w:val="30"/>
          <w:lang w:eastAsia="zh-CN"/>
        </w:rPr>
        <w:t>大于年初</w:t>
      </w:r>
      <w:r>
        <w:rPr>
          <w:rFonts w:hint="eastAsia" w:ascii="Times New Roman" w:hAnsi="Times New Roman" w:eastAsia="仿宋_GB2312" w:cs="仿宋_GB2312"/>
          <w:sz w:val="30"/>
          <w:szCs w:val="30"/>
        </w:rPr>
        <w:t>预算数的主要原因是房产中心发生整修抢修支出。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2.卫生健康支出（类）行政事业单位医疗（款）公务员医疗补助（项）的年初预算数为145,300.84元。支出决算为133,327.78元，完成年初预算的91.76%，决算数小于年初预算数的主要原因是人员变动。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3.城乡社区支出（类）其他城乡社区支出（款）其他城乡社区支出（项）的年初预算数为0.00元，追加预算61,865,545.04元，支出决算为61,865,545.04元，完成追加预算的100.00%，决算数</w:t>
      </w:r>
      <w:r>
        <w:rPr>
          <w:rFonts w:hint="eastAsia" w:ascii="Times New Roman" w:hAnsi="Times New Roman" w:eastAsia="仿宋_GB2312" w:cs="仿宋_GB2312"/>
          <w:sz w:val="30"/>
          <w:szCs w:val="30"/>
          <w:lang w:eastAsia="zh-CN"/>
        </w:rPr>
        <w:t>大于年初</w:t>
      </w:r>
      <w:r>
        <w:rPr>
          <w:rFonts w:hint="eastAsia" w:ascii="Times New Roman" w:hAnsi="Times New Roman" w:eastAsia="仿宋_GB2312" w:cs="仿宋_GB2312"/>
          <w:sz w:val="30"/>
          <w:szCs w:val="30"/>
        </w:rPr>
        <w:t>预算数的主要原因是住建委本级发生长江道房产置换项目支出及自建房安全隐患鉴定项目支出、住房市政中心发生信美道地块项目支出。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4.一般公共服务支出（类）其他一般公共服务支出（款）其他一般公共服务支出（项）的年初预算数为0.00元，追加预算1,263,800.00元，支出决算为1,263,800.00元，完成追加预算的100.00%，决算数</w:t>
      </w:r>
      <w:r>
        <w:rPr>
          <w:rFonts w:hint="eastAsia" w:ascii="Times New Roman" w:hAnsi="Times New Roman" w:eastAsia="仿宋_GB2312" w:cs="仿宋_GB2312"/>
          <w:sz w:val="30"/>
          <w:szCs w:val="30"/>
          <w:lang w:eastAsia="zh-CN"/>
        </w:rPr>
        <w:t>大于年初</w:t>
      </w:r>
      <w:r>
        <w:rPr>
          <w:rFonts w:hint="eastAsia" w:ascii="Times New Roman" w:hAnsi="Times New Roman" w:eastAsia="仿宋_GB2312" w:cs="仿宋_GB2312"/>
          <w:sz w:val="30"/>
          <w:szCs w:val="30"/>
        </w:rPr>
        <w:t>预算数的主要原因是住建委本级发生天开园前期工作经费等。</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5.一般公共服务支出（类）政府办公厅（室）及相关机构事务（款）信访事务（项）的年初预算数为0.00元，追加预算13,110.00元，支出决算为13,110.00元，完成追加预算的100.00%，决算数</w:t>
      </w:r>
      <w:r>
        <w:rPr>
          <w:rFonts w:hint="eastAsia" w:ascii="Times New Roman" w:hAnsi="Times New Roman" w:eastAsia="仿宋_GB2312" w:cs="仿宋_GB2312"/>
          <w:sz w:val="30"/>
          <w:szCs w:val="30"/>
          <w:lang w:eastAsia="zh-CN"/>
        </w:rPr>
        <w:t>大于年初</w:t>
      </w:r>
      <w:r>
        <w:rPr>
          <w:rFonts w:hint="eastAsia" w:ascii="Times New Roman" w:hAnsi="Times New Roman" w:eastAsia="仿宋_GB2312" w:cs="仿宋_GB2312"/>
          <w:sz w:val="30"/>
          <w:szCs w:val="30"/>
        </w:rPr>
        <w:t>预算数的主要原因是住建委本级发生信访经费支出。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6.城乡社区支出（类）城乡社区管理事务（款）行政运行（项）的年初预算数为15,615,556.08元。支出决算为17,178,121.70元，完成年初预算的110.01%，决算数大于年初预算数的主要原因是去世人员抚恤金较多。</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城乡社区支出（类）城乡社区公共设施（款）其他城乡社区公共设施支出（项）的年初预算数为106,681,057.67元。支出决算为108,464,186.20元，完成年初预算的101.67%，决算数大于年初预算数的主要原因是住房市政中心发生科技广场、大学道等项目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8.一般公共服务支出（类）宣传事务（款）其他宣传事务支出（项）的年初预算数为0.00元，追加预算60,000.00元，支出决算为60,000.00元，完成追加预算的100.00%，决算数</w:t>
      </w:r>
      <w:r>
        <w:rPr>
          <w:rFonts w:hint="eastAsia" w:ascii="Times New Roman" w:hAnsi="Times New Roman" w:eastAsia="仿宋_GB2312" w:cs="仿宋_GB2312"/>
          <w:sz w:val="30"/>
          <w:szCs w:val="30"/>
          <w:lang w:eastAsia="zh-CN"/>
        </w:rPr>
        <w:t>大于年初</w:t>
      </w:r>
      <w:r>
        <w:rPr>
          <w:rFonts w:hint="eastAsia" w:ascii="Times New Roman" w:hAnsi="Times New Roman" w:eastAsia="仿宋_GB2312" w:cs="仿宋_GB2312"/>
          <w:sz w:val="30"/>
          <w:szCs w:val="30"/>
        </w:rPr>
        <w:t>预算数的主要原因是住建委本级发生创文经费项目支出。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9.住房保障支出（类）保障性安居工程支出（款）老旧小区改造（项）的年初预算数为0.00元，追加预算18,515,240.00元，支出决算为18,515,240.00元，完成追加预算的100.00%，决算数</w:t>
      </w:r>
      <w:r>
        <w:rPr>
          <w:rFonts w:hint="eastAsia" w:ascii="Times New Roman" w:hAnsi="Times New Roman" w:eastAsia="仿宋_GB2312" w:cs="仿宋_GB2312"/>
          <w:sz w:val="30"/>
          <w:szCs w:val="30"/>
          <w:lang w:eastAsia="zh-CN"/>
        </w:rPr>
        <w:t>大于年初</w:t>
      </w:r>
      <w:r>
        <w:rPr>
          <w:rFonts w:hint="eastAsia" w:ascii="Times New Roman" w:hAnsi="Times New Roman" w:eastAsia="仿宋_GB2312" w:cs="仿宋_GB2312"/>
          <w:sz w:val="30"/>
          <w:szCs w:val="30"/>
        </w:rPr>
        <w:t>预算数的主要原因是住建委本级及住房市政中心发生老旧小区改造项目支出。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城乡社区支出（类）城乡社区管理事务（款）其他城乡社区管理事务支出（项）的年初预算数为111,480.00元。支出决算为1,689,111.20元，完成年初预算的1,515.17%，决算数大于年初预算数的主要原因是住建委本级发生加装电梯补助等项目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社会保障和就业支出（类）行政事业单位养老支出（款）机关事业单位职业年金缴费支出（项）的年初预算数为1,718,023.46元。支出决算为1,629,131.76元，完成年初预算的94.83%，决算数小于年初预算数的主要原因是人员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12.住房保障支出（类）保障性安居工程支出（款）公共租赁住房（项）的年初预算数为0.00元，追加预算1,482,325.86元，支出决算为1,482,325.86元，完成追加预算的100.00%，决算数</w:t>
      </w:r>
      <w:r>
        <w:rPr>
          <w:rFonts w:hint="eastAsia" w:ascii="Times New Roman" w:hAnsi="Times New Roman" w:eastAsia="仿宋_GB2312" w:cs="仿宋_GB2312"/>
          <w:sz w:val="30"/>
          <w:szCs w:val="30"/>
          <w:lang w:eastAsia="zh-CN"/>
        </w:rPr>
        <w:t>大于年初</w:t>
      </w:r>
      <w:r>
        <w:rPr>
          <w:rFonts w:hint="eastAsia" w:ascii="Times New Roman" w:hAnsi="Times New Roman" w:eastAsia="仿宋_GB2312" w:cs="仿宋_GB2312"/>
          <w:sz w:val="30"/>
          <w:szCs w:val="30"/>
        </w:rPr>
        <w:t>预算数的主要原因是房产中心发生公共租赁住房项目支出。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13.卫生健康支出（类）行政事业单位医疗（款）事业单位医疗（项）的年初预算数为1,492,076.38元。支出决算为1,425,024.49元，完成年初预算的95.51%，决算数小于年初预算数的主要原因是人员变动。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14.灾害防治及应急管理支出（类）应急管理事务（款）灾害风险防治（项）的年初预算数为0.00元，追加预算500,000.00元，支出决算为500,000.00元，完成追加预算的100.00%，决算数</w:t>
      </w:r>
      <w:r>
        <w:rPr>
          <w:rFonts w:hint="eastAsia" w:ascii="Times New Roman" w:hAnsi="Times New Roman" w:eastAsia="仿宋_GB2312" w:cs="仿宋_GB2312"/>
          <w:sz w:val="30"/>
          <w:szCs w:val="30"/>
          <w:lang w:eastAsia="zh-CN"/>
        </w:rPr>
        <w:t>大于年初</w:t>
      </w:r>
      <w:r>
        <w:rPr>
          <w:rFonts w:hint="eastAsia" w:ascii="Times New Roman" w:hAnsi="Times New Roman" w:eastAsia="仿宋_GB2312" w:cs="仿宋_GB2312"/>
          <w:sz w:val="30"/>
          <w:szCs w:val="30"/>
        </w:rPr>
        <w:t>预算数的主要原因是住建委本级发生南开区第一次全国自然灾害综合风险普查项目支出。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15.社会保障和就业支出（类）行政事业单位养老支出（款）机关事业单位基本养老保险缴费支出（项）的年初预算数为8,436,046.91元。支出决算为8,267,314.42元，完成年初预算的98.00%，决算数小于年初预算数的主要原因是人员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16.卫生健康支出（类）行政事业单位医疗（款）行政单位医疗（项）的年初预算数为762,829.41元。支出决算为694,760.71元，完成年初预算的91.08%，决算数小于年初预算数的主要原因是人员变动。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17.住房保障支出（类）保障性安居工程支出（款）住房租赁市场发展（项）的年初预算数为0.00元，追加预算9,423,450.52元，支出决算为9,423,450.52元，完成追加预算的100.00%，决算数</w:t>
      </w:r>
      <w:r>
        <w:rPr>
          <w:rFonts w:hint="eastAsia" w:ascii="Times New Roman" w:hAnsi="Times New Roman" w:eastAsia="仿宋_GB2312" w:cs="仿宋_GB2312"/>
          <w:sz w:val="30"/>
          <w:szCs w:val="30"/>
          <w:lang w:eastAsia="zh-CN"/>
        </w:rPr>
        <w:t>大于年初</w:t>
      </w:r>
      <w:r>
        <w:rPr>
          <w:rFonts w:hint="eastAsia" w:ascii="Times New Roman" w:hAnsi="Times New Roman" w:eastAsia="仿宋_GB2312" w:cs="仿宋_GB2312"/>
          <w:sz w:val="30"/>
          <w:szCs w:val="30"/>
        </w:rPr>
        <w:t>预算数的主要原因是住建委本级发生保障性租赁住房项目支出。</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天津市南开区住房和建设委员会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92,817,367.50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年度相比增加286,153.39元，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2023年度抚恤金等支出增加。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87,936,150.82</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主要包括基本工资、津贴补贴、奖金、绩效工资、机关事业单位基本养老保险缴费、职业年金缴费、职工基本医疗保险缴费、公务员医疗补助缴费、其他社会保障缴费、住房公积金、其他工资福利支出、离休费、退休费、抚恤金、奖励金、其他对个人和家庭的补助。</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4,881,216.68</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主要包括办公费、咨询费、手续费、水费、电费、邮电费、取暖费、物业管理费、差旅费、维护费、工会经费、福利费、公务用车运行维护费、其他交通费用、其他商品和服务支出。</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天津市南开区住房和建设委员会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3,791,000,000.00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3,791,000,000.00</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年度相比，政府性基金财政拨款支出增加3,791,000,000.00元，增长100.00%，</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2023年度发生棚户区改造项目支出和旧城区改建项目支出。</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天津市南开区住房和建设委员会2023年度无国有资本经营预算财政拨款收入、支出和结转结余。</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59,280.00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44,998.73</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14,281.27</w:t>
      </w:r>
      <w:r>
        <w:rPr>
          <w:rFonts w:hint="eastAsia" w:ascii="Times New Roman" w:hAnsi="Times New Roman" w:eastAsia="仿宋_GB2312" w:cs="仿宋_GB2312"/>
          <w:kern w:val="0"/>
          <w:sz w:val="30"/>
          <w:szCs w:val="30"/>
        </w:rPr>
        <w:t>元，完成预算的75.91</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12,094.22元，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36.76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我单位未发生公务接待费支出。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我单位公车运行维护费增加。</w:t>
      </w:r>
    </w:p>
    <w:p>
      <w:pPr>
        <w:autoSpaceDE w:val="0"/>
        <w:autoSpaceDN w:val="0"/>
        <w:adjustRightInd w:val="0"/>
        <w:spacing w:line="600" w:lineRule="exact"/>
        <w:ind w:firstLine="602"/>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44,998.73</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5,001.27</w:t>
      </w:r>
      <w:r>
        <w:rPr>
          <w:rFonts w:hint="eastAsia" w:ascii="Times New Roman" w:hAnsi="Times New Roman" w:eastAsia="仿宋_GB2312" w:cs="仿宋_GB2312"/>
          <w:kern w:val="0"/>
          <w:sz w:val="30"/>
          <w:szCs w:val="30"/>
        </w:rPr>
        <w:t>元，完成预算的90.0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12,094.22元，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36.76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我单位公车运行费为按实际报销支出。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highlight w:val="none"/>
        </w:rPr>
        <w:t>2023年支付以前年度款项。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rPr>
        <w:t>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44,998.73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5,001.27</w:t>
      </w:r>
      <w:r>
        <w:rPr>
          <w:rFonts w:hint="eastAsia" w:ascii="Times New Roman" w:hAnsi="Times New Roman" w:eastAsia="仿宋_GB2312" w:cs="仿宋_GB2312"/>
          <w:kern w:val="0"/>
          <w:sz w:val="30"/>
          <w:szCs w:val="30"/>
          <w:highlight w:val="none"/>
        </w:rPr>
        <w:t>元，完成预算的90.0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12,094.22元，</w:t>
      </w:r>
      <w:r>
        <w:rPr>
          <w:rFonts w:hint="eastAsia" w:ascii="Times New Roman" w:hAnsi="Times New Roman" w:eastAsia="仿宋_GB2312" w:cs="仿宋_GB2312"/>
          <w:sz w:val="30"/>
          <w:szCs w:val="30"/>
          <w:highlight w:val="none"/>
        </w:rPr>
        <w:t>增长</w:t>
      </w:r>
      <w:r>
        <w:rPr>
          <w:rFonts w:hint="eastAsia" w:ascii="Times New Roman" w:hAnsi="Times New Roman" w:eastAsia="仿宋_GB2312" w:cs="仿宋_GB2312"/>
          <w:kern w:val="0"/>
          <w:sz w:val="30"/>
          <w:szCs w:val="30"/>
          <w:highlight w:val="none"/>
        </w:rPr>
        <w:t>36.76</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我单位公车运行费为按实际报销支出。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2023年支付以前年度款项。</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rPr>
        <w:t>6</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公务用车购置费</w:t>
      </w:r>
      <w:r>
        <w:rPr>
          <w:rFonts w:hint="eastAsia" w:ascii="Times New Roman" w:hAnsi="Times New Roman" w:eastAsia="仿宋_GB2312" w:cs="仿宋_GB2312"/>
          <w:sz w:val="30"/>
          <w:szCs w:val="30"/>
        </w:rPr>
        <w:t>。</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9,280.00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9,280.00</w:t>
      </w:r>
      <w:r>
        <w:rPr>
          <w:rFonts w:hint="eastAsia" w:ascii="Times New Roman" w:hAnsi="Times New Roman" w:eastAsia="仿宋_GB2312" w:cs="仿宋_GB2312"/>
          <w:kern w:val="0"/>
          <w:sz w:val="30"/>
          <w:szCs w:val="30"/>
        </w:rPr>
        <w:t>元，完成预算的0.00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天津市南开区住房和建设委员会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2,887,918.85</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年减少20,002.95元，降低0.69</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我单位大力压减机关运行经费。</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天津市南开区住房和建设委员会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5,314,754.20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45,670.00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5,269,084.20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4,114,754.20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77.42%</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4,114,754.20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77.42%</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77.23</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日，天津市南开区住房和建设委员会共有车辆</w:t>
      </w:r>
      <w:r>
        <w:rPr>
          <w:rFonts w:hint="eastAsia" w:ascii="Times New Roman" w:hAnsi="Times New Roman" w:eastAsia="仿宋_GB2312" w:cs="Times New Roman"/>
          <w:kern w:val="0"/>
          <w:sz w:val="30"/>
          <w:szCs w:val="30"/>
        </w:rPr>
        <w:t>24</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3</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21</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业务用车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根据预算绩效管理要求，天津市南开区住房和建设委员会2023年度已对47个项目开展绩效自评，涉及金额4,260,521,675.00元，自评结果已随部门决算一并公开。本部门2023年度未开展部门评价。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天津市南开区住房和建设委员会不属于乡、镇、街级单位，不涉及公开2023年度教育、医疗卫生、社会保障和就业、住房保障、涉农补贴等民生支出情况。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ascii="Times New Roman" w:hAnsi="Times New Roman" w:eastAsia="仿宋_GB2312" w:cs="仿宋_GB2312"/>
          <w:sz w:val="30"/>
          <w:szCs w:val="30"/>
        </w:rPr>
      </w:pPr>
      <w:bookmarkStart w:id="0" w:name="_GoBack"/>
      <w:bookmarkEnd w:id="0"/>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autoSpaceDE w:val="0"/>
        <w:autoSpaceDN w:val="0"/>
        <w:adjustRightInd w:val="0"/>
        <w:jc w:val="left"/>
        <w:rPr>
          <w:rFonts w:ascii="Times New Roman" w:hAnsi="Times New Roman" w:eastAsia="仿宋_GB2312" w:cs="仿宋_GB2312"/>
          <w:b/>
          <w:bCs/>
          <w:color w:val="000000"/>
          <w:kern w:val="0"/>
          <w:sz w:val="30"/>
          <w:szCs w:val="30"/>
        </w:r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mZjRjOTViNzdiN2YwYTA4MTJlMWY4N2I2NWNjZj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C3124"/>
    <w:rsid w:val="002E6086"/>
    <w:rsid w:val="00302490"/>
    <w:rsid w:val="003227B2"/>
    <w:rsid w:val="003536BE"/>
    <w:rsid w:val="003B25FB"/>
    <w:rsid w:val="004A482F"/>
    <w:rsid w:val="004F39BF"/>
    <w:rsid w:val="005062D7"/>
    <w:rsid w:val="005175E6"/>
    <w:rsid w:val="00525157"/>
    <w:rsid w:val="005349A2"/>
    <w:rsid w:val="005630DD"/>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10793"/>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547A8"/>
    <w:rsid w:val="00D65B41"/>
    <w:rsid w:val="00DC3234"/>
    <w:rsid w:val="00DC3CD0"/>
    <w:rsid w:val="00DD60B5"/>
    <w:rsid w:val="00E34B62"/>
    <w:rsid w:val="00E7602B"/>
    <w:rsid w:val="00E964B2"/>
    <w:rsid w:val="00EA6549"/>
    <w:rsid w:val="00EA7FAE"/>
    <w:rsid w:val="00F007FE"/>
    <w:rsid w:val="00F16481"/>
    <w:rsid w:val="017D4A3B"/>
    <w:rsid w:val="01A10E80"/>
    <w:rsid w:val="029D518A"/>
    <w:rsid w:val="03311B3F"/>
    <w:rsid w:val="03901927"/>
    <w:rsid w:val="05CA273A"/>
    <w:rsid w:val="05DB66F5"/>
    <w:rsid w:val="05E55C53"/>
    <w:rsid w:val="069A035E"/>
    <w:rsid w:val="07267E44"/>
    <w:rsid w:val="07425D24"/>
    <w:rsid w:val="07A23238"/>
    <w:rsid w:val="085D1644"/>
    <w:rsid w:val="0A7D5D1A"/>
    <w:rsid w:val="0AF018E5"/>
    <w:rsid w:val="0B1428B6"/>
    <w:rsid w:val="0B2716A6"/>
    <w:rsid w:val="0B2E72C7"/>
    <w:rsid w:val="0BD55995"/>
    <w:rsid w:val="0C411F0C"/>
    <w:rsid w:val="0CDD71F7"/>
    <w:rsid w:val="0D664210"/>
    <w:rsid w:val="0DA7267B"/>
    <w:rsid w:val="0DFB4FC0"/>
    <w:rsid w:val="0E036FED"/>
    <w:rsid w:val="0E267459"/>
    <w:rsid w:val="0EBB5316"/>
    <w:rsid w:val="0F4936D8"/>
    <w:rsid w:val="0FC42B69"/>
    <w:rsid w:val="0FF22FB9"/>
    <w:rsid w:val="10501A8E"/>
    <w:rsid w:val="10E5667A"/>
    <w:rsid w:val="118916FB"/>
    <w:rsid w:val="1221675E"/>
    <w:rsid w:val="128819B3"/>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B61351"/>
    <w:rsid w:val="1CCA277E"/>
    <w:rsid w:val="1DFB572F"/>
    <w:rsid w:val="1E4569AA"/>
    <w:rsid w:val="1EC5396A"/>
    <w:rsid w:val="1EFB0588"/>
    <w:rsid w:val="1F1B770B"/>
    <w:rsid w:val="20DB5BFD"/>
    <w:rsid w:val="21365D81"/>
    <w:rsid w:val="21556D90"/>
    <w:rsid w:val="21C24E94"/>
    <w:rsid w:val="21D73FEC"/>
    <w:rsid w:val="23736675"/>
    <w:rsid w:val="24B227A0"/>
    <w:rsid w:val="25BA7C7E"/>
    <w:rsid w:val="2666570F"/>
    <w:rsid w:val="26DB4B05"/>
    <w:rsid w:val="271B299E"/>
    <w:rsid w:val="27DD7C53"/>
    <w:rsid w:val="284E3F62"/>
    <w:rsid w:val="28612632"/>
    <w:rsid w:val="29CA6BEF"/>
    <w:rsid w:val="2A924D25"/>
    <w:rsid w:val="2B361609"/>
    <w:rsid w:val="2BC20F83"/>
    <w:rsid w:val="2C800474"/>
    <w:rsid w:val="2C8F0671"/>
    <w:rsid w:val="2D5A0475"/>
    <w:rsid w:val="2DA05507"/>
    <w:rsid w:val="2E487134"/>
    <w:rsid w:val="2E8C3709"/>
    <w:rsid w:val="2F146650"/>
    <w:rsid w:val="2FA13000"/>
    <w:rsid w:val="2FC74096"/>
    <w:rsid w:val="2FF951BC"/>
    <w:rsid w:val="307A24E3"/>
    <w:rsid w:val="307A6987"/>
    <w:rsid w:val="30B33C4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3E3FB3"/>
    <w:rsid w:val="36580FD3"/>
    <w:rsid w:val="37296A11"/>
    <w:rsid w:val="377F48CB"/>
    <w:rsid w:val="381E22EE"/>
    <w:rsid w:val="3AF76503"/>
    <w:rsid w:val="3B0209DD"/>
    <w:rsid w:val="3B0C198B"/>
    <w:rsid w:val="3B483C6E"/>
    <w:rsid w:val="3B57432F"/>
    <w:rsid w:val="3B776F10"/>
    <w:rsid w:val="3B7C7A57"/>
    <w:rsid w:val="3B8E1539"/>
    <w:rsid w:val="3D600CB3"/>
    <w:rsid w:val="3E426F14"/>
    <w:rsid w:val="3EB42189"/>
    <w:rsid w:val="3EC62D97"/>
    <w:rsid w:val="3ECF7EE3"/>
    <w:rsid w:val="3EEF0B4C"/>
    <w:rsid w:val="3EF16375"/>
    <w:rsid w:val="3F2006FA"/>
    <w:rsid w:val="40CF0629"/>
    <w:rsid w:val="4137238C"/>
    <w:rsid w:val="41CC0838"/>
    <w:rsid w:val="4315789A"/>
    <w:rsid w:val="43612B5A"/>
    <w:rsid w:val="43805C0B"/>
    <w:rsid w:val="43B835F7"/>
    <w:rsid w:val="44552CED"/>
    <w:rsid w:val="44EB17AA"/>
    <w:rsid w:val="455F7AA2"/>
    <w:rsid w:val="45984C48"/>
    <w:rsid w:val="46C44060"/>
    <w:rsid w:val="47727F60"/>
    <w:rsid w:val="485D29BF"/>
    <w:rsid w:val="49337A33"/>
    <w:rsid w:val="49374433"/>
    <w:rsid w:val="49DA103E"/>
    <w:rsid w:val="4A0C644A"/>
    <w:rsid w:val="4A2319E6"/>
    <w:rsid w:val="4A8E57CD"/>
    <w:rsid w:val="4B3D495D"/>
    <w:rsid w:val="4CA13CE1"/>
    <w:rsid w:val="4CD450D8"/>
    <w:rsid w:val="4D14664A"/>
    <w:rsid w:val="4D210FC7"/>
    <w:rsid w:val="4D720D77"/>
    <w:rsid w:val="4DB9688D"/>
    <w:rsid w:val="4E4E3945"/>
    <w:rsid w:val="4E8C7B5A"/>
    <w:rsid w:val="4F167E2F"/>
    <w:rsid w:val="4F1E452A"/>
    <w:rsid w:val="4F391364"/>
    <w:rsid w:val="4F732AC8"/>
    <w:rsid w:val="4FA424E7"/>
    <w:rsid w:val="4FBD62FD"/>
    <w:rsid w:val="4FD337AC"/>
    <w:rsid w:val="4FE523CE"/>
    <w:rsid w:val="51E87F8E"/>
    <w:rsid w:val="5236167C"/>
    <w:rsid w:val="52A37398"/>
    <w:rsid w:val="53C102A5"/>
    <w:rsid w:val="53E43F94"/>
    <w:rsid w:val="53EA0E7E"/>
    <w:rsid w:val="54380029"/>
    <w:rsid w:val="544F11B4"/>
    <w:rsid w:val="54A61249"/>
    <w:rsid w:val="54F16968"/>
    <w:rsid w:val="55AC416B"/>
    <w:rsid w:val="55BB1D8D"/>
    <w:rsid w:val="561B17C3"/>
    <w:rsid w:val="564C0516"/>
    <w:rsid w:val="5713248B"/>
    <w:rsid w:val="57833AC4"/>
    <w:rsid w:val="578735B4"/>
    <w:rsid w:val="58C3061C"/>
    <w:rsid w:val="58E93DFA"/>
    <w:rsid w:val="599E4BE5"/>
    <w:rsid w:val="5A1C0F73"/>
    <w:rsid w:val="5A964C59"/>
    <w:rsid w:val="5BA51D88"/>
    <w:rsid w:val="5C170425"/>
    <w:rsid w:val="5CAA564F"/>
    <w:rsid w:val="5CD612EB"/>
    <w:rsid w:val="5D032E6E"/>
    <w:rsid w:val="5DC66F7C"/>
    <w:rsid w:val="5DFB2606"/>
    <w:rsid w:val="5E015742"/>
    <w:rsid w:val="5E0A35CC"/>
    <w:rsid w:val="5EB1144C"/>
    <w:rsid w:val="5EC2228A"/>
    <w:rsid w:val="5EF37781"/>
    <w:rsid w:val="5F6D7131"/>
    <w:rsid w:val="5F7856C5"/>
    <w:rsid w:val="5FDF3601"/>
    <w:rsid w:val="5FF67529"/>
    <w:rsid w:val="607828CE"/>
    <w:rsid w:val="615900E7"/>
    <w:rsid w:val="61D75AE1"/>
    <w:rsid w:val="620B43D3"/>
    <w:rsid w:val="624C1682"/>
    <w:rsid w:val="63B80927"/>
    <w:rsid w:val="643C1F0A"/>
    <w:rsid w:val="644D16E1"/>
    <w:rsid w:val="64925346"/>
    <w:rsid w:val="654D2EBE"/>
    <w:rsid w:val="654E5711"/>
    <w:rsid w:val="656942F9"/>
    <w:rsid w:val="65B558C0"/>
    <w:rsid w:val="665D659A"/>
    <w:rsid w:val="667274BD"/>
    <w:rsid w:val="667747F4"/>
    <w:rsid w:val="66BC2A82"/>
    <w:rsid w:val="672E57FA"/>
    <w:rsid w:val="677E3283"/>
    <w:rsid w:val="67CE4AF1"/>
    <w:rsid w:val="68200AB4"/>
    <w:rsid w:val="68C169D0"/>
    <w:rsid w:val="6A645D31"/>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122000"/>
    <w:rsid w:val="7455465F"/>
    <w:rsid w:val="74AB68E9"/>
    <w:rsid w:val="75AB44BA"/>
    <w:rsid w:val="769200B9"/>
    <w:rsid w:val="77F25625"/>
    <w:rsid w:val="79B7155B"/>
    <w:rsid w:val="79DC07A5"/>
    <w:rsid w:val="7ACA53E2"/>
    <w:rsid w:val="7B143565"/>
    <w:rsid w:val="7B741600"/>
    <w:rsid w:val="7D99109C"/>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1314</Words>
  <Characters>7493</Characters>
  <Lines>62</Lines>
  <Paragraphs>17</Paragraphs>
  <TotalTime>37</TotalTime>
  <ScaleCrop>false</ScaleCrop>
  <LinksUpToDate>false</LinksUpToDate>
  <CharactersWithSpaces>8790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2024-09-27T06:20:43Z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A44E0A178634409BBBA50D5636087390_13</vt:lpwstr>
  </property>
</Properties>
</file>