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textAlignment w:val="baseline"/>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pPr>
      <w:r>
        <w:rPr>
          <w:rFonts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天津市南开区卫生健康委员会</w:t>
      </w:r>
      <w:r>
        <w:rPr>
          <w:rFonts w:hint="default" w:ascii="Times New Roman" w:hAnsi="Times New Roman" w:eastAsia="微软雅黑" w:cs="Times New Roman"/>
          <w:i w:val="0"/>
          <w:iCs w:val="0"/>
          <w:caps w:val="0"/>
          <w:color w:val="333333"/>
          <w:spacing w:val="0"/>
          <w:sz w:val="48"/>
          <w:szCs w:val="48"/>
          <w:bdr w:val="none" w:color="auto" w:sz="0" w:space="0"/>
          <w:shd w:val="clear" w:fill="FFFFFF"/>
          <w:vertAlign w:val="baseline"/>
        </w:rPr>
        <w:t>2024</w:t>
      </w:r>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textAlignment w:val="baseline"/>
      </w:pPr>
      <w:bookmarkStart w:id="14" w:name="_GoBack"/>
      <w:bookmarkEnd w:id="14"/>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部门预算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textAlignment w:val="baseline"/>
      </w:pPr>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585" w:lineRule="atLeast"/>
        <w:ind w:left="0" w:right="0"/>
        <w:jc w:val="center"/>
        <w:textAlignment w:val="baseline"/>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center"/>
        <w:textAlignment w:val="baseline"/>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center"/>
        <w:textAlignment w:val="baseline"/>
      </w:pPr>
      <w:r>
        <w:rPr>
          <w:rFonts w:hint="eastAsia" w:ascii="黑体" w:hAnsi="宋体" w:eastAsia="黑体" w:cs="黑体"/>
          <w:i w:val="0"/>
          <w:iCs w:val="0"/>
          <w:caps w:val="0"/>
          <w:color w:val="333333"/>
          <w:spacing w:val="0"/>
          <w:sz w:val="43"/>
          <w:szCs w:val="43"/>
          <w:bdr w:val="none" w:color="auto" w:sz="0" w:space="0"/>
          <w:shd w:val="clear" w:fill="FFFFFF"/>
          <w:vertAlign w:val="baseline"/>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Style w:val="7"/>
          <w:rFonts w:ascii="仿宋_GB2312" w:hAnsi="微软雅黑" w:eastAsia="仿宋_GB2312" w:cs="仿宋_GB2312"/>
          <w:b/>
          <w:bCs/>
          <w:i w:val="0"/>
          <w:iCs w:val="0"/>
          <w:caps w:val="0"/>
          <w:color w:val="333333"/>
          <w:spacing w:val="0"/>
          <w:sz w:val="30"/>
          <w:szCs w:val="30"/>
          <w:bdr w:val="none" w:color="auto" w:sz="0" w:space="0"/>
          <w:shd w:val="clear" w:fill="FFFFFF"/>
          <w:vertAlign w:val="baseline"/>
        </w:rPr>
        <w:t>第一部分</w:t>
      </w:r>
      <w:r>
        <w:rPr>
          <w:rStyle w:val="7"/>
          <w:rFonts w:hint="eastAsia" w:ascii="仿宋_GB2312" w:hAnsi="微软雅黑" w:eastAsia="仿宋_GB2312" w:cs="仿宋_GB2312"/>
          <w:b/>
          <w:bCs/>
          <w:i w:val="0"/>
          <w:iCs w:val="0"/>
          <w:caps w:val="0"/>
          <w:color w:val="333333"/>
          <w:spacing w:val="0"/>
          <w:sz w:val="30"/>
          <w:szCs w:val="30"/>
          <w:bdr w:val="none" w:color="auto" w:sz="0" w:space="0"/>
          <w:shd w:val="clear" w:fill="FFFFFF"/>
          <w:vertAlign w:val="baseline"/>
        </w:rPr>
        <w:t>  概 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二、机构设置情况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Style w:val="7"/>
          <w:rFonts w:hint="eastAsia" w:ascii="仿宋_GB2312" w:hAnsi="微软雅黑" w:eastAsia="仿宋_GB2312" w:cs="仿宋_GB2312"/>
          <w:b/>
          <w:bCs/>
          <w:i w:val="0"/>
          <w:iCs w:val="0"/>
          <w:caps w:val="0"/>
          <w:color w:val="333333"/>
          <w:spacing w:val="0"/>
          <w:sz w:val="30"/>
          <w:szCs w:val="30"/>
          <w:bdr w:val="none" w:color="auto" w:sz="0" w:space="0"/>
          <w:shd w:val="clear" w:fill="FFFFFF"/>
          <w:vertAlign w:val="baseline"/>
        </w:rPr>
        <w:t>第二部分  </w:t>
      </w:r>
      <w:r>
        <w:rPr>
          <w:rStyle w:val="7"/>
          <w:rFonts w:hint="default" w:ascii="Times New Roman" w:hAnsi="Times New Roman" w:eastAsia="微软雅黑" w:cs="Times New Roman"/>
          <w:b/>
          <w:bCs/>
          <w:i w:val="0"/>
          <w:iCs w:val="0"/>
          <w:caps w:val="0"/>
          <w:color w:val="333333"/>
          <w:spacing w:val="0"/>
          <w:sz w:val="30"/>
          <w:szCs w:val="30"/>
          <w:bdr w:val="none" w:color="auto" w:sz="0" w:space="0"/>
          <w:shd w:val="clear" w:fill="FFFFFF"/>
          <w:vertAlign w:val="baseline"/>
        </w:rPr>
        <w:t>202</w:t>
      </w:r>
      <w:r>
        <w:rPr>
          <w:rStyle w:val="7"/>
          <w:rFonts w:hint="default" w:ascii="Times New Roman" w:hAnsi="Times New Roman" w:eastAsia="仿宋_GB2312" w:cs="Times New Roman"/>
          <w:b/>
          <w:bCs/>
          <w:i w:val="0"/>
          <w:iCs w:val="0"/>
          <w:caps w:val="0"/>
          <w:color w:val="333333"/>
          <w:spacing w:val="0"/>
          <w:sz w:val="30"/>
          <w:szCs w:val="30"/>
          <w:bdr w:val="none" w:color="auto" w:sz="0" w:space="0"/>
          <w:shd w:val="clear" w:fill="FFFFFF"/>
          <w:vertAlign w:val="baseline"/>
        </w:rPr>
        <w:t>4</w:t>
      </w:r>
      <w:r>
        <w:rPr>
          <w:rStyle w:val="7"/>
          <w:rFonts w:hint="eastAsia" w:ascii="仿宋_GB2312" w:hAnsi="微软雅黑" w:eastAsia="仿宋_GB2312" w:cs="仿宋_GB2312"/>
          <w:b/>
          <w:bCs/>
          <w:i w:val="0"/>
          <w:iCs w:val="0"/>
          <w:caps w:val="0"/>
          <w:color w:val="333333"/>
          <w:spacing w:val="0"/>
          <w:sz w:val="30"/>
          <w:szCs w:val="30"/>
          <w:bdr w:val="none" w:color="auto" w:sz="0" w:space="0"/>
          <w:shd w:val="clear" w:fill="FFFFFF"/>
          <w:vertAlign w:val="baseline"/>
        </w:rPr>
        <w:t>年部门预算情况说明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一、关于收支总体情况表的说明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二、关于收入总体情况表的说明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三、关于支出总体情况表的说明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四、关于财政拨款收支总体情况表的说明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五、关于一般公共预算支出情况的说明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六、关于一般公共预算基本支出情况表的说明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七、关于一般公共预算“三公”经费支出情况表的说明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八、关于政府性基金预算支出情况表的说明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九、关于国有资本经营预算支出情况表的说明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Style w:val="7"/>
          <w:rFonts w:hint="eastAsia" w:ascii="仿宋_GB2312" w:hAnsi="微软雅黑" w:eastAsia="仿宋_GB2312" w:cs="仿宋_GB2312"/>
          <w:b/>
          <w:bCs/>
          <w:i w:val="0"/>
          <w:iCs w:val="0"/>
          <w:caps w:val="0"/>
          <w:color w:val="333333"/>
          <w:spacing w:val="0"/>
          <w:sz w:val="30"/>
          <w:szCs w:val="30"/>
          <w:bdr w:val="none" w:color="auto" w:sz="0" w:space="0"/>
          <w:shd w:val="clear" w:fill="FFFFFF"/>
          <w:vertAlign w:val="baseline"/>
        </w:rPr>
        <w:t>第三部分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Style w:val="7"/>
          <w:rFonts w:hint="eastAsia" w:ascii="仿宋_GB2312" w:hAnsi="微软雅黑" w:eastAsia="仿宋_GB2312" w:cs="仿宋_GB2312"/>
          <w:b/>
          <w:bCs/>
          <w:i w:val="0"/>
          <w:iCs w:val="0"/>
          <w:caps w:val="0"/>
          <w:color w:val="333333"/>
          <w:spacing w:val="0"/>
          <w:sz w:val="30"/>
          <w:szCs w:val="30"/>
          <w:bdr w:val="none" w:color="auto" w:sz="0" w:space="0"/>
          <w:shd w:val="clear" w:fill="FFFFFF"/>
          <w:vertAlign w:val="baseline"/>
        </w:rPr>
        <w:t>第四部分  </w:t>
      </w:r>
      <w:r>
        <w:rPr>
          <w:rStyle w:val="7"/>
          <w:rFonts w:hint="default" w:ascii="Times New Roman" w:hAnsi="Times New Roman" w:eastAsia="微软雅黑" w:cs="Times New Roman"/>
          <w:b/>
          <w:bCs/>
          <w:i w:val="0"/>
          <w:iCs w:val="0"/>
          <w:caps w:val="0"/>
          <w:color w:val="333333"/>
          <w:spacing w:val="0"/>
          <w:sz w:val="30"/>
          <w:szCs w:val="30"/>
          <w:bdr w:val="none" w:color="auto" w:sz="0" w:space="0"/>
          <w:shd w:val="clear" w:fill="FFFFFF"/>
          <w:vertAlign w:val="baseline"/>
        </w:rPr>
        <w:t>202</w:t>
      </w:r>
      <w:r>
        <w:rPr>
          <w:rStyle w:val="7"/>
          <w:rFonts w:hint="default" w:ascii="Times New Roman" w:hAnsi="Times New Roman" w:eastAsia="仿宋_GB2312" w:cs="Times New Roman"/>
          <w:b/>
          <w:bCs/>
          <w:i w:val="0"/>
          <w:iCs w:val="0"/>
          <w:caps w:val="0"/>
          <w:color w:val="333333"/>
          <w:spacing w:val="0"/>
          <w:sz w:val="30"/>
          <w:szCs w:val="30"/>
          <w:bdr w:val="none" w:color="auto" w:sz="0" w:space="0"/>
          <w:shd w:val="clear" w:fill="FFFFFF"/>
          <w:vertAlign w:val="baseline"/>
        </w:rPr>
        <w:t>4</w:t>
      </w:r>
      <w:r>
        <w:rPr>
          <w:rStyle w:val="7"/>
          <w:rFonts w:hint="eastAsia" w:ascii="仿宋_GB2312" w:hAnsi="微软雅黑" w:eastAsia="仿宋_GB2312" w:cs="仿宋_GB2312"/>
          <w:b/>
          <w:bCs/>
          <w:i w:val="0"/>
          <w:iCs w:val="0"/>
          <w:caps w:val="0"/>
          <w:color w:val="333333"/>
          <w:spacing w:val="0"/>
          <w:sz w:val="30"/>
          <w:szCs w:val="30"/>
          <w:bdr w:val="none" w:color="auto" w:sz="0" w:space="0"/>
          <w:shd w:val="clear" w:fill="FFFFFF"/>
          <w:vertAlign w:val="baseline"/>
        </w:rPr>
        <w:t>年部门预算表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一、部门收支总体情况表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二、部门收入总体情况表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三、部门支出总体情况表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四、财政拨款收支总体情况表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五、一般公共预算支出情况表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六、一般公共预算基本支出情况表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七、一般公共预算“三公”经费支出情况表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八、政府性基金预算支出情况表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九、国有资本经营预算支出情况表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十、项目支出表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十一、关于空表的说明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600" w:lineRule="atLeast"/>
        <w:ind w:left="0" w:right="0"/>
        <w:jc w:val="both"/>
        <w:textAlignment w:val="baseline"/>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0"/>
        <w:textAlignment w:val="baseline"/>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333333"/>
          <w:spacing w:val="0"/>
        </w:rPr>
      </w:pPr>
      <w:bookmarkStart w:id="0" w:name="_Toc78784554"/>
      <w:bookmarkEnd w:id="0"/>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第一部分  概 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1" w:name="_Toc78784555"/>
      <w:bookmarkEnd w:id="1"/>
      <w:r>
        <w:rPr>
          <w:rStyle w:val="7"/>
          <w:rFonts w:hint="eastAsia" w:ascii="黑体" w:hAnsi="宋体" w:eastAsia="黑体" w:cs="黑体"/>
          <w:b/>
          <w:bCs/>
          <w:i w:val="0"/>
          <w:iCs w:val="0"/>
          <w:caps w:val="0"/>
          <w:color w:val="333333"/>
          <w:spacing w:val="0"/>
          <w:sz w:val="30"/>
          <w:szCs w:val="30"/>
          <w:bdr w:val="none" w:color="auto" w:sz="0" w:space="0"/>
          <w:shd w:val="clear" w:fill="FFFFFF"/>
          <w:vertAlign w:val="baseline"/>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bookmarkStart w:id="2" w:name="_Toc78784556"/>
      <w:bookmarkEnd w:id="2"/>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（一）贯彻落实卫生健康工作法律法规、政策、规划和标准。统筹规划卫生健康资源配置、负责全区卫生健康规划的编制和实施。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（二）落实医药卫生体制改革政策、措施，组织推进公立医院改革，推进管办分离，健全现代医院管理制度，推动卫生健康公共服务提供主体多元化、提供方式多样化。提出医疗服务和药品价格政策的建议。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　</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三）负责全区疾病预防控制工作，组织落实疾病预防控制规划和免疫规划以及严重危害人民健康公共卫生问题的干预措施。负责卫生应急工作，组织指导突发公共卫生事件的预防控制和各类突发公共事件的医疗卫生救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（四）贯彻落实应对人口老龄化政策措施，推进老年健康服务体系建设和医养结合工作。承担区老龄工作委员会日常工作。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五）负责职责范围内的职业卫生、放射卫生、环境卫生、学校卫生、公共场所卫生、饮用水卫生等公共卫生的监督管理，负责传染病防治监督，负责全区公共场所卫生监督管理。负责职业安全健康监督管理工作。负责全区控制吸烟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（六）组织实施全区基本公共卫生、社区公共卫生、妇幼卫生、儿童保健等工作，推进基本公共卫生、妇幼卫生和计划生育服务均等化，完善基层运行新机制。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七）负责全区医疗机构和医疗服务全行业的监督管理，建立医疗服务评价体系和监督管理体系，落实医疗机构及其医疗服务、医疗技术、医疗质量、医疗安全管理的政策、规范、标准。负责所属医疗机构医用设备配置、使用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（八）依法监督管理献血工作，负责献血及血液知识的宣传普及，组织、动员居民参与无偿献血。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（九）负责指导基层医疗卫生、妇幼健康服务体系和全科医生队伍建设。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（十）负责全区医疗保健对象的医疗保健工作，负责有关会议和活动的医疗卫生保障工作。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一）贯彻落实中医药政策和相关标准并组织实施。承担中医医疗、预防、保健、康复及临床用药等监管责任。组织实施中医医疗、保健管理规范和技术标准。组织实施中医药专业技术人员资格标准，开展中医药教育培训，继承和发展中医药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（十二）负责全区计划生育管理和服务工作，开展人口监测预警，研究提出人口和家庭发展相关政策建议，落实计划生育政策，指导区计划生育协会的业务工作。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（十三）负责全区爱国卫生相关工作，承担区爱国卫生运动委员会日常工作。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（十四）负责卫生健康领域安全生产管理。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（十五）负责卫生健康领域人才队伍建设。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（十六）负责卫生健康领域对外合作与交流工作。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（十七）组织推动卫生健康领域招商引资工作。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（十八）完成区委、区政府交办的其他事项</w:t>
      </w:r>
      <w:r>
        <w:rPr>
          <w:rFonts w:hint="eastAsia" w:ascii="仿宋_GB2312" w:hAnsi="Cambria" w:eastAsia="仿宋_GB2312" w:cs="仿宋_GB2312"/>
          <w:i w:val="0"/>
          <w:iCs w:val="0"/>
          <w:caps w:val="0"/>
          <w:color w:val="333333"/>
          <w:spacing w:val="0"/>
          <w:sz w:val="30"/>
          <w:szCs w:val="30"/>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r>
        <w:rPr>
          <w:rStyle w:val="7"/>
          <w:rFonts w:hint="eastAsia" w:ascii="黑体" w:hAnsi="宋体" w:eastAsia="黑体" w:cs="黑体"/>
          <w:b/>
          <w:bCs/>
          <w:i w:val="0"/>
          <w:iCs w:val="0"/>
          <w:caps w:val="0"/>
          <w:color w:val="333333"/>
          <w:spacing w:val="0"/>
          <w:sz w:val="30"/>
          <w:szCs w:val="30"/>
          <w:bdr w:val="none" w:color="auto" w:sz="0" w:space="0"/>
          <w:shd w:val="clear" w:fill="FFFFFF"/>
          <w:vertAlign w:val="baseline"/>
        </w:rPr>
        <w:t>二、机构设置情况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w:t>
      </w:r>
      <w:r>
        <w:rPr>
          <w:rFonts w:hint="eastAsia" w:ascii="仿宋_GB2312" w:hAnsi="Times New Roman" w:eastAsia="仿宋_GB2312" w:cs="仿宋_GB2312"/>
          <w:i w:val="0"/>
          <w:iCs w:val="0"/>
          <w:caps w:val="0"/>
          <w:color w:val="333333"/>
          <w:spacing w:val="0"/>
          <w:sz w:val="30"/>
          <w:szCs w:val="30"/>
          <w:bdr w:val="none" w:color="auto" w:sz="0" w:space="0"/>
          <w:shd w:val="clear" w:fill="FFFFFF"/>
          <w:vertAlign w:val="baseline"/>
        </w:rPr>
        <w:t>内设</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个职能科室；下辖</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个预算</w:t>
      </w:r>
      <w:r>
        <w:rPr>
          <w:rFonts w:hint="eastAsia" w:ascii="仿宋_GB2312" w:hAnsi="Times New Roman" w:eastAsia="仿宋_GB2312" w:cs="仿宋_GB2312"/>
          <w:i w:val="0"/>
          <w:iCs w:val="0"/>
          <w:caps w:val="0"/>
          <w:color w:val="333333"/>
          <w:spacing w:val="0"/>
          <w:sz w:val="30"/>
          <w:szCs w:val="30"/>
          <w:bdr w:val="none" w:color="auto" w:sz="0" w:space="0"/>
          <w:shd w:val="clear" w:fill="FFFFFF"/>
          <w:vertAlign w:val="baseline"/>
        </w:rPr>
        <w:t>单位</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纳入天津市南开区卫生健康委员会</w:t>
      </w:r>
      <w:r>
        <w:rPr>
          <w:rFonts w:hint="default" w:ascii="Times New Roman" w:hAnsi="Times New Roman" w:eastAsia="微软雅黑" w:cs="Times New Roman"/>
          <w:i w:val="0"/>
          <w:iCs w:val="0"/>
          <w:caps w:val="0"/>
          <w:color w:val="333333"/>
          <w:spacing w:val="0"/>
          <w:sz w:val="30"/>
          <w:szCs w:val="30"/>
          <w:bdr w:val="none" w:color="auto" w:sz="0" w:space="0"/>
          <w:shd w:val="clear" w:fill="FFFFFF"/>
          <w:vertAlign w:val="baseline"/>
        </w:rPr>
        <w:t>202</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年部门预算编制范围的预算单位包括：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天津市黄河医院（天津市体育医院）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天津市水阁医院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天津市南开区三潭医院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天津市南开区王顶堤医院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天津市南开区鼓楼街社区卫生服务中心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天津市南开区体育中心街社区卫生服务中心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天津市南开区华苑街社区卫生服务中心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天津市南开区学府街社区卫生服务中心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天津市南开区嘉陵道街社区卫生服务中心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天津市南开区兴南街社区卫生服务中心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天津市南开区万兴街东南社区卫生服务中心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天津市南开区水上公园街社区卫生服务中心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天津市南开区向阳街社区卫生服务中心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天津市南开区长虹街社区卫生服务中心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天津市南开区第一保育院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天津市南开区第二保育院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天津市南开区第三保育院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天津市南开区第四保育院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天津市南开区妇女儿童保健和计划生育服务中心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天津市南开区疾病预防控制中心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天津市南开区卫生计生综合监督所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天津市南开区卫生健康综合服务中心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43"/>
          <w:szCs w:val="43"/>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333333"/>
          <w:spacing w:val="0"/>
        </w:rPr>
      </w:pPr>
      <w:bookmarkStart w:id="3" w:name="_Toc78784570"/>
      <w:bookmarkEnd w:id="3"/>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第二部分  </w:t>
      </w:r>
      <w:r>
        <w:rPr>
          <w:rFonts w:hint="default" w:ascii="Times New Roman" w:hAnsi="Times New Roman" w:eastAsia="微软雅黑" w:cs="Times New Roman"/>
          <w:i w:val="0"/>
          <w:iCs w:val="0"/>
          <w:caps w:val="0"/>
          <w:color w:val="333333"/>
          <w:spacing w:val="-15"/>
          <w:sz w:val="48"/>
          <w:szCs w:val="48"/>
          <w:bdr w:val="none" w:color="auto" w:sz="0" w:space="0"/>
          <w:shd w:val="clear" w:fill="FFFFFF"/>
          <w:vertAlign w:val="baseline"/>
        </w:rPr>
        <w:t>202</w:t>
      </w:r>
      <w:r>
        <w:rPr>
          <w:rFonts w:hint="default" w:ascii="Times New Roman" w:hAnsi="Times New Roman" w:eastAsia="方正小标宋简体" w:cs="Times New Roman"/>
          <w:i w:val="0"/>
          <w:iCs w:val="0"/>
          <w:caps w:val="0"/>
          <w:color w:val="333333"/>
          <w:spacing w:val="-15"/>
          <w:sz w:val="48"/>
          <w:szCs w:val="48"/>
          <w:bdr w:val="none" w:color="auto" w:sz="0" w:space="0"/>
          <w:shd w:val="clear" w:fill="FFFFFF"/>
          <w:vertAlign w:val="baseline"/>
        </w:rPr>
        <w:t>4</w:t>
      </w:r>
      <w:r>
        <w:rPr>
          <w:rFonts w:hint="eastAsia" w:ascii="方正小标宋简体" w:hAnsi="方正小标宋简体" w:eastAsia="方正小标宋简体" w:cs="方正小标宋简体"/>
          <w:i w:val="0"/>
          <w:iCs w:val="0"/>
          <w:caps w:val="0"/>
          <w:color w:val="333333"/>
          <w:spacing w:val="-15"/>
          <w:sz w:val="48"/>
          <w:szCs w:val="48"/>
          <w:bdr w:val="none" w:color="auto" w:sz="0" w:space="0"/>
          <w:shd w:val="clear" w:fill="FFFFFF"/>
          <w:vertAlign w:val="baseline"/>
        </w:rPr>
        <w:t>年部门预算情况说明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4" w:name="_Toc78784571"/>
      <w:bookmarkEnd w:id="4"/>
      <w:r>
        <w:rPr>
          <w:rFonts w:hint="eastAsia" w:ascii="黑体" w:hAnsi="宋体" w:eastAsia="黑体" w:cs="黑体"/>
          <w:i w:val="0"/>
          <w:iCs w:val="0"/>
          <w:caps w:val="0"/>
          <w:color w:val="333333"/>
          <w:spacing w:val="0"/>
          <w:sz w:val="30"/>
          <w:szCs w:val="30"/>
          <w:bdr w:val="none" w:color="auto" w:sz="0" w:space="0"/>
          <w:shd w:val="clear" w:fill="FFFFFF"/>
          <w:vertAlign w:val="baseline"/>
        </w:rPr>
        <w:t>一、关于收支总体情况表的说明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15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    按照综合预算的原则，天津市南开区卫生健康委员会所有收入和支出均纳入部门预算管理。收入包括：一般公共预算拨款收入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39370.6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万元、政府性基金预算拨款收入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万元、国有资本经营预算拨款收入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万元、财政专户管理资金收入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万元、事业收入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154889.2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万元、事业单位经营收入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万元、上级补助收入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万元、附属单位上缴收入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万元、其他收入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万元、上年结转结余</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11662.6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万元；支出包括：社会保障和就业支出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4930.6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万元、卫生健康支出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200991.8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万元。天津市南开区卫生健康委员会</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年收支总预算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205922.50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5" w:name="_Toc78784572"/>
      <w:bookmarkEnd w:id="5"/>
      <w:r>
        <w:rPr>
          <w:rFonts w:hint="eastAsia" w:ascii="黑体" w:hAnsi="宋体" w:eastAsia="黑体" w:cs="黑体"/>
          <w:i w:val="0"/>
          <w:iCs w:val="0"/>
          <w:caps w:val="0"/>
          <w:color w:val="333333"/>
          <w:spacing w:val="0"/>
          <w:sz w:val="30"/>
          <w:szCs w:val="30"/>
          <w:bdr w:val="none" w:color="auto" w:sz="0" w:space="0"/>
          <w:shd w:val="clear" w:fill="FFFFFF"/>
          <w:vertAlign w:val="baseline"/>
        </w:rPr>
        <w:t>二、关于收入总体情况表的说明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年部门预算收入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205922.5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42728.1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万元，主要原因是事业预算收入和财政拨款预算收入增加。其中：上年结转结余</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11662.6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5.66%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；一般公共预算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39370.6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19.12%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；政府性基金预算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；国有资本经营预算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；财政专户管理资金</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；事业收入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154889.2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75.22%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；事业单位经营收入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；上级补助收入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；附属单位上缴收入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；其他收入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6" w:name="_Toc78784573"/>
      <w:bookmarkEnd w:id="6"/>
      <w:r>
        <w:rPr>
          <w:rFonts w:hint="eastAsia" w:ascii="黑体" w:hAnsi="宋体" w:eastAsia="黑体" w:cs="黑体"/>
          <w:i w:val="0"/>
          <w:iCs w:val="0"/>
          <w:caps w:val="0"/>
          <w:color w:val="333333"/>
          <w:spacing w:val="0"/>
          <w:sz w:val="30"/>
          <w:szCs w:val="30"/>
          <w:bdr w:val="none" w:color="auto" w:sz="0" w:space="0"/>
          <w:shd w:val="clear" w:fill="FFFFFF"/>
          <w:vertAlign w:val="baseline"/>
        </w:rPr>
        <w:t>三、关于支出总体情况表的说明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年支出预算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205922.5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42728.07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万元，主要原因是事业预算收入和财政拨款预算收入增加，支出相应增加。其中：基本支出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24780.5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12.03%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；项目支出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181142.0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87.97%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；事业单位经营支出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；上缴上级支出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；对附属单位补助支出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w:t>
      </w: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7" w:name="_Toc78784574"/>
      <w:bookmarkEnd w:id="7"/>
      <w:r>
        <w:rPr>
          <w:rFonts w:hint="eastAsia" w:ascii="黑体" w:hAnsi="宋体" w:eastAsia="黑体" w:cs="黑体"/>
          <w:i w:val="0"/>
          <w:iCs w:val="0"/>
          <w:caps w:val="0"/>
          <w:color w:val="333333"/>
          <w:spacing w:val="0"/>
          <w:sz w:val="30"/>
          <w:szCs w:val="30"/>
          <w:bdr w:val="none" w:color="auto" w:sz="0" w:space="0"/>
          <w:shd w:val="clear" w:fill="FFFFFF"/>
          <w:vertAlign w:val="baseline"/>
        </w:rPr>
        <w:t>四、关于财政拨款收支总体情况表的说明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年财政拨款收入预算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51033.3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21181.9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万元，主要原因是上年财政结转结余增加。收入包括：一般公共预算拨款收入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39370.6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万元、政府性基金预算拨款收入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万元、国有资本经营预算拨款收入</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万元、上年财政结转结余</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11662.6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年财政拨款支出预算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51,033.3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21181.9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万元，主要原因是财政拨款预算收入增加，支出相应增加。支出包括：社会保障和就业支出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4930.6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万元、卫生健康支出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46102.7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8" w:name="_Toc78784575"/>
      <w:bookmarkEnd w:id="8"/>
      <w:r>
        <w:rPr>
          <w:rFonts w:hint="eastAsia" w:ascii="黑体" w:hAnsi="宋体" w:eastAsia="黑体" w:cs="黑体"/>
          <w:i w:val="0"/>
          <w:iCs w:val="0"/>
          <w:caps w:val="0"/>
          <w:color w:val="333333"/>
          <w:spacing w:val="0"/>
          <w:sz w:val="30"/>
          <w:szCs w:val="30"/>
          <w:bdr w:val="none" w:color="auto" w:sz="0" w:space="0"/>
          <w:shd w:val="clear" w:fill="FFFFFF"/>
          <w:vertAlign w:val="baseline"/>
        </w:rPr>
        <w:t>五、关于一般公共预算支出情况表的说明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r>
        <w:rPr>
          <w:rStyle w:val="7"/>
          <w:rFonts w:ascii="楷体" w:hAnsi="楷体" w:eastAsia="楷体" w:cs="楷体"/>
          <w:b/>
          <w:bCs/>
          <w:i w:val="0"/>
          <w:iCs w:val="0"/>
          <w:caps w:val="0"/>
          <w:color w:val="333333"/>
          <w:spacing w:val="0"/>
          <w:sz w:val="30"/>
          <w:szCs w:val="30"/>
          <w:bdr w:val="none" w:color="auto" w:sz="0" w:space="0"/>
          <w:shd w:val="clear" w:fill="FFFFFF"/>
          <w:vertAlign w:val="baseline"/>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年一般公共预算支出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51033.3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21181.9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万元，主要原因是上年财政结转结余增加。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楷体" w:hAnsi="楷体" w:eastAsia="楷体" w:cs="楷体"/>
          <w:b/>
          <w:bCs/>
          <w:i w:val="0"/>
          <w:iCs w:val="0"/>
          <w:caps w:val="0"/>
          <w:color w:val="333333"/>
          <w:spacing w:val="0"/>
          <w:sz w:val="30"/>
          <w:szCs w:val="30"/>
          <w:bdr w:val="none" w:color="auto" w:sz="0" w:space="0"/>
          <w:shd w:val="clear" w:fill="FFFFFF"/>
          <w:vertAlign w:val="baseline"/>
        </w:rPr>
        <w:t>（二）具体情况。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1. </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“社会保障和就业支出”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4,930.6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年预算相比减少</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256.7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万元，主要原因是人员变动，其中：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“行政事业单位养老支出”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4930.6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万元，包括：“机关事业单位基本养老保险缴费支出”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3287.1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万元，主要用于缴纳在职职工基本养老保险；“机关事业单位职业年金缴费支出”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1643.5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万元，主要用于缴纳在职职工职业年金。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bookmarkStart w:id="9" w:name="_Toc78784576"/>
      <w:bookmarkEnd w:id="9"/>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2. </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“卫生健康支出”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46,102.7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21438.6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万元，主要原因是上年财政结转结余增加，其中：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“卫生健康管理事务”</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1599.7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万元，包括：“行政运行”</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1599.7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万元，主要用于机关正常运转所需各项经费。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“公立医院”</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1611.1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万元，包括：“综合医院”</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320.0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万元，主要用于综合医院正常运营所需各项经费；“中医（民族）医院”</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1181.7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万元，主要用于中医院正常运营所需各项经费；“妇幼保健医院”</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109.3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万元，主要用于妇幼保健医院正常运营所需各项经费。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“基层医疗卫生机构”</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5029.1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万元，包括：“城市社区卫生机构”</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5029.1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万元，主要用于社区卫生服务中心正常运营所需各项经费。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“公共卫生”</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16157.7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万元，包括：“疾病预防控制机构”</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2186.8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万元，主要用于疾控中心正常运营所需各项经费；“卫生监督机构”</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1262.0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万元，主要用于监督所正常运营所需各项经费；“妇幼保健机构”</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852.9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万元，主要用于妇幼保健中心正常运营所需各项经费；“基本公共卫生服务”</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8423.7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万元，主要用于开展基本公共卫生服务所需经费；“重大公共卫生服务”</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865.5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万元，主要用于开展重大传染病防控等工作所需经费；“突发公共卫生事件应急处置”</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2564.8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万元，主要用于突发公共卫生事件应急处置工作所需各项经费；“其他公共卫生支出”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万元，主要用于其他公共卫生项目所需支出。 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“计划生育事务”</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4749.5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万元，包括：“计划生育服务”</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4749.5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万元，主要用于发放特扶金等相关支出。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“行政事业单位医疗”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1044.3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万元，包括：“行政单位医疗”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120.0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万元，主要用于行政单位离退休干部药费报销；“事业单位医疗”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900.3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万元，主要用于事业单位离退休干部药费报销；“公务员医疗补助”</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24.0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万元，主要用于支付行政单位人员医疗补助。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“中医药事务”</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12797.4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万元，包括：“中医（民族医）药专项”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12797.4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万元，主要用于中医药项目相关支出。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“其他卫生健康支出”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3113.8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万元，包括：“其他卫生健康支出”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3113.8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万元，主要用于保育院等单位正常运营所需各项经费。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0"/>
          <w:szCs w:val="30"/>
          <w:bdr w:val="none" w:color="auto" w:sz="0" w:space="0"/>
          <w:shd w:val="clear" w:fill="FFFFFF"/>
          <w:vertAlign w:val="baseline"/>
        </w:rPr>
        <w:t>六、关于一般公共预算基本支出情况表的说明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天津市南开区卫生健康委员会一般公共预算基本支出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24780.5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581.1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万元，主要原因是人员经费增加。其中：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人员经费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23,885.8</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万元，主要包括：工资福利支出、对个人和家庭的补助。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公用经费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894.6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万元，主要包括：商品和服务支出、资本性支出。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10" w:name="_Toc78784577"/>
      <w:bookmarkEnd w:id="10"/>
      <w:r>
        <w:rPr>
          <w:rFonts w:hint="eastAsia" w:ascii="黑体" w:hAnsi="宋体" w:eastAsia="黑体" w:cs="黑体"/>
          <w:i w:val="0"/>
          <w:iCs w:val="0"/>
          <w:caps w:val="0"/>
          <w:color w:val="333333"/>
          <w:spacing w:val="0"/>
          <w:sz w:val="30"/>
          <w:szCs w:val="30"/>
          <w:bdr w:val="none" w:color="auto" w:sz="0" w:space="0"/>
          <w:shd w:val="clear" w:fill="FFFFFF"/>
          <w:vertAlign w:val="baseline"/>
        </w:rPr>
        <w:t>七、关于一般公共预算“三公”经费支出情况表的说明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年一般公共预算“三公”经费安排</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0.05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万元，主要原因是公务接待费增加。具体情况：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年因公出国（境）费预算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年公务用车购置及运行费预算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万元，其中公务用车运行费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万元；公务用车购置费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年公务接待费预算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万元，与</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年预算相比增加</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0.05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万元，主要原因是公务接待活动增加。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0"/>
          <w:szCs w:val="30"/>
          <w:bdr w:val="none" w:color="auto" w:sz="0" w:space="0"/>
          <w:shd w:val="clear" w:fill="FFFFFF"/>
          <w:vertAlign w:val="baseline"/>
        </w:rPr>
        <w:t>八、关于政府性基金预算支出情况表的说明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年天津市南开区卫生健康委员会部门预算中没有使用政府性基金预算安排的支出。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11" w:name="_Toc78784578"/>
      <w:bookmarkEnd w:id="11"/>
      <w:r>
        <w:rPr>
          <w:rFonts w:hint="eastAsia" w:ascii="黑体" w:hAnsi="宋体" w:eastAsia="黑体" w:cs="黑体"/>
          <w:i w:val="0"/>
          <w:iCs w:val="0"/>
          <w:caps w:val="0"/>
          <w:color w:val="333333"/>
          <w:spacing w:val="0"/>
          <w:sz w:val="30"/>
          <w:szCs w:val="30"/>
          <w:bdr w:val="none" w:color="auto" w:sz="0" w:space="0"/>
          <w:shd w:val="clear" w:fill="FFFFFF"/>
          <w:vertAlign w:val="baseline"/>
        </w:rPr>
        <w:t>九、关于国有资本经营预算支出情况表的说明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年天津市南开区卫生健康委员会部门预算中没有使用国有资本经营预算安排的支出。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bookmarkStart w:id="12" w:name="_Toc78784579"/>
      <w:bookmarkEnd w:id="12"/>
      <w:r>
        <w:rPr>
          <w:rFonts w:hint="eastAsia" w:ascii="黑体" w:hAnsi="宋体" w:eastAsia="黑体" w:cs="黑体"/>
          <w:i w:val="0"/>
          <w:iCs w:val="0"/>
          <w:caps w:val="0"/>
          <w:color w:val="333333"/>
          <w:spacing w:val="0"/>
          <w:sz w:val="30"/>
          <w:szCs w:val="30"/>
          <w:bdr w:val="none" w:color="auto" w:sz="0" w:space="0"/>
          <w:shd w:val="clear" w:fill="FFFFFF"/>
          <w:vertAlign w:val="baseline"/>
        </w:rPr>
        <w:t>十、其他重要事项的情况说明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333333"/>
          <w:spacing w:val="0"/>
        </w:rPr>
      </w:pPr>
      <w:r>
        <w:rPr>
          <w:rStyle w:val="7"/>
          <w:rFonts w:ascii="楷体_GB2312" w:hAnsi="微软雅黑" w:eastAsia="楷体_GB2312" w:cs="楷体_GB2312"/>
          <w:b/>
          <w:bCs/>
          <w:i w:val="0"/>
          <w:iCs w:val="0"/>
          <w:caps w:val="0"/>
          <w:color w:val="333333"/>
          <w:spacing w:val="0"/>
          <w:sz w:val="30"/>
          <w:szCs w:val="30"/>
          <w:bdr w:val="none" w:color="auto" w:sz="0" w:space="0"/>
          <w:shd w:val="clear" w:fill="FFFFFF"/>
          <w:vertAlign w:val="baseline"/>
        </w:rPr>
        <w:t>（一）</w:t>
      </w:r>
      <w:r>
        <w:rPr>
          <w:rStyle w:val="7"/>
          <w:rFonts w:hint="eastAsia" w:ascii="楷体_GB2312" w:hAnsi="MS Serif" w:eastAsia="楷体_GB2312" w:cs="楷体_GB2312"/>
          <w:b/>
          <w:bCs/>
          <w:i w:val="0"/>
          <w:iCs w:val="0"/>
          <w:caps w:val="0"/>
          <w:color w:val="333333"/>
          <w:spacing w:val="0"/>
          <w:sz w:val="30"/>
          <w:szCs w:val="30"/>
          <w:bdr w:val="none" w:color="auto" w:sz="0" w:space="0"/>
          <w:shd w:val="clear" w:fill="FFFFFF"/>
          <w:vertAlign w:val="baseline"/>
        </w:rPr>
        <w:t>机关运行经费</w:t>
      </w:r>
      <w:r>
        <w:rPr>
          <w:rStyle w:val="7"/>
          <w:rFonts w:hint="eastAsia" w:ascii="楷体_GB2312" w:hAnsi="微软雅黑" w:eastAsia="楷体_GB2312" w:cs="楷体_GB2312"/>
          <w:b/>
          <w:bCs/>
          <w:i w:val="0"/>
          <w:iCs w:val="0"/>
          <w:caps w:val="0"/>
          <w:color w:val="333333"/>
          <w:spacing w:val="0"/>
          <w:sz w:val="30"/>
          <w:szCs w:val="30"/>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本部门</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年天津市南开区卫生健康委员会（本级）</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家行政单位以及天津市南开区卫生计生综合监督所</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家参公管理事业单位的机关运行经费预算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873.1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万元，包括办公费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65.4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万元、印刷费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0.2</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万元、邮电费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13.6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万元、差旅费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6</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万元、福利费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119.4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万元、日常维修费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万元、专用材料费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万元、办公用房水费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7.3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万元、办公用房电费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14.5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万元、办公用房取暖费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53.1</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万元、公务用车运行维护费</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楷体" w:hAnsi="楷体" w:eastAsia="楷体" w:cs="楷体"/>
          <w:b/>
          <w:bCs/>
          <w:i w:val="0"/>
          <w:iCs w:val="0"/>
          <w:caps w:val="0"/>
          <w:color w:val="333333"/>
          <w:spacing w:val="0"/>
          <w:sz w:val="30"/>
          <w:szCs w:val="30"/>
          <w:bdr w:val="none" w:color="auto" w:sz="0" w:space="0"/>
          <w:shd w:val="clear" w:fill="FFFFFF"/>
          <w:vertAlign w:val="baseline"/>
        </w:rPr>
        <w:t>（二）</w:t>
      </w:r>
      <w:r>
        <w:rPr>
          <w:rStyle w:val="7"/>
          <w:rFonts w:hint="eastAsia" w:ascii="楷体_GB2312" w:hAnsi="Cambria" w:eastAsia="楷体_GB2312" w:cs="楷体_GB2312"/>
          <w:b/>
          <w:bCs/>
          <w:i w:val="0"/>
          <w:iCs w:val="0"/>
          <w:caps w:val="0"/>
          <w:color w:val="333333"/>
          <w:spacing w:val="0"/>
          <w:sz w:val="30"/>
          <w:szCs w:val="30"/>
          <w:bdr w:val="none" w:color="auto" w:sz="0" w:space="0"/>
          <w:shd w:val="clear" w:fill="FFFFFF"/>
          <w:vertAlign w:val="baseline"/>
        </w:rPr>
        <w:t>政府采购情况</w:t>
      </w:r>
      <w:r>
        <w:rPr>
          <w:rStyle w:val="7"/>
          <w:rFonts w:hint="eastAsia" w:ascii="楷体" w:hAnsi="楷体" w:eastAsia="楷体" w:cs="楷体"/>
          <w:b/>
          <w:bCs/>
          <w:i w:val="0"/>
          <w:iCs w:val="0"/>
          <w:caps w:val="0"/>
          <w:color w:val="333333"/>
          <w:spacing w:val="0"/>
          <w:sz w:val="30"/>
          <w:szCs w:val="30"/>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本部门</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年安排政府采购预算</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3129.0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万元，其中：政府采购货物支出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1262.7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万元、政府采购工程支出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万元、政府采购服务支出</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1866.3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万元。主要项目是：</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年自有资金项目</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3102.5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年预算公用经费项目</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26.5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楷体_GB2312" w:hAnsi="Cambria" w:eastAsia="楷体_GB2312" w:cs="楷体_GB2312"/>
          <w:b/>
          <w:bCs/>
          <w:i w:val="0"/>
          <w:iCs w:val="0"/>
          <w:caps w:val="0"/>
          <w:color w:val="333333"/>
          <w:spacing w:val="0"/>
          <w:sz w:val="30"/>
          <w:szCs w:val="30"/>
          <w:bdr w:val="none" w:color="auto" w:sz="0" w:space="0"/>
          <w:shd w:val="clear" w:fill="FFFFFF"/>
          <w:vertAlign w:val="baseline"/>
        </w:rPr>
        <w:t>（</w:t>
      </w:r>
      <w:r>
        <w:rPr>
          <w:rStyle w:val="7"/>
          <w:rFonts w:hint="eastAsia" w:ascii="楷体_GB2312" w:hAnsi="微软雅黑" w:eastAsia="楷体_GB2312" w:cs="楷体_GB2312"/>
          <w:b/>
          <w:bCs/>
          <w:i w:val="0"/>
          <w:iCs w:val="0"/>
          <w:caps w:val="0"/>
          <w:color w:val="333333"/>
          <w:spacing w:val="0"/>
          <w:sz w:val="30"/>
          <w:szCs w:val="30"/>
          <w:bdr w:val="none" w:color="auto" w:sz="0" w:space="0"/>
          <w:shd w:val="clear" w:fill="FFFFFF"/>
          <w:vertAlign w:val="baseline"/>
        </w:rPr>
        <w:t>三</w:t>
      </w:r>
      <w:r>
        <w:rPr>
          <w:rStyle w:val="7"/>
          <w:rFonts w:hint="eastAsia" w:ascii="楷体_GB2312" w:hAnsi="Cambria" w:eastAsia="楷体_GB2312" w:cs="楷体_GB2312"/>
          <w:b/>
          <w:bCs/>
          <w:i w:val="0"/>
          <w:iCs w:val="0"/>
          <w:caps w:val="0"/>
          <w:color w:val="333333"/>
          <w:spacing w:val="0"/>
          <w:sz w:val="30"/>
          <w:szCs w:val="30"/>
          <w:bdr w:val="none" w:color="auto" w:sz="0" w:space="0"/>
          <w:shd w:val="clear" w:fill="FFFFFF"/>
          <w:vertAlign w:val="baseline"/>
        </w:rPr>
        <w:t>）</w:t>
      </w:r>
      <w:r>
        <w:rPr>
          <w:rStyle w:val="7"/>
          <w:rFonts w:hint="eastAsia" w:ascii="楷体_GB2312" w:hAnsi="微软雅黑" w:eastAsia="楷体_GB2312" w:cs="楷体_GB2312"/>
          <w:b/>
          <w:bCs/>
          <w:i w:val="0"/>
          <w:iCs w:val="0"/>
          <w:caps w:val="0"/>
          <w:color w:val="333333"/>
          <w:spacing w:val="0"/>
          <w:sz w:val="30"/>
          <w:szCs w:val="30"/>
          <w:bdr w:val="none" w:color="auto" w:sz="0" w:space="0"/>
          <w:shd w:val="clear" w:fill="FFFFFF"/>
          <w:vertAlign w:val="baseline"/>
        </w:rPr>
        <w:t>国有资产占用情况。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截至</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月底，本部门各单位共有车辆</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27</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辆，其中：副部（省）级及以上领导用车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辆、主要领导干部用车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辆、机要通信用车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辆、应急保障用车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辆、执法执勤用车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辆、特种专业技术用车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辆、离退休干部用车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辆、其他用车</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23</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辆，其他用车主要包括医疗垃圾清运车等业务用车。单价</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万元以上的通用设备</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台（套），单价</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100</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万元以上的专用设备</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49</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台（套）。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Style w:val="7"/>
          <w:rFonts w:hint="eastAsia" w:ascii="楷体_GB2312" w:hAnsi="Cambria" w:eastAsia="楷体_GB2312" w:cs="楷体_GB2312"/>
          <w:b/>
          <w:bCs/>
          <w:i w:val="0"/>
          <w:iCs w:val="0"/>
          <w:caps w:val="0"/>
          <w:color w:val="333333"/>
          <w:spacing w:val="0"/>
          <w:sz w:val="30"/>
          <w:szCs w:val="30"/>
          <w:bdr w:val="none" w:color="auto" w:sz="0" w:space="0"/>
          <w:shd w:val="clear" w:fill="FFFFFF"/>
          <w:vertAlign w:val="baseline"/>
        </w:rPr>
        <w:t>（</w:t>
      </w:r>
      <w:r>
        <w:rPr>
          <w:rStyle w:val="7"/>
          <w:rFonts w:hint="eastAsia" w:ascii="楷体_GB2312" w:hAnsi="微软雅黑" w:eastAsia="楷体_GB2312" w:cs="楷体_GB2312"/>
          <w:b/>
          <w:bCs/>
          <w:i w:val="0"/>
          <w:iCs w:val="0"/>
          <w:caps w:val="0"/>
          <w:color w:val="333333"/>
          <w:spacing w:val="0"/>
          <w:sz w:val="30"/>
          <w:szCs w:val="30"/>
          <w:bdr w:val="none" w:color="auto" w:sz="0" w:space="0"/>
          <w:shd w:val="clear" w:fill="FFFFFF"/>
          <w:vertAlign w:val="baseline"/>
        </w:rPr>
        <w:t>四</w:t>
      </w:r>
      <w:r>
        <w:rPr>
          <w:rStyle w:val="7"/>
          <w:rFonts w:hint="eastAsia" w:ascii="楷体_GB2312" w:hAnsi="Cambria" w:eastAsia="楷体_GB2312" w:cs="楷体_GB2312"/>
          <w:b/>
          <w:bCs/>
          <w:i w:val="0"/>
          <w:iCs w:val="0"/>
          <w:caps w:val="0"/>
          <w:color w:val="333333"/>
          <w:spacing w:val="0"/>
          <w:sz w:val="30"/>
          <w:szCs w:val="30"/>
          <w:bdr w:val="none" w:color="auto" w:sz="0" w:space="0"/>
          <w:shd w:val="clear" w:fill="FFFFFF"/>
          <w:vertAlign w:val="baseline"/>
        </w:rPr>
        <w:t>）</w:t>
      </w:r>
      <w:r>
        <w:rPr>
          <w:rStyle w:val="7"/>
          <w:rFonts w:hint="eastAsia" w:ascii="楷体_GB2312" w:hAnsi="微软雅黑" w:eastAsia="楷体_GB2312" w:cs="楷体_GB2312"/>
          <w:b/>
          <w:bCs/>
          <w:i w:val="0"/>
          <w:iCs w:val="0"/>
          <w:caps w:val="0"/>
          <w:color w:val="333333"/>
          <w:spacing w:val="0"/>
          <w:sz w:val="30"/>
          <w:szCs w:val="30"/>
          <w:bdr w:val="none" w:color="auto" w:sz="0" w:space="0"/>
          <w:shd w:val="clear" w:fill="FFFFFF"/>
          <w:vertAlign w:val="baseline"/>
        </w:rPr>
        <w:t>预算绩效情况说明。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本部门</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2024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年实行绩效目标管理的项目</w:t>
      </w: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54</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个，涉及预算金额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169479.35</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333333"/>
          <w:spacing w:val="0"/>
        </w:rPr>
      </w:pPr>
      <w:bookmarkStart w:id="13" w:name="_Toc78784585"/>
      <w:bookmarkEnd w:id="13"/>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第三部分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600"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1. </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部门预算。是指主管预算部门依据相关法律、法规和政策规定及其行使职能需要，组织所属预算单位编制并逐级上报、审核、汇总，经财政部门审核后按程序依法批准的部门综合收支计划。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0"/>
          <w:szCs w:val="30"/>
          <w:bdr w:val="none" w:color="auto" w:sz="0" w:space="0"/>
          <w:shd w:val="clear" w:fill="FFFFFF"/>
          <w:vertAlign w:val="baseline"/>
        </w:rPr>
        <w:t>2. </w:t>
      </w:r>
      <w:r>
        <w:rPr>
          <w:rFonts w:hint="eastAsia" w:ascii="仿宋_GB2312" w:hAnsi="Cambria" w:eastAsia="仿宋_GB2312" w:cs="仿宋_GB2312"/>
          <w:i w:val="0"/>
          <w:iCs w:val="0"/>
          <w:caps w:val="0"/>
          <w:color w:val="333333"/>
          <w:spacing w:val="0"/>
          <w:sz w:val="30"/>
          <w:szCs w:val="30"/>
          <w:bdr w:val="none" w:color="auto" w:sz="0" w:space="0"/>
          <w:shd w:val="clear" w:fill="FFFFFF"/>
          <w:vertAlign w:val="baseline"/>
        </w:rPr>
        <w:t>机关运行经费</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w:t>
      </w:r>
      <w:r>
        <w:rPr>
          <w:rFonts w:hint="eastAsia" w:ascii="仿宋_GB2312" w:hAnsi="Cambria" w:eastAsia="仿宋_GB2312" w:cs="仿宋_GB2312"/>
          <w:i w:val="0"/>
          <w:iCs w:val="0"/>
          <w:caps w:val="0"/>
          <w:color w:val="333333"/>
          <w:spacing w:val="0"/>
          <w:sz w:val="30"/>
          <w:szCs w:val="30"/>
          <w:bdr w:val="none" w:color="auto" w:sz="0" w:space="0"/>
          <w:shd w:val="clear" w:fill="FFFFFF"/>
          <w:vertAlign w:val="baseline"/>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textAlignment w:val="baseline"/>
        <w:rPr>
          <w:rFonts w:hint="eastAsia" w:ascii="微软雅黑" w:hAnsi="微软雅黑" w:eastAsia="微软雅黑" w:cs="微软雅黑"/>
          <w:i w:val="0"/>
          <w:iCs w:val="0"/>
          <w:caps w:val="0"/>
          <w:color w:val="333333"/>
          <w:spacing w:val="0"/>
          <w:sz w:val="21"/>
          <w:szCs w:val="21"/>
        </w:rPr>
      </w:pPr>
      <w:r>
        <w:rPr>
          <w:rFonts w:hint="default" w:ascii="Cambria" w:hAnsi="Cambria" w:eastAsia="Cambria" w:cs="Cambria"/>
          <w:i w:val="0"/>
          <w:iCs w:val="0"/>
          <w:caps w:val="0"/>
          <w:color w:val="333333"/>
          <w:spacing w:val="0"/>
          <w:sz w:val="30"/>
          <w:szCs w:val="30"/>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333333"/>
          <w:spacing w:val="0"/>
        </w:rPr>
      </w:pPr>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第四部分  </w:t>
      </w:r>
      <w:r>
        <w:rPr>
          <w:rFonts w:hint="default" w:ascii="Times New Roman" w:hAnsi="Times New Roman" w:eastAsia="微软雅黑" w:cs="Times New Roman"/>
          <w:i w:val="0"/>
          <w:iCs w:val="0"/>
          <w:caps w:val="0"/>
          <w:color w:val="333333"/>
          <w:spacing w:val="0"/>
          <w:sz w:val="48"/>
          <w:szCs w:val="48"/>
          <w:bdr w:val="none" w:color="auto" w:sz="0" w:space="0"/>
          <w:shd w:val="clear" w:fill="FFFFFF"/>
          <w:vertAlign w:val="baseline"/>
        </w:rPr>
        <w:t>2024</w:t>
      </w:r>
      <w:r>
        <w:rPr>
          <w:rFonts w:hint="eastAsia" w:ascii="方正小标宋简体" w:hAnsi="方正小标宋简体" w:eastAsia="方正小标宋简体" w:cs="方正小标宋简体"/>
          <w:i w:val="0"/>
          <w:iCs w:val="0"/>
          <w:caps w:val="0"/>
          <w:color w:val="333333"/>
          <w:spacing w:val="0"/>
          <w:sz w:val="48"/>
          <w:szCs w:val="48"/>
          <w:bdr w:val="none" w:color="auto" w:sz="0" w:space="0"/>
          <w:shd w:val="clear" w:fill="FFFFFF"/>
          <w:vertAlign w:val="baseline"/>
        </w:rPr>
        <w:t>年部门预算表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一、《部门收支总体情况表》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二、《部门收入总体情况表》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三、《部门支出总体情况表》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四、《财政拨款收支总体情况表》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五、《一般公共预算支出情况表》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六、《一般公共预算基本支出情况表》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七、《一般公共预算“三公”经费支出情况表》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八、《政府性基金预算支出情况表》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九、《国有资本经营预算支出情况表》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十、《项目支出表》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55" w:lineRule="atLeast"/>
        <w:ind w:left="480" w:right="0" w:firstLine="0"/>
        <w:textAlignment w:val="baseline"/>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十一、关于空表的说明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bdr w:val="none" w:color="auto" w:sz="0" w:space="0"/>
          <w:shd w:val="clear" w:fill="FFFFFF"/>
          <w:vertAlign w:val="baseline"/>
        </w:rPr>
        <w:t>1.</w:t>
      </w: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本部门</w:t>
      </w:r>
      <w:r>
        <w:rPr>
          <w:rFonts w:hint="default" w:ascii="Times New Roman" w:hAnsi="Times New Roman" w:eastAsia="楷体_GB2312" w:cs="Times New Roman"/>
          <w:i w:val="0"/>
          <w:iCs w:val="0"/>
          <w:caps w:val="0"/>
          <w:color w:val="333333"/>
          <w:spacing w:val="0"/>
          <w:sz w:val="30"/>
          <w:szCs w:val="30"/>
          <w:bdr w:val="none" w:color="auto" w:sz="0" w:space="0"/>
          <w:shd w:val="clear" w:fill="FFFFFF"/>
          <w:vertAlign w:val="baseline"/>
        </w:rPr>
        <w:t>2024</w:t>
      </w: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年政府性基金预算支出情况表为空表。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585" w:lineRule="atLeast"/>
        <w:ind w:left="0" w:right="0" w:firstLine="600"/>
        <w:jc w:val="both"/>
        <w:textAlignment w:val="baseline"/>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楷体_GB2312" w:cs="Times New Roman"/>
          <w:i w:val="0"/>
          <w:iCs w:val="0"/>
          <w:caps w:val="0"/>
          <w:color w:val="333333"/>
          <w:spacing w:val="0"/>
          <w:sz w:val="30"/>
          <w:szCs w:val="30"/>
          <w:bdr w:val="none" w:color="auto" w:sz="0" w:space="0"/>
          <w:shd w:val="clear" w:fill="FFFFFF"/>
          <w:vertAlign w:val="baseline"/>
        </w:rPr>
        <w:t>2.</w:t>
      </w: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本部门</w:t>
      </w:r>
      <w:r>
        <w:rPr>
          <w:rFonts w:hint="default" w:ascii="Times New Roman" w:hAnsi="Times New Roman" w:eastAsia="楷体_GB2312" w:cs="Times New Roman"/>
          <w:i w:val="0"/>
          <w:iCs w:val="0"/>
          <w:caps w:val="0"/>
          <w:color w:val="333333"/>
          <w:spacing w:val="0"/>
          <w:sz w:val="30"/>
          <w:szCs w:val="30"/>
          <w:bdr w:val="none" w:color="auto" w:sz="0" w:space="0"/>
          <w:shd w:val="clear" w:fill="FFFFFF"/>
          <w:vertAlign w:val="baseline"/>
        </w:rPr>
        <w:t>2024</w:t>
      </w:r>
      <w:r>
        <w:rPr>
          <w:rFonts w:hint="eastAsia" w:ascii="楷体_GB2312" w:hAnsi="微软雅黑" w:eastAsia="楷体_GB2312" w:cs="楷体_GB2312"/>
          <w:i w:val="0"/>
          <w:iCs w:val="0"/>
          <w:caps w:val="0"/>
          <w:color w:val="333333"/>
          <w:spacing w:val="0"/>
          <w:sz w:val="30"/>
          <w:szCs w:val="30"/>
          <w:bdr w:val="none" w:color="auto" w:sz="0" w:space="0"/>
          <w:shd w:val="clear" w:fill="FFFFFF"/>
          <w:vertAlign w:val="baseline"/>
        </w:rPr>
        <w:t>年国有资本经营预算支出情况表为空表。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ZmNkOWQyZWU1OGZmMjdmNDYxYjVlMzIzYmE5ZTIifQ=="/>
  </w:docVars>
  <w:rsids>
    <w:rsidRoot w:val="00000000"/>
    <w:rsid w:val="114451C4"/>
    <w:rsid w:val="7472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2024-02-19T01:05:38Z</dcterms:created>
  <dc:creator>LJY</dc:creator>
  <cp:lastModifiedBy>下里巴人</cp:lastModifiedBy>
  <dcterms:modified xsi:type="dcterms:W3CDTF">2024-02-19T01:06:30Z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C944BBE2E9024A7590A7624D186E6995_12</vt:lpwstr>
  </property>
</Properties>
</file>