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400"/>
        </w:tabs>
        <w:kinsoku/>
        <w:wordWrap/>
        <w:overflowPunct/>
        <w:topLinePunct w:val="0"/>
        <w:autoSpaceDE/>
        <w:autoSpaceDN/>
        <w:bidi w:val="0"/>
        <w:adjustRightInd/>
        <w:snapToGrid/>
        <w:spacing w:line="588" w:lineRule="exact"/>
        <w:jc w:val="left"/>
        <w:textAlignment w:val="auto"/>
        <w:rPr>
          <w:rFonts w:hint="default" w:ascii="Times New Roman" w:hAnsi="Times New Roman" w:eastAsia="方正大标宋简体" w:cs="Times New Roman"/>
          <w:b/>
          <w:bCs/>
          <w:color w:val="FF0000"/>
          <w:spacing w:val="-11"/>
          <w:w w:val="50"/>
          <w:sz w:val="96"/>
          <w:szCs w:val="72"/>
          <w:lang w:val="en" w:eastAsia="zh-CN"/>
        </w:rPr>
      </w:pPr>
    </w:p>
    <w:p>
      <w:pPr>
        <w:pStyle w:val="8"/>
        <w:keepNext w:val="0"/>
        <w:keepLines w:val="0"/>
        <w:pageBreakBefore w:val="0"/>
        <w:widowControl w:val="0"/>
        <w:tabs>
          <w:tab w:val="left" w:pos="5400"/>
        </w:tabs>
        <w:kinsoku/>
        <w:wordWrap/>
        <w:overflowPunct/>
        <w:topLinePunct w:val="0"/>
        <w:autoSpaceDE/>
        <w:autoSpaceDN/>
        <w:bidi w:val="0"/>
        <w:adjustRightInd/>
        <w:snapToGrid/>
        <w:spacing w:line="588" w:lineRule="exact"/>
        <w:jc w:val="left"/>
        <w:textAlignment w:val="auto"/>
        <w:rPr>
          <w:rFonts w:hint="default" w:ascii="Times New Roman" w:hAnsi="Times New Roman" w:eastAsia="方正大标宋简体" w:cs="Times New Roman"/>
          <w:b/>
          <w:bCs/>
          <w:color w:val="FF0000"/>
          <w:spacing w:val="-11"/>
          <w:w w:val="50"/>
          <w:sz w:val="96"/>
          <w:szCs w:val="72"/>
          <w:lang w:val="en" w:eastAsia="zh-CN"/>
        </w:rPr>
      </w:pPr>
    </w:p>
    <w:p>
      <w:pPr>
        <w:pStyle w:val="8"/>
        <w:keepNext w:val="0"/>
        <w:keepLines w:val="0"/>
        <w:pageBreakBefore w:val="0"/>
        <w:widowControl w:val="0"/>
        <w:tabs>
          <w:tab w:val="left" w:pos="5400"/>
        </w:tabs>
        <w:kinsoku/>
        <w:wordWrap/>
        <w:overflowPunct/>
        <w:topLinePunct w:val="0"/>
        <w:autoSpaceDE/>
        <w:autoSpaceDN/>
        <w:bidi w:val="0"/>
        <w:adjustRightInd/>
        <w:snapToGrid/>
        <w:spacing w:line="588" w:lineRule="exact"/>
        <w:jc w:val="left"/>
        <w:textAlignment w:val="auto"/>
        <w:rPr>
          <w:rFonts w:hint="default" w:ascii="Times New Roman" w:hAnsi="Times New Roman" w:eastAsia="方正大标宋简体" w:cs="Times New Roman"/>
          <w:b/>
          <w:bCs/>
          <w:color w:val="FF0000"/>
          <w:spacing w:val="-11"/>
          <w:w w:val="50"/>
          <w:sz w:val="96"/>
          <w:szCs w:val="72"/>
          <w:lang w:val="en" w:eastAsia="zh-CN"/>
        </w:rPr>
      </w:pPr>
    </w:p>
    <w:p>
      <w:pPr>
        <w:pStyle w:val="8"/>
        <w:keepNext w:val="0"/>
        <w:keepLines w:val="0"/>
        <w:pageBreakBefore w:val="0"/>
        <w:widowControl w:val="0"/>
        <w:tabs>
          <w:tab w:val="left" w:pos="5400"/>
        </w:tabs>
        <w:kinsoku/>
        <w:wordWrap/>
        <w:overflowPunct/>
        <w:topLinePunct w:val="0"/>
        <w:autoSpaceDE/>
        <w:autoSpaceDN/>
        <w:bidi w:val="0"/>
        <w:adjustRightInd/>
        <w:snapToGrid/>
        <w:spacing w:line="1000" w:lineRule="exact"/>
        <w:jc w:val="left"/>
        <w:textAlignment w:val="auto"/>
        <w:rPr>
          <w:rFonts w:hint="default" w:ascii="Times New Roman" w:hAnsi="Times New Roman" w:eastAsia="方正大标宋简体" w:cs="Times New Roman"/>
          <w:b/>
          <w:bCs/>
          <w:color w:val="FF0000"/>
          <w:spacing w:val="-11"/>
          <w:w w:val="50"/>
          <w:sz w:val="96"/>
          <w:szCs w:val="72"/>
          <w:lang w:val="en" w:eastAsia="zh-CN"/>
        </w:rPr>
      </w:pPr>
      <w:r>
        <w:rPr>
          <w:rFonts w:hint="default" w:ascii="Times New Roman" w:hAnsi="Times New Roman" w:eastAsia="方正大标宋简体" w:cs="Times New Roman"/>
          <w:b/>
          <w:bCs/>
          <w:color w:val="FF0000"/>
          <w:spacing w:val="-11"/>
          <w:w w:val="50"/>
          <w:sz w:val="96"/>
          <w:szCs w:val="72"/>
          <w:lang w:val="en" w:eastAsia="zh-CN"/>
        </w:rPr>
        <w:t>中共</w:t>
      </w:r>
      <w:r>
        <w:rPr>
          <w:rFonts w:hint="eastAsia" w:ascii="Times New Roman" w:hAnsi="Times New Roman" w:eastAsia="方正大标宋简体" w:cs="Times New Roman"/>
          <w:b/>
          <w:bCs/>
          <w:color w:val="FF0000"/>
          <w:spacing w:val="-11"/>
          <w:w w:val="50"/>
          <w:sz w:val="96"/>
          <w:szCs w:val="72"/>
          <w:lang w:val="en-US" w:eastAsia="zh-CN"/>
        </w:rPr>
        <w:t>天津市</w:t>
      </w:r>
      <w:r>
        <w:rPr>
          <w:rFonts w:hint="default" w:ascii="Times New Roman" w:hAnsi="Times New Roman" w:eastAsia="方正大标宋简体" w:cs="Times New Roman"/>
          <w:b/>
          <w:bCs/>
          <w:color w:val="FF0000"/>
          <w:spacing w:val="-11"/>
          <w:w w:val="50"/>
          <w:sz w:val="96"/>
          <w:szCs w:val="72"/>
          <w:lang w:val="en" w:eastAsia="zh-CN"/>
        </w:rPr>
        <w:t>南开区委审计委员会办公室</w:t>
      </w:r>
    </w:p>
    <w:p>
      <w:pPr>
        <w:pStyle w:val="8"/>
        <w:keepNext w:val="0"/>
        <w:keepLines w:val="0"/>
        <w:pageBreakBefore w:val="0"/>
        <w:widowControl w:val="0"/>
        <w:tabs>
          <w:tab w:val="left" w:pos="5400"/>
        </w:tabs>
        <w:kinsoku/>
        <w:wordWrap/>
        <w:overflowPunct/>
        <w:topLinePunct w:val="0"/>
        <w:autoSpaceDE/>
        <w:autoSpaceDN/>
        <w:bidi w:val="0"/>
        <w:adjustRightInd/>
        <w:snapToGrid/>
        <w:spacing w:line="1000" w:lineRule="exact"/>
        <w:jc w:val="right"/>
        <w:textAlignment w:val="auto"/>
        <w:rPr>
          <w:rFonts w:hint="default" w:ascii="Times New Roman" w:hAnsi="Times New Roman" w:eastAsia="方正大标宋简体" w:cs="Times New Roman"/>
          <w:b/>
          <w:bCs/>
          <w:color w:val="FF0000"/>
          <w:spacing w:val="-11"/>
          <w:w w:val="50"/>
          <w:sz w:val="96"/>
          <w:szCs w:val="72"/>
          <w:lang w:val="en" w:eastAsia="zh-CN"/>
        </w:rPr>
      </w:pPr>
      <w:r>
        <w:rPr>
          <w:rFonts w:hint="default" w:ascii="Times New Roman" w:hAnsi="Times New Roman" w:eastAsia="方正大标宋简体" w:cs="Times New Roman"/>
          <w:b/>
          <w:bCs/>
          <w:color w:val="FF0000"/>
          <w:spacing w:val="-11"/>
          <w:w w:val="50"/>
          <w:sz w:val="96"/>
          <w:szCs w:val="72"/>
          <w:lang w:val="en" w:eastAsia="zh-CN"/>
        </w:rPr>
        <w:t>文件</w:t>
      </w:r>
    </w:p>
    <w:p>
      <w:pPr>
        <w:pStyle w:val="8"/>
        <w:keepNext w:val="0"/>
        <w:keepLines w:val="0"/>
        <w:pageBreakBefore w:val="0"/>
        <w:widowControl w:val="0"/>
        <w:tabs>
          <w:tab w:val="left" w:pos="5400"/>
        </w:tabs>
        <w:kinsoku/>
        <w:wordWrap/>
        <w:overflowPunct/>
        <w:topLinePunct w:val="0"/>
        <w:autoSpaceDE/>
        <w:autoSpaceDN/>
        <w:bidi w:val="0"/>
        <w:adjustRightInd/>
        <w:snapToGrid/>
        <w:spacing w:line="1000" w:lineRule="exact"/>
        <w:jc w:val="left"/>
        <w:textAlignment w:val="auto"/>
        <w:rPr>
          <w:rFonts w:hint="default" w:ascii="Times New Roman" w:hAnsi="Times New Roman" w:eastAsia="方正大标宋简体" w:cs="Times New Roman"/>
          <w:b/>
          <w:bCs/>
          <w:color w:val="FF0000"/>
          <w:spacing w:val="198"/>
          <w:w w:val="50"/>
          <w:sz w:val="96"/>
          <w:szCs w:val="72"/>
          <w:lang w:val="en" w:eastAsia="zh-CN"/>
        </w:rPr>
      </w:pPr>
      <w:r>
        <w:rPr>
          <w:rFonts w:hint="eastAsia" w:ascii="Times New Roman" w:hAnsi="Times New Roman" w:eastAsia="方正大标宋简体" w:cs="Times New Roman"/>
          <w:b/>
          <w:bCs/>
          <w:color w:val="FF0000"/>
          <w:spacing w:val="198"/>
          <w:w w:val="50"/>
          <w:sz w:val="96"/>
          <w:szCs w:val="72"/>
          <w:lang w:val="en" w:eastAsia="zh-CN"/>
        </w:rPr>
        <w:t>天津市南开区审计局</w:t>
      </w:r>
    </w:p>
    <w:p>
      <w:pPr>
        <w:pStyle w:val="8"/>
        <w:keepNext w:val="0"/>
        <w:keepLines w:val="0"/>
        <w:pageBreakBefore w:val="0"/>
        <w:widowControl w:val="0"/>
        <w:tabs>
          <w:tab w:val="left" w:pos="3960"/>
          <w:tab w:val="left" w:pos="5400"/>
        </w:tabs>
        <w:kinsoku/>
        <w:wordWrap/>
        <w:overflowPunct/>
        <w:topLinePunct w:val="0"/>
        <w:autoSpaceDE/>
        <w:autoSpaceDN/>
        <w:bidi w:val="0"/>
        <w:adjustRightInd w:val="0"/>
        <w:snapToGrid/>
        <w:spacing w:line="578" w:lineRule="exact"/>
        <w:ind w:firstLine="332" w:firstLineChars="100"/>
        <w:jc w:val="center"/>
        <w:textAlignment w:val="auto"/>
        <w:rPr>
          <w:rFonts w:hint="default" w:ascii="Times New Roman" w:hAnsi="Times New Roman" w:eastAsia="仿宋_GB2312" w:cs="Times New Roman"/>
          <w:bCs/>
          <w:color w:val="000000"/>
          <w:sz w:val="34"/>
          <w:szCs w:val="34"/>
          <w:lang w:val="en-US" w:eastAsia="zh-CN"/>
        </w:rPr>
      </w:pPr>
    </w:p>
    <w:p>
      <w:pPr>
        <w:pStyle w:val="8"/>
        <w:keepNext w:val="0"/>
        <w:keepLines w:val="0"/>
        <w:pageBreakBefore w:val="0"/>
        <w:widowControl w:val="0"/>
        <w:tabs>
          <w:tab w:val="left" w:pos="3960"/>
          <w:tab w:val="left" w:pos="5400"/>
        </w:tabs>
        <w:kinsoku/>
        <w:wordWrap/>
        <w:overflowPunct/>
        <w:topLinePunct w:val="0"/>
        <w:autoSpaceDE/>
        <w:autoSpaceDN/>
        <w:bidi w:val="0"/>
        <w:adjustRightInd w:val="0"/>
        <w:snapToGrid/>
        <w:spacing w:line="578" w:lineRule="exact"/>
        <w:ind w:firstLine="332" w:firstLineChars="100"/>
        <w:jc w:val="center"/>
        <w:textAlignment w:val="auto"/>
        <w:rPr>
          <w:rFonts w:hint="eastAsia" w:ascii="Times New Roman" w:hAnsi="Times New Roman" w:eastAsia="仿宋_GB2312" w:cs="Times New Roman"/>
          <w:bCs/>
          <w:color w:val="000000"/>
          <w:szCs w:val="34"/>
          <w:lang w:val="en-US" w:eastAsia="zh-CN"/>
        </w:rPr>
      </w:pPr>
      <w:r>
        <w:rPr>
          <w:rFonts w:hint="default" w:ascii="Times New Roman" w:hAnsi="Times New Roman" w:eastAsia="仿宋_GB2312" w:cs="Times New Roman"/>
          <w:bCs/>
          <w:color w:val="000000"/>
          <w:sz w:val="34"/>
          <w:szCs w:val="34"/>
          <w:lang w:val="en-US" w:eastAsia="zh-CN"/>
        </w:rPr>
        <w:t>南</w:t>
      </w:r>
      <w:r>
        <w:rPr>
          <w:rFonts w:hint="eastAsia" w:ascii="Times New Roman" w:hAnsi="Times New Roman" w:eastAsia="仿宋_GB2312" w:cs="Times New Roman"/>
          <w:bCs/>
          <w:color w:val="000000"/>
          <w:sz w:val="34"/>
          <w:szCs w:val="34"/>
          <w:lang w:val="en-US" w:eastAsia="zh-CN"/>
        </w:rPr>
        <w:t>党</w:t>
      </w:r>
      <w:r>
        <w:rPr>
          <w:rFonts w:hint="default" w:ascii="Times New Roman" w:hAnsi="Times New Roman" w:eastAsia="仿宋_GB2312" w:cs="Times New Roman"/>
          <w:bCs/>
          <w:color w:val="000000"/>
          <w:sz w:val="34"/>
          <w:szCs w:val="34"/>
          <w:lang w:val="en-US" w:eastAsia="zh-CN"/>
        </w:rPr>
        <w:t>审</w:t>
      </w:r>
      <w:r>
        <w:rPr>
          <w:rFonts w:hint="eastAsia" w:ascii="Times New Roman" w:hAnsi="Times New Roman" w:eastAsia="仿宋_GB2312" w:cs="Times New Roman"/>
          <w:bCs/>
          <w:color w:val="000000"/>
          <w:sz w:val="34"/>
          <w:szCs w:val="34"/>
          <w:lang w:val="en-US" w:eastAsia="zh-CN"/>
        </w:rPr>
        <w:t>委办</w:t>
      </w:r>
      <w:r>
        <w:rPr>
          <w:rFonts w:hint="default" w:ascii="Times New Roman" w:hAnsi="Times New Roman" w:cs="Times New Roman"/>
          <w:color w:val="000000"/>
          <w:sz w:val="34"/>
          <w:szCs w:val="34"/>
        </w:rPr>
        <w:t>〔</w:t>
      </w:r>
      <w:r>
        <w:rPr>
          <w:rFonts w:hint="default" w:ascii="Times New Roman" w:hAnsi="Times New Roman" w:cs="Times New Roman"/>
          <w:bCs/>
          <w:color w:val="000000"/>
          <w:sz w:val="34"/>
          <w:szCs w:val="34"/>
        </w:rPr>
        <w:t>20</w:t>
      </w:r>
      <w:r>
        <w:rPr>
          <w:rFonts w:hint="default" w:ascii="Times New Roman" w:hAnsi="Times New Roman" w:cs="Times New Roman"/>
          <w:bCs/>
          <w:color w:val="000000"/>
          <w:sz w:val="34"/>
          <w:szCs w:val="34"/>
          <w:lang w:val="en-US" w:eastAsia="zh-CN"/>
        </w:rPr>
        <w:t>2</w:t>
      </w:r>
      <w:r>
        <w:rPr>
          <w:rFonts w:hint="eastAsia" w:ascii="Times New Roman" w:hAnsi="Times New Roman" w:cs="Times New Roman"/>
          <w:bCs/>
          <w:color w:val="000000"/>
          <w:sz w:val="34"/>
          <w:szCs w:val="34"/>
          <w:lang w:val="en-US" w:eastAsia="zh-CN"/>
        </w:rPr>
        <w:t>4</w:t>
      </w:r>
      <w:r>
        <w:rPr>
          <w:rFonts w:hint="default" w:ascii="Times New Roman" w:hAnsi="Times New Roman" w:cs="Times New Roman"/>
          <w:color w:val="000000"/>
          <w:sz w:val="34"/>
          <w:szCs w:val="34"/>
        </w:rPr>
        <w:t>〕</w:t>
      </w:r>
      <w:r>
        <w:rPr>
          <w:rFonts w:hint="eastAsia" w:ascii="Times New Roman" w:hAnsi="Times New Roman" w:cs="Times New Roman"/>
          <w:color w:val="000000"/>
          <w:sz w:val="34"/>
          <w:szCs w:val="34"/>
          <w:lang w:val="en-US" w:eastAsia="zh-CN"/>
        </w:rPr>
        <w:t>39</w:t>
      </w:r>
      <w:r>
        <w:rPr>
          <w:rFonts w:hint="default" w:ascii="Times New Roman" w:hAnsi="Times New Roman" w:eastAsia="仿宋_GB2312" w:cs="Times New Roman"/>
          <w:bCs/>
          <w:color w:val="000000"/>
          <w:sz w:val="34"/>
          <w:szCs w:val="34"/>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hint="default" w:ascii="Times New Roman" w:hAnsi="Times New Roman" w:eastAsia="方正小标宋_GBK" w:cs="Times New Roman"/>
          <w:sz w:val="44"/>
          <w:szCs w:val="44"/>
        </w:rPr>
      </w:pPr>
      <w:r>
        <w:rPr>
          <w:rFonts w:hint="default" w:ascii="Times New Roman" w:hAnsi="Times New Roman" w:cs="Times New Roman"/>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42545</wp:posOffset>
                </wp:positionV>
                <wp:extent cx="5629910" cy="12700"/>
                <wp:effectExtent l="0" t="19050" r="8890" b="25400"/>
                <wp:wrapNone/>
                <wp:docPr id="3" name="直接连接符 3"/>
                <wp:cNvGraphicFramePr/>
                <a:graphic xmlns:a="http://schemas.openxmlformats.org/drawingml/2006/main">
                  <a:graphicData uri="http://schemas.microsoft.com/office/word/2010/wordprocessingShape">
                    <wps:wsp>
                      <wps:cNvCnPr/>
                      <wps:spPr>
                        <a:xfrm>
                          <a:off x="0" y="0"/>
                          <a:ext cx="5629910" cy="1270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35pt;height:1pt;width:443.3pt;z-index:251659264;mso-width-relative:page;mso-height-relative:page;" filled="f" stroked="t" coordsize="21600,21600" o:gfxdata="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wWxVrtcAAAAEAQAADwAA&#10;AAAAAAABACAAAAA4AAAAZHJzL2Rvd25yZXYueG1sUEsBAhQAFAAAAAgAh07iQKiWS0MBAgAA9wMA&#10;AA4AAAAAAAAAAQAgAAAAPAEAAGRycy9lMm9Eb2MueG1sUEsFBgAAAAAGAAYAWQEAAK8FAAAAAA==&#10;">
                <v:fill on="f" focussize="0,0"/>
                <v:stroke weight="3pt" color="#FF0000" joinstyle="round"/>
                <v:imagedata o:title=""/>
                <o:lock v:ext="edit" aspectratio="f"/>
              </v:line>
            </w:pict>
          </mc:Fallback>
        </mc:AlternateContent>
      </w:r>
    </w:p>
    <w:p>
      <w:pPr>
        <w:spacing w:line="588" w:lineRule="exact"/>
        <w:jc w:val="center"/>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spacing w:line="588"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天津市南开区</w:t>
      </w:r>
      <w:r>
        <w:rPr>
          <w:rFonts w:hint="eastAsia" w:ascii="Times New Roman" w:hAnsi="Times New Roman" w:eastAsia="仿宋_GB2312" w:cs="Times New Roman"/>
          <w:sz w:val="44"/>
          <w:szCs w:val="44"/>
          <w:highlight w:val="none"/>
        </w:rPr>
        <w:t>202</w:t>
      </w:r>
      <w:r>
        <w:rPr>
          <w:rFonts w:hint="eastAsia" w:ascii="Times New Roman" w:hAnsi="Times New Roman" w:eastAsia="仿宋_GB2312" w:cs="Times New Roman"/>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年度审计项目计划</w:t>
      </w:r>
    </w:p>
    <w:p>
      <w:pPr>
        <w:pStyle w:val="2"/>
        <w:rPr>
          <w:rFonts w:hint="eastAsia"/>
        </w:rPr>
      </w:pP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仿宋_GB2312" w:cs="Times New Roman"/>
          <w:sz w:val="34"/>
          <w:szCs w:val="34"/>
          <w:highlight w:val="none"/>
        </w:rPr>
        <w:t>2025年度</w:t>
      </w:r>
      <w:r>
        <w:rPr>
          <w:rFonts w:hint="eastAsia" w:eastAsia="仿宋_GB2312" w:cs="Times New Roman"/>
          <w:sz w:val="34"/>
          <w:szCs w:val="34"/>
          <w:highlight w:val="none"/>
          <w:lang w:eastAsia="zh-CN"/>
        </w:rPr>
        <w:t>南开区</w:t>
      </w:r>
      <w:r>
        <w:rPr>
          <w:rFonts w:hint="default" w:ascii="Times New Roman" w:hAnsi="Times New Roman" w:eastAsia="仿宋_GB2312" w:cs="Times New Roman"/>
          <w:sz w:val="34"/>
          <w:szCs w:val="34"/>
          <w:highlight w:val="none"/>
        </w:rPr>
        <w:t>审计工作坚持以习近平新时代中国特色社会主义思想为指导，全面贯彻党的二十大和二十届二中、三中全会精神，认真贯彻落实中央</w:t>
      </w:r>
      <w:r>
        <w:rPr>
          <w:rFonts w:hint="eastAsia"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rPr>
        <w:t>市</w:t>
      </w:r>
      <w:r>
        <w:rPr>
          <w:rFonts w:hint="eastAsia" w:eastAsia="仿宋_GB2312" w:cs="Times New Roman"/>
          <w:sz w:val="34"/>
          <w:szCs w:val="34"/>
          <w:highlight w:val="none"/>
          <w:lang w:eastAsia="zh-CN"/>
        </w:rPr>
        <w:t>、区</w:t>
      </w:r>
      <w:r>
        <w:rPr>
          <w:rFonts w:hint="default" w:ascii="Times New Roman" w:hAnsi="Times New Roman" w:eastAsia="仿宋_GB2312" w:cs="Times New Roman"/>
          <w:sz w:val="34"/>
          <w:szCs w:val="34"/>
          <w:highlight w:val="none"/>
        </w:rPr>
        <w:t>经济工作会议精神，以更高的政治站位谋划推进审计工作，准确把握审计工作重点任务，持续加强审计队伍建设，为我</w:t>
      </w:r>
      <w:r>
        <w:rPr>
          <w:rFonts w:hint="eastAsia" w:eastAsia="仿宋_GB2312" w:cs="Times New Roman"/>
          <w:sz w:val="34"/>
          <w:szCs w:val="34"/>
          <w:highlight w:val="none"/>
          <w:lang w:eastAsia="zh-CN"/>
        </w:rPr>
        <w:t>区</w:t>
      </w:r>
      <w:r>
        <w:rPr>
          <w:rFonts w:hint="default" w:ascii="Times New Roman" w:hAnsi="Times New Roman" w:eastAsia="仿宋_GB2312" w:cs="Times New Roman"/>
          <w:sz w:val="34"/>
          <w:szCs w:val="34"/>
          <w:highlight w:val="none"/>
        </w:rPr>
        <w:t>经济高质量发展提供坚强的审计支撑和保障。</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outlineLvl w:val="1"/>
        <w:rPr>
          <w:rFonts w:hint="default" w:ascii="Times New Roman" w:hAnsi="Times New Roman" w:eastAsia="黑体" w:cs="Times New Roman"/>
          <w:sz w:val="34"/>
          <w:szCs w:val="34"/>
          <w:highlight w:val="none"/>
        </w:rPr>
      </w:pPr>
      <w:r>
        <w:rPr>
          <w:rFonts w:hint="default" w:ascii="Times New Roman" w:hAnsi="Times New Roman" w:eastAsia="黑体" w:cs="Times New Roman"/>
          <w:sz w:val="34"/>
          <w:szCs w:val="34"/>
          <w:highlight w:val="none"/>
        </w:rPr>
        <w:t>一、总体思路</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深入贯彻习近平总书记关于审计工作的重要论述</w:t>
      </w:r>
      <w:r>
        <w:rPr>
          <w:rFonts w:hint="eastAsia" w:eastAsia="仿宋_GB2312" w:cs="Times New Roman"/>
          <w:sz w:val="34"/>
          <w:szCs w:val="34"/>
          <w:highlight w:val="none"/>
          <w:lang w:val="en-US" w:eastAsia="zh-CN"/>
        </w:rPr>
        <w:t>和</w:t>
      </w:r>
      <w:r>
        <w:rPr>
          <w:rFonts w:hint="eastAsia" w:ascii="Times New Roman" w:hAnsi="Times New Roman" w:eastAsia="仿宋_GB2312" w:cs="Times New Roman"/>
          <w:sz w:val="34"/>
          <w:szCs w:val="34"/>
          <w:highlight w:val="none"/>
          <w:lang w:val="en-US" w:eastAsia="zh-CN"/>
        </w:rPr>
        <w:t>视察天津重要讲话精神，全面落实</w:t>
      </w:r>
      <w:r>
        <w:rPr>
          <w:rFonts w:hint="eastAsia" w:eastAsia="仿宋_GB2312" w:cs="Times New Roman"/>
          <w:sz w:val="34"/>
          <w:szCs w:val="34"/>
          <w:highlight w:val="none"/>
          <w:lang w:val="en-US" w:eastAsia="zh-CN"/>
        </w:rPr>
        <w:t>中央、市</w:t>
      </w:r>
      <w:bookmarkStart w:id="0" w:name="_GoBack"/>
      <w:bookmarkEnd w:id="0"/>
      <w:r>
        <w:rPr>
          <w:rFonts w:hint="eastAsia" w:eastAsia="仿宋_GB2312" w:cs="Times New Roman"/>
          <w:sz w:val="34"/>
          <w:szCs w:val="34"/>
          <w:highlight w:val="none"/>
          <w:lang w:val="en-US" w:eastAsia="zh-CN"/>
        </w:rPr>
        <w:t>委和区委审计委员会</w:t>
      </w:r>
      <w:r>
        <w:rPr>
          <w:rFonts w:hint="eastAsia" w:ascii="Times New Roman" w:hAnsi="Times New Roman" w:eastAsia="仿宋_GB2312" w:cs="Times New Roman"/>
          <w:sz w:val="34"/>
          <w:szCs w:val="34"/>
          <w:highlight w:val="none"/>
          <w:lang w:val="en-US" w:eastAsia="zh-CN"/>
        </w:rPr>
        <w:t>工作部署，坚持稳中求进工作总基调，以进促稳、先立后破，坚持为大局服务、为人民审计、为经济安全担当，坚持完整、准确、全面把握新形势新任务新要求，立足经济监督定位，聚焦财政财务收支真实合法效益审计主责主业，聚焦践行“四个善作善成”重要要求</w:t>
      </w:r>
      <w:r>
        <w:rPr>
          <w:rFonts w:hint="eastAsia" w:eastAsia="仿宋_GB2312" w:cs="Times New Roman"/>
          <w:sz w:val="34"/>
          <w:szCs w:val="34"/>
          <w:highlight w:val="none"/>
          <w:lang w:val="en-US" w:eastAsia="zh-CN"/>
        </w:rPr>
        <w:t>、服务</w:t>
      </w:r>
      <w:r>
        <w:rPr>
          <w:rFonts w:hint="eastAsia" w:ascii="Times New Roman" w:hAnsi="Times New Roman" w:eastAsia="仿宋_GB2312" w:cs="Times New Roman"/>
          <w:sz w:val="34"/>
          <w:szCs w:val="34"/>
          <w:highlight w:val="none"/>
          <w:lang w:val="en-US" w:eastAsia="zh-CN"/>
        </w:rPr>
        <w:t>高质量发展“十项行动”</w:t>
      </w:r>
      <w:r>
        <w:rPr>
          <w:rFonts w:hint="eastAsia" w:eastAsia="仿宋_GB2312" w:cs="Times New Roman"/>
          <w:sz w:val="34"/>
          <w:szCs w:val="34"/>
          <w:highlight w:val="none"/>
          <w:lang w:val="en-US" w:eastAsia="zh-CN"/>
        </w:rPr>
        <w:t>和深化拓展区委“一三二一”工作思路，紧紧围绕“三新”、“三量”工作主线，</w:t>
      </w:r>
      <w:r>
        <w:rPr>
          <w:rFonts w:hint="eastAsia" w:ascii="Times New Roman" w:hAnsi="Times New Roman" w:eastAsia="仿宋_GB2312" w:cs="Times New Roman"/>
          <w:sz w:val="34"/>
          <w:szCs w:val="34"/>
          <w:highlight w:val="none"/>
          <w:lang w:val="en-US" w:eastAsia="zh-CN"/>
        </w:rPr>
        <w:t>聚焦人民群众关心关注的热点、难点，深入开展研究型审计，以改革创新精神推进经济安全审计监督网格化治理工作，</w:t>
      </w:r>
      <w:r>
        <w:rPr>
          <w:rFonts w:hint="eastAsia" w:eastAsia="仿宋_GB2312" w:cs="Times New Roman"/>
          <w:sz w:val="34"/>
          <w:szCs w:val="34"/>
          <w:highlight w:val="none"/>
          <w:lang w:val="en-US" w:eastAsia="zh-CN"/>
        </w:rPr>
        <w:t>既强化对城市更新、资产盘活、区属</w:t>
      </w:r>
      <w:r>
        <w:rPr>
          <w:rFonts w:hint="eastAsia" w:ascii="Times New Roman" w:hAnsi="Times New Roman" w:eastAsia="仿宋_GB2312" w:cs="Times New Roman"/>
          <w:kern w:val="2"/>
          <w:sz w:val="34"/>
          <w:szCs w:val="34"/>
          <w:lang w:val="en-US" w:eastAsia="zh-CN" w:bidi="ar-SA"/>
        </w:rPr>
        <w:t>国有企业改革政策落实情况</w:t>
      </w:r>
      <w:r>
        <w:rPr>
          <w:rFonts w:hint="eastAsia" w:eastAsia="仿宋_GB2312" w:cs="Times New Roman"/>
          <w:kern w:val="2"/>
          <w:sz w:val="34"/>
          <w:szCs w:val="34"/>
          <w:lang w:val="en-US" w:eastAsia="zh-CN" w:bidi="ar-SA"/>
        </w:rPr>
        <w:t>、</w:t>
      </w:r>
      <w:r>
        <w:rPr>
          <w:rFonts w:hint="eastAsia" w:eastAsia="仿宋_GB2312" w:cs="Times New Roman"/>
          <w:sz w:val="34"/>
          <w:szCs w:val="34"/>
          <w:highlight w:val="none"/>
          <w:lang w:val="en-US" w:eastAsia="zh-CN"/>
        </w:rPr>
        <w:t>“两重”“两新”项目等重点“主干道”的审计监督，也进一步强化对科所站队等“毛细血管”的审计监督，</w:t>
      </w:r>
      <w:r>
        <w:rPr>
          <w:rFonts w:hint="eastAsia" w:ascii="Times New Roman" w:hAnsi="Times New Roman" w:eastAsia="仿宋_GB2312" w:cs="Times New Roman"/>
          <w:sz w:val="34"/>
          <w:szCs w:val="34"/>
          <w:highlight w:val="none"/>
          <w:lang w:val="en-US" w:eastAsia="zh-CN"/>
        </w:rPr>
        <w:t>加快构建集中统一、全面覆盖、权威高效的审计监督体系，以高质量审计监督助力谱写中国式现代化</w:t>
      </w:r>
      <w:r>
        <w:rPr>
          <w:rFonts w:hint="eastAsia" w:eastAsia="仿宋_GB2312" w:cs="Times New Roman"/>
          <w:sz w:val="34"/>
          <w:szCs w:val="34"/>
          <w:highlight w:val="none"/>
          <w:lang w:val="en-US" w:eastAsia="zh-CN"/>
        </w:rPr>
        <w:t>南开</w:t>
      </w:r>
      <w:r>
        <w:rPr>
          <w:rFonts w:hint="eastAsia" w:ascii="Times New Roman" w:hAnsi="Times New Roman" w:eastAsia="仿宋_GB2312" w:cs="Times New Roman"/>
          <w:sz w:val="34"/>
          <w:szCs w:val="34"/>
          <w:highlight w:val="none"/>
          <w:lang w:val="en-US" w:eastAsia="zh-CN"/>
        </w:rPr>
        <w:t>篇章。</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outlineLvl w:val="1"/>
        <w:rPr>
          <w:rFonts w:hint="default" w:ascii="Times New Roman" w:hAnsi="Times New Roman" w:eastAsia="黑体" w:cs="Times New Roman"/>
          <w:sz w:val="34"/>
          <w:szCs w:val="34"/>
          <w:highlight w:val="none"/>
        </w:rPr>
      </w:pPr>
      <w:r>
        <w:rPr>
          <w:rFonts w:hint="default" w:ascii="Times New Roman" w:hAnsi="Times New Roman" w:eastAsia="黑体" w:cs="Times New Roman"/>
          <w:sz w:val="34"/>
          <w:szCs w:val="34"/>
          <w:highlight w:val="none"/>
        </w:rPr>
        <w:t>二、审计项目安排</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rPr>
      </w:pPr>
      <w:r>
        <w:rPr>
          <w:rFonts w:hint="default" w:ascii="Times New Roman" w:hAnsi="Times New Roman" w:eastAsia="仿宋_GB2312" w:cs="Times New Roman"/>
          <w:sz w:val="34"/>
          <w:szCs w:val="34"/>
          <w:highlight w:val="none"/>
          <w:lang w:val="en-US" w:eastAsia="zh-CN"/>
        </w:rPr>
        <w:t>202</w:t>
      </w:r>
      <w:r>
        <w:rPr>
          <w:rFonts w:hint="eastAsia" w:eastAsia="仿宋_GB2312" w:cs="Times New Roman"/>
          <w:sz w:val="34"/>
          <w:szCs w:val="34"/>
          <w:highlight w:val="none"/>
          <w:lang w:val="en-US" w:eastAsia="zh-CN"/>
        </w:rPr>
        <w:t>5</w:t>
      </w:r>
      <w:r>
        <w:rPr>
          <w:rFonts w:hint="default" w:ascii="Times New Roman" w:hAnsi="Times New Roman" w:eastAsia="仿宋_GB2312" w:cs="Times New Roman"/>
          <w:sz w:val="34"/>
          <w:szCs w:val="34"/>
          <w:highlight w:val="none"/>
          <w:lang w:val="en-US" w:eastAsia="zh-CN"/>
        </w:rPr>
        <w:t>年审计项目围绕重大政策跟踪审计、财政审计、民生项目和资金审计</w:t>
      </w:r>
      <w:r>
        <w:rPr>
          <w:rFonts w:hint="eastAsia"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党政领导干部经济责任审计等重点方面，以及区委、区政府交办事项</w:t>
      </w:r>
      <w:r>
        <w:rPr>
          <w:rFonts w:hint="eastAsia"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计划安排审计和专项审计调查</w:t>
      </w:r>
      <w:r>
        <w:rPr>
          <w:rFonts w:hint="eastAsia" w:eastAsia="仿宋_GB2312" w:cs="Times New Roman"/>
          <w:sz w:val="34"/>
          <w:szCs w:val="34"/>
          <w:highlight w:val="none"/>
          <w:lang w:val="en-US" w:eastAsia="zh-CN"/>
        </w:rPr>
        <w:t>项目20项</w:t>
      </w:r>
      <w:r>
        <w:rPr>
          <w:rFonts w:hint="default" w:ascii="Times New Roman" w:hAnsi="Times New Roman" w:eastAsia="仿宋_GB2312" w:cs="Times New Roman"/>
          <w:sz w:val="34"/>
          <w:szCs w:val="34"/>
          <w:highlight w:val="none"/>
          <w:lang w:val="en-US" w:eastAsia="zh-CN"/>
        </w:rPr>
        <w:t>。</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outlineLvl w:val="2"/>
        <w:rPr>
          <w:rFonts w:hint="default" w:ascii="Times New Roman" w:hAnsi="Times New Roman" w:eastAsia="楷体_GB2312" w:cs="Times New Roman"/>
          <w:sz w:val="34"/>
          <w:szCs w:val="34"/>
          <w:highlight w:val="none"/>
        </w:rPr>
      </w:pPr>
      <w:r>
        <w:rPr>
          <w:rFonts w:hint="default" w:ascii="Times New Roman" w:hAnsi="Times New Roman" w:eastAsia="楷体_GB2312" w:cs="Times New Roman"/>
          <w:sz w:val="34"/>
          <w:szCs w:val="34"/>
          <w:highlight w:val="none"/>
        </w:rPr>
        <w:t>（一）重大政策跟踪审计</w:t>
      </w:r>
    </w:p>
    <w:p>
      <w:pPr>
        <w:pStyle w:val="11"/>
        <w:keepNext w:val="0"/>
        <w:keepLines w:val="0"/>
        <w:pageBreakBefore w:val="0"/>
        <w:widowControl w:val="0"/>
        <w:kinsoku/>
        <w:wordWrap/>
        <w:overflowPunct/>
        <w:topLinePunct w:val="0"/>
        <w:autoSpaceDE/>
        <w:autoSpaceDN/>
        <w:bidi w:val="0"/>
        <w:adjustRightInd/>
        <w:snapToGrid/>
        <w:spacing w:line="588" w:lineRule="exact"/>
        <w:ind w:left="0" w:leftChars="0" w:firstLine="664" w:firstLineChars="200"/>
        <w:jc w:val="left"/>
        <w:textAlignment w:val="auto"/>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kern w:val="2"/>
          <w:sz w:val="34"/>
          <w:szCs w:val="34"/>
          <w:lang w:val="en-US" w:eastAsia="zh-CN" w:bidi="ar-SA"/>
        </w:rPr>
        <w:t>围绕我区重点任务，计划开展</w:t>
      </w:r>
      <w:r>
        <w:rPr>
          <w:rFonts w:hint="eastAsia" w:ascii="Times New Roman" w:hAnsi="Times New Roman" w:eastAsia="仿宋_GB2312" w:cs="Times New Roman"/>
          <w:sz w:val="34"/>
          <w:szCs w:val="34"/>
          <w:lang w:val="en-US" w:eastAsia="zh-CN"/>
        </w:rPr>
        <w:t>南开区城市更新项目</w:t>
      </w:r>
      <w:r>
        <w:rPr>
          <w:rFonts w:hint="default" w:ascii="Times New Roman" w:hAnsi="Times New Roman" w:eastAsia="仿宋_GB2312" w:cs="Times New Roman"/>
          <w:sz w:val="34"/>
          <w:szCs w:val="34"/>
          <w:lang w:val="en-US" w:eastAsia="zh-CN"/>
        </w:rPr>
        <w:t>专项审计调查</w:t>
      </w:r>
      <w:r>
        <w:rPr>
          <w:rFonts w:hint="eastAsia" w:ascii="Times New Roman" w:hAnsi="Times New Roman" w:eastAsia="仿宋_GB2312" w:cs="Times New Roman"/>
          <w:sz w:val="34"/>
          <w:szCs w:val="34"/>
          <w:lang w:val="en-US" w:eastAsia="zh-CN"/>
        </w:rPr>
        <w:t>、</w:t>
      </w:r>
      <w:r>
        <w:rPr>
          <w:rFonts w:hint="default" w:ascii="Times New Roman" w:hAnsi="Times New Roman" w:eastAsia="仿宋_GB2312" w:cs="Times New Roman"/>
          <w:sz w:val="34"/>
          <w:szCs w:val="34"/>
          <w:highlight w:val="none"/>
          <w:lang w:val="en-US" w:eastAsia="zh-CN"/>
        </w:rPr>
        <w:t>南开区盘活存量资产专项审计调查</w:t>
      </w:r>
      <w:r>
        <w:rPr>
          <w:rFonts w:hint="eastAsia" w:ascii="Times New Roman" w:hAnsi="Times New Roman" w:eastAsia="仿宋_GB2312" w:cs="Times New Roman"/>
          <w:sz w:val="34"/>
          <w:szCs w:val="34"/>
          <w:highlight w:val="none"/>
          <w:lang w:val="en-US" w:eastAsia="zh-CN"/>
        </w:rPr>
        <w:t>、南开区国企改革政策落实情况专项审计调查</w:t>
      </w:r>
      <w:r>
        <w:rPr>
          <w:rFonts w:hint="eastAsia" w:ascii="Times New Roman" w:hAnsi="Times New Roman" w:eastAsia="仿宋_GB2312" w:cs="Times New Roman"/>
          <w:sz w:val="34"/>
          <w:szCs w:val="34"/>
          <w:lang w:val="en-US" w:eastAsia="zh-CN"/>
        </w:rPr>
        <w:t>等4个审计项目。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64" w:firstLineChars="200"/>
        <w:textAlignment w:val="auto"/>
        <w:rPr>
          <w:rFonts w:hint="default" w:ascii="Times New Roman" w:hAnsi="Times New Roman" w:eastAsia="仿宋_GB2312" w:cs="Times New Roman"/>
          <w:kern w:val="2"/>
          <w:sz w:val="34"/>
          <w:szCs w:val="34"/>
          <w:lang w:val="en-US" w:eastAsia="zh-CN" w:bidi="ar-SA"/>
        </w:rPr>
      </w:pPr>
      <w:r>
        <w:rPr>
          <w:rFonts w:hint="default" w:ascii="Times New Roman" w:hAnsi="Times New Roman" w:eastAsia="仿宋_GB2312" w:cs="Times New Roman"/>
          <w:sz w:val="34"/>
          <w:szCs w:val="34"/>
          <w:highlight w:val="none"/>
          <w:lang w:val="en-US" w:eastAsia="zh-CN"/>
        </w:rPr>
        <w:t>1．</w:t>
      </w:r>
      <w:r>
        <w:rPr>
          <w:rFonts w:hint="eastAsia" w:ascii="Times New Roman" w:hAnsi="Times New Roman" w:eastAsia="仿宋_GB2312" w:cs="Times New Roman"/>
          <w:sz w:val="34"/>
          <w:szCs w:val="34"/>
          <w:lang w:val="en-US" w:eastAsia="zh-CN"/>
        </w:rPr>
        <w:t>南开区城市更新项目</w:t>
      </w:r>
      <w:r>
        <w:rPr>
          <w:rFonts w:hint="default" w:ascii="Times New Roman" w:hAnsi="Times New Roman" w:eastAsia="仿宋_GB2312" w:cs="Times New Roman"/>
          <w:sz w:val="34"/>
          <w:szCs w:val="34"/>
          <w:lang w:val="en-US" w:eastAsia="zh-CN"/>
        </w:rPr>
        <w:t>专项审计调查</w:t>
      </w:r>
      <w:r>
        <w:rPr>
          <w:rFonts w:hint="eastAsia" w:ascii="Times New Roman" w:hAnsi="Times New Roman" w:eastAsia="仿宋_GB2312" w:cs="Times New Roman"/>
          <w:sz w:val="34"/>
          <w:szCs w:val="34"/>
          <w:lang w:val="en-US" w:eastAsia="zh-CN"/>
        </w:rPr>
        <w:t>。</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eastAsia" w:eastAsia="仿宋_GB2312" w:cs="Times New Roman"/>
          <w:sz w:val="34"/>
          <w:szCs w:val="34"/>
          <w:lang w:val="en-US" w:eastAsia="zh-CN"/>
        </w:rPr>
      </w:pPr>
      <w:r>
        <w:rPr>
          <w:rFonts w:hint="eastAsia" w:eastAsia="仿宋_GB2312" w:cs="Times New Roman"/>
          <w:sz w:val="34"/>
          <w:szCs w:val="34"/>
          <w:lang w:val="en-US" w:eastAsia="zh-CN"/>
        </w:rPr>
        <w:t>以推动城市空间结构优化和品质提升为目标，从城市更新规划这一源头入手，聚焦老旧小区改造、完整社区建设等领域，重点关注政策落实、项目建设管理、资金运转等情况，促进城市更新科学有序开展。</w:t>
      </w:r>
    </w:p>
    <w:p>
      <w:pPr>
        <w:keepNext w:val="0"/>
        <w:keepLines w:val="0"/>
        <w:pageBreakBefore w:val="0"/>
        <w:kinsoku/>
        <w:wordWrap/>
        <w:overflowPunct/>
        <w:topLinePunct w:val="0"/>
        <w:autoSpaceDE/>
        <w:autoSpaceDN/>
        <w:bidi w:val="0"/>
        <w:spacing w:line="588" w:lineRule="exact"/>
        <w:ind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2</w:t>
      </w:r>
      <w:r>
        <w:rPr>
          <w:rFonts w:hint="default" w:ascii="Times New Roman" w:hAnsi="Times New Roman" w:eastAsia="仿宋_GB2312" w:cs="Times New Roman"/>
          <w:sz w:val="34"/>
          <w:szCs w:val="34"/>
          <w:highlight w:val="none"/>
          <w:lang w:val="en-US" w:eastAsia="zh-CN"/>
        </w:rPr>
        <w:t>．南开区盘活存量资产专项审计调查</w:t>
      </w:r>
      <w:r>
        <w:rPr>
          <w:rFonts w:hint="eastAsia" w:eastAsia="仿宋_GB2312" w:cs="Times New Roman"/>
          <w:sz w:val="34"/>
          <w:szCs w:val="34"/>
          <w:highlight w:val="none"/>
          <w:lang w:val="en-US" w:eastAsia="zh-CN"/>
        </w:rPr>
        <w:t>。</w:t>
      </w:r>
    </w:p>
    <w:p>
      <w:pPr>
        <w:keepNext w:val="0"/>
        <w:keepLines w:val="0"/>
        <w:pageBreakBefore w:val="0"/>
        <w:kinsoku/>
        <w:wordWrap/>
        <w:overflowPunct/>
        <w:topLinePunct w:val="0"/>
        <w:autoSpaceDE/>
        <w:autoSpaceDN/>
        <w:bidi w:val="0"/>
        <w:spacing w:line="588" w:lineRule="exact"/>
        <w:ind w:firstLine="664" w:firstLineChars="200"/>
        <w:textAlignment w:val="auto"/>
        <w:rPr>
          <w:rFonts w:hint="eastAsia" w:ascii="仿宋_GB2312" w:hAnsi="仿宋_GB2312" w:eastAsia="仿宋_GB2312" w:cs="仿宋_GB2312"/>
          <w:i w:val="0"/>
          <w:iCs w:val="0"/>
          <w:caps w:val="0"/>
          <w:color w:val="111111"/>
          <w:spacing w:val="0"/>
          <w:sz w:val="34"/>
          <w:szCs w:val="34"/>
          <w:shd w:val="clear" w:color="auto" w:fill="FFFFFF"/>
          <w:lang w:val="en-US" w:eastAsia="zh-CN"/>
        </w:rPr>
      </w:pPr>
      <w:r>
        <w:rPr>
          <w:rFonts w:hint="eastAsia" w:ascii="仿宋_GB2312" w:hAnsi="仿宋_GB2312" w:eastAsia="仿宋_GB2312" w:cs="仿宋_GB2312"/>
          <w:i w:val="0"/>
          <w:iCs w:val="0"/>
          <w:caps w:val="0"/>
          <w:color w:val="111111"/>
          <w:spacing w:val="0"/>
          <w:sz w:val="34"/>
          <w:szCs w:val="34"/>
          <w:shd w:val="clear" w:color="auto" w:fill="FFFFFF"/>
          <w:lang w:val="en-US" w:eastAsia="zh-CN"/>
        </w:rPr>
        <w:t>以推动加快盘活存量资产，增强经济活力为目标，重点关注存量资产盘活体制机制建立健全和运行、存量资产底数摸排、具体盘活举措落实、盘活收益管理等情况，充分挖掘存量资产价值，加强存量资产优化整合，加快形成更多新质生产力，持续提升发展质量效益。</w:t>
      </w:r>
    </w:p>
    <w:p>
      <w:pPr>
        <w:keepNext w:val="0"/>
        <w:keepLines w:val="0"/>
        <w:pageBreakBefore w:val="0"/>
        <w:kinsoku/>
        <w:wordWrap/>
        <w:overflowPunct/>
        <w:topLinePunct w:val="0"/>
        <w:autoSpaceDE/>
        <w:autoSpaceDN/>
        <w:bidi w:val="0"/>
        <w:spacing w:line="588" w:lineRule="exact"/>
        <w:ind w:firstLine="664" w:firstLineChars="200"/>
        <w:textAlignment w:val="auto"/>
        <w:rPr>
          <w:rFonts w:hint="default" w:ascii="Times New Roman" w:hAnsi="Times New Roman" w:eastAsia="仿宋_GB2312" w:cs="Times New Roman"/>
          <w:kern w:val="2"/>
          <w:sz w:val="34"/>
          <w:szCs w:val="34"/>
          <w:lang w:val="en-US" w:eastAsia="zh-CN" w:bidi="ar-SA"/>
        </w:rPr>
      </w:pPr>
      <w:r>
        <w:rPr>
          <w:rFonts w:hint="eastAsia"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kern w:val="2"/>
          <w:sz w:val="34"/>
          <w:szCs w:val="34"/>
          <w:lang w:val="en-US" w:eastAsia="zh-CN" w:bidi="ar-SA"/>
        </w:rPr>
        <w:t>南开区</w:t>
      </w:r>
      <w:r>
        <w:rPr>
          <w:rFonts w:hint="eastAsia" w:ascii="Times New Roman" w:hAnsi="Times New Roman" w:eastAsia="仿宋_GB2312" w:cs="Times New Roman"/>
          <w:kern w:val="2"/>
          <w:sz w:val="34"/>
          <w:szCs w:val="34"/>
          <w:lang w:val="en-US" w:eastAsia="zh-CN" w:bidi="ar-SA"/>
        </w:rPr>
        <w:t>国企改革政策落实情况</w:t>
      </w:r>
      <w:r>
        <w:rPr>
          <w:rFonts w:hint="default" w:ascii="Times New Roman" w:hAnsi="Times New Roman" w:eastAsia="仿宋_GB2312" w:cs="Times New Roman"/>
          <w:kern w:val="2"/>
          <w:sz w:val="34"/>
          <w:szCs w:val="34"/>
          <w:lang w:val="en-US" w:eastAsia="zh-CN" w:bidi="ar-SA"/>
        </w:rPr>
        <w:t>专项审计调查</w:t>
      </w:r>
      <w:r>
        <w:rPr>
          <w:rFonts w:hint="eastAsia" w:ascii="Times New Roman" w:hAnsi="Times New Roman" w:eastAsia="仿宋_GB2312" w:cs="Times New Roman"/>
          <w:kern w:val="2"/>
          <w:sz w:val="34"/>
          <w:szCs w:val="34"/>
          <w:lang w:val="en-US" w:eastAsia="zh-CN" w:bidi="ar-SA"/>
        </w:rPr>
        <w:t>。</w:t>
      </w:r>
    </w:p>
    <w:p>
      <w:pPr>
        <w:keepNext w:val="0"/>
        <w:keepLines w:val="0"/>
        <w:pageBreakBefore w:val="0"/>
        <w:tabs>
          <w:tab w:val="left" w:pos="4935"/>
        </w:tabs>
        <w:kinsoku/>
        <w:wordWrap/>
        <w:overflowPunct/>
        <w:topLinePunct/>
        <w:bidi w:val="0"/>
        <w:adjustRightInd w:val="0"/>
        <w:snapToGrid w:val="0"/>
        <w:spacing w:line="588" w:lineRule="exact"/>
        <w:ind w:firstLine="664" w:firstLineChars="200"/>
        <w:textAlignment w:val="auto"/>
        <w:rPr>
          <w:rFonts w:hint="eastAsia" w:ascii="Times New Roman" w:hAnsi="Times New Roman" w:eastAsia="仿宋_GB2312" w:cs="Times New Roman"/>
          <w:kern w:val="2"/>
          <w:sz w:val="34"/>
          <w:szCs w:val="34"/>
          <w:lang w:val="en-US" w:eastAsia="zh-CN" w:bidi="ar-SA"/>
        </w:rPr>
      </w:pPr>
      <w:r>
        <w:rPr>
          <w:rFonts w:hint="eastAsia" w:ascii="Times New Roman" w:hAnsi="Times New Roman" w:eastAsia="仿宋_GB2312" w:cs="Times New Roman"/>
          <w:kern w:val="2"/>
          <w:sz w:val="34"/>
          <w:szCs w:val="34"/>
          <w:lang w:val="en-US" w:eastAsia="zh-CN" w:bidi="ar-SA"/>
        </w:rPr>
        <w:t>以掌握区属企业落实方案进度及存在问题，助推方案落实落地为目标，重点关注落实方案所采取的举措及实施效果情况，方案落实进度及存在的问题情况，推进国企改革依法有序进行，</w:t>
      </w:r>
      <w:r>
        <w:rPr>
          <w:rFonts w:hint="eastAsia" w:eastAsia="仿宋_GB2312" w:cs="Times New Roman"/>
          <w:kern w:val="2"/>
          <w:sz w:val="34"/>
          <w:szCs w:val="34"/>
          <w:lang w:val="en-US" w:eastAsia="zh-CN" w:bidi="ar-SA"/>
        </w:rPr>
        <w:t>审查其绩效及资产盘活情况</w:t>
      </w:r>
      <w:r>
        <w:rPr>
          <w:rFonts w:hint="eastAsia" w:ascii="Times New Roman" w:hAnsi="Times New Roman" w:eastAsia="仿宋_GB2312" w:cs="Times New Roman"/>
          <w:kern w:val="2"/>
          <w:sz w:val="34"/>
          <w:szCs w:val="34"/>
          <w:lang w:val="en-US" w:eastAsia="zh-CN" w:bidi="ar-SA"/>
        </w:rPr>
        <w:t xml:space="preserve">，防止国有资产流失，维护职工合法权益。   </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．南开区中医药传承创新发展示范试点项目资金管理使用情况专项审计调查</w:t>
      </w:r>
      <w:r>
        <w:rPr>
          <w:rFonts w:hint="eastAsia" w:eastAsia="仿宋_GB2312" w:cs="Times New Roman"/>
          <w:sz w:val="34"/>
          <w:szCs w:val="34"/>
          <w:highlight w:val="none"/>
          <w:lang w:val="en-US" w:eastAsia="zh-CN"/>
        </w:rPr>
        <w:t>。</w:t>
      </w:r>
    </w:p>
    <w:p>
      <w:pPr>
        <w:keepNext w:val="0"/>
        <w:keepLines w:val="0"/>
        <w:pageBreakBefore w:val="0"/>
        <w:kinsoku/>
        <w:wordWrap/>
        <w:overflowPunct/>
        <w:topLinePunct w:val="0"/>
        <w:autoSpaceDE/>
        <w:autoSpaceDN/>
        <w:bidi w:val="0"/>
        <w:spacing w:line="588" w:lineRule="exact"/>
        <w:ind w:firstLine="664" w:firstLineChars="200"/>
        <w:textAlignment w:val="auto"/>
        <w:rPr>
          <w:rFonts w:hint="eastAsia" w:ascii="仿宋_GB2312" w:hAnsi="仿宋_GB2312" w:eastAsia="仿宋_GB2312" w:cs="仿宋_GB2312"/>
          <w:i w:val="0"/>
          <w:iCs w:val="0"/>
          <w:caps w:val="0"/>
          <w:color w:val="111111"/>
          <w:spacing w:val="0"/>
          <w:sz w:val="34"/>
          <w:szCs w:val="34"/>
          <w:shd w:val="clear" w:color="auto" w:fill="FFFFFF"/>
          <w:lang w:eastAsia="zh-CN"/>
        </w:rPr>
      </w:pPr>
      <w:r>
        <w:rPr>
          <w:rFonts w:hint="eastAsia" w:ascii="仿宋_GB2312" w:hAnsi="仿宋_GB2312" w:eastAsia="仿宋_GB2312" w:cs="仿宋_GB2312"/>
          <w:i w:val="0"/>
          <w:iCs w:val="0"/>
          <w:caps w:val="0"/>
          <w:color w:val="111111"/>
          <w:spacing w:val="0"/>
          <w:sz w:val="34"/>
          <w:szCs w:val="34"/>
          <w:shd w:val="clear" w:color="auto" w:fill="FFFFFF"/>
        </w:rPr>
        <w:t>以推动中医药传承创新</w:t>
      </w:r>
      <w:r>
        <w:rPr>
          <w:rFonts w:hint="eastAsia" w:ascii="仿宋_GB2312" w:hAnsi="仿宋_GB2312" w:eastAsia="仿宋_GB2312" w:cs="仿宋_GB2312"/>
          <w:i w:val="0"/>
          <w:iCs w:val="0"/>
          <w:caps w:val="0"/>
          <w:color w:val="111111"/>
          <w:spacing w:val="0"/>
          <w:sz w:val="34"/>
          <w:szCs w:val="34"/>
          <w:shd w:val="clear" w:color="auto" w:fill="FFFFFF"/>
          <w:lang w:eastAsia="zh-CN"/>
        </w:rPr>
        <w:t>、</w:t>
      </w:r>
      <w:r>
        <w:rPr>
          <w:rFonts w:hint="eastAsia" w:ascii="仿宋_GB2312" w:hAnsi="仿宋_GB2312" w:eastAsia="仿宋_GB2312" w:cs="仿宋_GB2312"/>
          <w:i w:val="0"/>
          <w:iCs w:val="0"/>
          <w:caps w:val="0"/>
          <w:color w:val="111111"/>
          <w:spacing w:val="0"/>
          <w:sz w:val="34"/>
          <w:szCs w:val="34"/>
          <w:shd w:val="clear" w:color="auto" w:fill="FFFFFF"/>
        </w:rPr>
        <w:t>提升中医药综合服务能力为</w:t>
      </w:r>
      <w:r>
        <w:rPr>
          <w:rFonts w:hint="eastAsia" w:ascii="仿宋_GB2312" w:hAnsi="仿宋_GB2312" w:eastAsia="仿宋_GB2312" w:cs="仿宋_GB2312"/>
          <w:i w:val="0"/>
          <w:iCs w:val="0"/>
          <w:caps w:val="0"/>
          <w:color w:val="111111"/>
          <w:spacing w:val="0"/>
          <w:sz w:val="34"/>
          <w:szCs w:val="34"/>
          <w:shd w:val="clear" w:color="auto" w:fill="FFFFFF"/>
          <w:lang w:eastAsia="zh-CN"/>
        </w:rPr>
        <w:t>目标</w:t>
      </w:r>
      <w:r>
        <w:rPr>
          <w:rFonts w:hint="eastAsia" w:ascii="仿宋_GB2312" w:hAnsi="仿宋_GB2312" w:eastAsia="仿宋_GB2312" w:cs="仿宋_GB2312"/>
          <w:i w:val="0"/>
          <w:iCs w:val="0"/>
          <w:caps w:val="0"/>
          <w:color w:val="111111"/>
          <w:spacing w:val="0"/>
          <w:sz w:val="34"/>
          <w:szCs w:val="34"/>
          <w:shd w:val="clear" w:color="auto" w:fill="FFFFFF"/>
        </w:rPr>
        <w:t>，</w:t>
      </w:r>
      <w:r>
        <w:rPr>
          <w:rFonts w:hint="eastAsia" w:ascii="仿宋_GB2312" w:hAnsi="仿宋_GB2312" w:eastAsia="仿宋_GB2312" w:cs="仿宋_GB2312"/>
          <w:i w:val="0"/>
          <w:iCs w:val="0"/>
          <w:caps w:val="0"/>
          <w:color w:val="111111"/>
          <w:spacing w:val="0"/>
          <w:sz w:val="34"/>
          <w:szCs w:val="34"/>
          <w:shd w:val="clear" w:color="auto" w:fill="FFFFFF"/>
          <w:lang w:eastAsia="zh-CN"/>
        </w:rPr>
        <w:t>重点关注</w:t>
      </w:r>
      <w:r>
        <w:rPr>
          <w:rFonts w:hint="eastAsia" w:ascii="仿宋_GB2312" w:hAnsi="仿宋_GB2312" w:eastAsia="仿宋_GB2312" w:cs="仿宋_GB2312"/>
          <w:i w:val="0"/>
          <w:iCs w:val="0"/>
          <w:caps w:val="0"/>
          <w:color w:val="111111"/>
          <w:spacing w:val="0"/>
          <w:sz w:val="34"/>
          <w:szCs w:val="34"/>
          <w:shd w:val="clear" w:color="auto" w:fill="FFFFFF"/>
        </w:rPr>
        <w:t>中医药服务体系</w:t>
      </w:r>
      <w:r>
        <w:rPr>
          <w:rFonts w:hint="eastAsia" w:ascii="仿宋_GB2312" w:hAnsi="仿宋_GB2312" w:eastAsia="仿宋_GB2312" w:cs="仿宋_GB2312"/>
          <w:i w:val="0"/>
          <w:iCs w:val="0"/>
          <w:caps w:val="0"/>
          <w:color w:val="111111"/>
          <w:spacing w:val="0"/>
          <w:sz w:val="34"/>
          <w:szCs w:val="34"/>
          <w:shd w:val="clear" w:color="auto" w:fill="FFFFFF"/>
          <w:lang w:eastAsia="zh-CN"/>
        </w:rPr>
        <w:t>建设</w:t>
      </w:r>
      <w:r>
        <w:rPr>
          <w:rFonts w:hint="eastAsia" w:ascii="仿宋_GB2312" w:hAnsi="仿宋_GB2312" w:eastAsia="仿宋_GB2312" w:cs="仿宋_GB2312"/>
          <w:i w:val="0"/>
          <w:iCs w:val="0"/>
          <w:caps w:val="0"/>
          <w:color w:val="111111"/>
          <w:spacing w:val="0"/>
          <w:sz w:val="34"/>
          <w:szCs w:val="34"/>
          <w:shd w:val="clear" w:color="auto" w:fill="FFFFFF"/>
        </w:rPr>
        <w:t>、医疗保障支持、基层中医服务能力</w:t>
      </w:r>
      <w:r>
        <w:rPr>
          <w:rFonts w:hint="eastAsia" w:ascii="仿宋_GB2312" w:hAnsi="仿宋_GB2312" w:eastAsia="仿宋_GB2312" w:cs="仿宋_GB2312"/>
          <w:i w:val="0"/>
          <w:iCs w:val="0"/>
          <w:caps w:val="0"/>
          <w:color w:val="111111"/>
          <w:spacing w:val="0"/>
          <w:sz w:val="34"/>
          <w:szCs w:val="34"/>
          <w:shd w:val="clear" w:color="auto" w:fill="FFFFFF"/>
          <w:lang w:eastAsia="zh-CN"/>
        </w:rPr>
        <w:t>提升</w:t>
      </w:r>
      <w:r>
        <w:rPr>
          <w:rFonts w:hint="eastAsia" w:ascii="仿宋_GB2312" w:hAnsi="仿宋_GB2312" w:eastAsia="仿宋_GB2312" w:cs="仿宋_GB2312"/>
          <w:i w:val="0"/>
          <w:iCs w:val="0"/>
          <w:caps w:val="0"/>
          <w:color w:val="111111"/>
          <w:spacing w:val="0"/>
          <w:sz w:val="34"/>
          <w:szCs w:val="34"/>
          <w:shd w:val="clear" w:color="auto" w:fill="FFFFFF"/>
        </w:rPr>
        <w:t>、药品（饮片）</w:t>
      </w:r>
      <w:r>
        <w:rPr>
          <w:rFonts w:hint="eastAsia" w:ascii="仿宋_GB2312" w:hAnsi="仿宋_GB2312" w:eastAsia="仿宋_GB2312" w:cs="仿宋_GB2312"/>
          <w:i w:val="0"/>
          <w:iCs w:val="0"/>
          <w:caps w:val="0"/>
          <w:color w:val="111111"/>
          <w:spacing w:val="0"/>
          <w:sz w:val="34"/>
          <w:szCs w:val="34"/>
          <w:shd w:val="clear" w:color="auto" w:fill="FFFFFF"/>
          <w:lang w:val="en-US" w:eastAsia="zh-CN"/>
        </w:rPr>
        <w:t>及设备</w:t>
      </w:r>
      <w:r>
        <w:rPr>
          <w:rFonts w:hint="eastAsia" w:ascii="仿宋_GB2312" w:hAnsi="仿宋_GB2312" w:eastAsia="仿宋_GB2312" w:cs="仿宋_GB2312"/>
          <w:i w:val="0"/>
          <w:iCs w:val="0"/>
          <w:caps w:val="0"/>
          <w:color w:val="111111"/>
          <w:spacing w:val="0"/>
          <w:sz w:val="34"/>
          <w:szCs w:val="34"/>
          <w:shd w:val="clear" w:color="auto" w:fill="FFFFFF"/>
        </w:rPr>
        <w:t>采购管理等</w:t>
      </w:r>
      <w:r>
        <w:rPr>
          <w:rFonts w:hint="eastAsia" w:ascii="仿宋_GB2312" w:hAnsi="仿宋_GB2312" w:eastAsia="仿宋_GB2312" w:cs="仿宋_GB2312"/>
          <w:i w:val="0"/>
          <w:iCs w:val="0"/>
          <w:caps w:val="0"/>
          <w:color w:val="111111"/>
          <w:spacing w:val="0"/>
          <w:sz w:val="34"/>
          <w:szCs w:val="34"/>
          <w:shd w:val="clear" w:color="auto" w:fill="FFFFFF"/>
          <w:lang w:eastAsia="zh-CN"/>
        </w:rPr>
        <w:t>情况</w:t>
      </w:r>
      <w:r>
        <w:rPr>
          <w:rFonts w:hint="eastAsia" w:ascii="仿宋_GB2312" w:hAnsi="仿宋_GB2312" w:eastAsia="仿宋_GB2312" w:cs="仿宋_GB2312"/>
          <w:i w:val="0"/>
          <w:iCs w:val="0"/>
          <w:caps w:val="0"/>
          <w:color w:val="111111"/>
          <w:spacing w:val="0"/>
          <w:sz w:val="34"/>
          <w:szCs w:val="34"/>
          <w:shd w:val="clear" w:color="auto" w:fill="FFFFFF"/>
        </w:rPr>
        <w:t>，</w:t>
      </w:r>
      <w:r>
        <w:rPr>
          <w:rFonts w:hint="eastAsia" w:ascii="仿宋_GB2312" w:hAnsi="仿宋_GB2312" w:eastAsia="仿宋_GB2312" w:cs="仿宋_GB2312"/>
          <w:i w:val="0"/>
          <w:iCs w:val="0"/>
          <w:caps w:val="0"/>
          <w:color w:val="111111"/>
          <w:spacing w:val="0"/>
          <w:sz w:val="34"/>
          <w:szCs w:val="34"/>
          <w:shd w:val="clear" w:color="auto" w:fill="FFFFFF"/>
          <w:lang w:eastAsia="zh-CN"/>
        </w:rPr>
        <w:t>助力中医药事业传承创新、健康发展。</w:t>
      </w:r>
    </w:p>
    <w:p>
      <w:pPr>
        <w:keepNext w:val="0"/>
        <w:keepLines w:val="0"/>
        <w:pageBreakBefore w:val="0"/>
        <w:tabs>
          <w:tab w:val="right" w:pos="8844"/>
        </w:tabs>
        <w:kinsoku/>
        <w:wordWrap/>
        <w:overflowPunct/>
        <w:topLinePunct w:val="0"/>
        <w:autoSpaceDE/>
        <w:autoSpaceDN/>
        <w:bidi w:val="0"/>
        <w:spacing w:line="588" w:lineRule="exact"/>
        <w:ind w:leftChars="0" w:firstLine="664" w:firstLineChars="200"/>
        <w:textAlignment w:val="auto"/>
        <w:outlineLvl w:val="2"/>
        <w:rPr>
          <w:rFonts w:hint="default" w:ascii="Times New Roman" w:hAnsi="Times New Roman" w:eastAsia="楷体_GB2312" w:cs="Times New Roman"/>
          <w:sz w:val="34"/>
          <w:szCs w:val="34"/>
          <w:highlight w:val="none"/>
        </w:rPr>
      </w:pPr>
      <w:r>
        <w:rPr>
          <w:rFonts w:hint="default" w:ascii="Times New Roman" w:hAnsi="Times New Roman" w:eastAsia="楷体_GB2312" w:cs="Times New Roman"/>
          <w:sz w:val="34"/>
          <w:szCs w:val="34"/>
          <w:highlight w:val="none"/>
        </w:rPr>
        <w:t>（二）财政审计</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紧密围绕区委、区政府工作任务重点安排本级预算执行及决算草案审计、部门预算执行和决算草案以及其他财政收支审计等</w:t>
      </w:r>
      <w:r>
        <w:rPr>
          <w:rFonts w:hint="eastAsia" w:eastAsia="仿宋_GB2312" w:cs="Times New Roman"/>
          <w:sz w:val="34"/>
          <w:szCs w:val="34"/>
          <w:highlight w:val="none"/>
          <w:lang w:val="en-US" w:eastAsia="zh-CN"/>
        </w:rPr>
        <w:t>7</w:t>
      </w:r>
      <w:r>
        <w:rPr>
          <w:rFonts w:hint="default" w:ascii="Times New Roman" w:hAnsi="Times New Roman" w:eastAsia="仿宋_GB2312" w:cs="Times New Roman"/>
          <w:sz w:val="34"/>
          <w:szCs w:val="34"/>
          <w:highlight w:val="none"/>
          <w:lang w:val="en-US" w:eastAsia="zh-CN"/>
        </w:rPr>
        <w:t>个审计项目。</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1．区级预算执行及决算草案审计。</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eastAsia"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以优化财政支出结构</w:t>
      </w:r>
      <w:r>
        <w:rPr>
          <w:rFonts w:hint="eastAsia"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促进财政支出政策提质增效</w:t>
      </w:r>
      <w:r>
        <w:rPr>
          <w:rFonts w:hint="eastAsia"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深化财税体制改革为目标，重点关注预算编制和执行</w:t>
      </w:r>
      <w:r>
        <w:rPr>
          <w:rFonts w:hint="eastAsia"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财政资源统筹</w:t>
      </w:r>
      <w:r>
        <w:rPr>
          <w:rFonts w:hint="eastAsia" w:eastAsia="仿宋_GB2312" w:cs="Times New Roman"/>
          <w:sz w:val="34"/>
          <w:szCs w:val="34"/>
          <w:highlight w:val="none"/>
          <w:lang w:val="en-US" w:eastAsia="zh-CN"/>
        </w:rPr>
        <w:t>、财政支出政策执行、预算绩效管理、重大风险防控、</w:t>
      </w:r>
      <w:r>
        <w:rPr>
          <w:rFonts w:hint="default" w:ascii="Times New Roman" w:hAnsi="Times New Roman" w:eastAsia="仿宋_GB2312" w:cs="Times New Roman"/>
          <w:sz w:val="34"/>
          <w:szCs w:val="34"/>
          <w:highlight w:val="none"/>
          <w:lang w:val="en-US" w:eastAsia="zh-CN"/>
        </w:rPr>
        <w:t>重点财政管理改革措施推进</w:t>
      </w:r>
      <w:r>
        <w:rPr>
          <w:rFonts w:hint="eastAsia" w:eastAsia="仿宋_GB2312" w:cs="Times New Roman"/>
          <w:sz w:val="34"/>
          <w:szCs w:val="34"/>
          <w:highlight w:val="none"/>
          <w:lang w:val="en-US" w:eastAsia="zh-CN"/>
        </w:rPr>
        <w:t>以及</w:t>
      </w:r>
      <w:r>
        <w:rPr>
          <w:rFonts w:hint="default" w:ascii="Times New Roman" w:hAnsi="Times New Roman" w:eastAsia="仿宋_GB2312" w:cs="Times New Roman"/>
          <w:sz w:val="34"/>
          <w:szCs w:val="34"/>
          <w:highlight w:val="none"/>
          <w:lang w:val="en-US" w:eastAsia="zh-CN"/>
        </w:rPr>
        <w:t>以前年度审计查出问题整改等情况</w:t>
      </w:r>
      <w:r>
        <w:rPr>
          <w:rFonts w:hint="eastAsia" w:eastAsia="仿宋_GB2312" w:cs="Times New Roman"/>
          <w:sz w:val="34"/>
          <w:szCs w:val="34"/>
          <w:highlight w:val="none"/>
          <w:lang w:val="en-US" w:eastAsia="zh-CN"/>
        </w:rPr>
        <w:t>，推动贯彻落实“过紧日子”要求，优化财政资源高效有序配置，提升财政保障能力。</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2</w:t>
      </w:r>
      <w:r>
        <w:rPr>
          <w:rFonts w:hint="default" w:ascii="Times New Roman" w:hAnsi="Times New Roman" w:eastAsia="仿宋_GB2312" w:cs="Times New Roman"/>
          <w:sz w:val="34"/>
          <w:szCs w:val="34"/>
          <w:highlight w:val="none"/>
          <w:lang w:val="en-US" w:eastAsia="zh-CN"/>
        </w:rPr>
        <w:t>．部门预算执行和决算草案以及其他财政收支审计。</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以促进规范部门预算管理，严肃财经纪律，提高财政资金使用绩效为目标，重点关注部门预算执行及项目管理实施、决算草案编制、财政存量资金清理、国有资产和政府采购管理、对所属单位监督管理和风险防控、落实“过紧日子”要求、遵守中央八项规定及其实施细则、以前年度审计查出问题整改等情况</w:t>
      </w:r>
      <w:r>
        <w:rPr>
          <w:rFonts w:hint="eastAsia"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促进部门依法履职，严格预算管理，提高资金绩效。计划对5个区级部门开展预算执行和决算草案审计。</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eastAsia" w:eastAsia="仿宋_GB2312" w:cs="Times New Roman"/>
          <w:sz w:val="34"/>
          <w:szCs w:val="34"/>
          <w:highlight w:val="none"/>
          <w:lang w:val="en-US" w:eastAsia="zh-CN"/>
        </w:rPr>
      </w:pPr>
      <w:r>
        <w:rPr>
          <w:rFonts w:hint="eastAsia"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．南开区2024年度政府非税收入收缴管理情况专项审计调查</w:t>
      </w:r>
      <w:r>
        <w:rPr>
          <w:rFonts w:hint="eastAsia" w:eastAsia="仿宋_GB2312" w:cs="Times New Roman"/>
          <w:sz w:val="34"/>
          <w:szCs w:val="3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Chars="0" w:firstLine="664" w:firstLineChars="200"/>
        <w:textAlignment w:val="auto"/>
        <w:rPr>
          <w:rFonts w:hint="eastAsia" w:eastAsia="仿宋_GB2312" w:cs="Times New Roman"/>
          <w:sz w:val="34"/>
          <w:szCs w:val="34"/>
          <w:highlight w:val="none"/>
          <w:lang w:val="en-US" w:eastAsia="zh-CN"/>
        </w:rPr>
      </w:pPr>
      <w:r>
        <w:rPr>
          <w:rFonts w:hint="eastAsia" w:eastAsia="仿宋_GB2312"/>
          <w:sz w:val="34"/>
          <w:szCs w:val="34"/>
          <w:lang w:eastAsia="zh-CN"/>
        </w:rPr>
        <w:t>以促进非税收入管理工作规范化、法制化为目标，重点关注有无违规截留、挪用非税收入，违规越权自定非税收入项目，违规减免、缓征非税收入，以及违规</w:t>
      </w:r>
      <w:r>
        <w:rPr>
          <w:rFonts w:hint="eastAsia" w:eastAsia="仿宋_GB2312"/>
          <w:sz w:val="34"/>
          <w:szCs w:val="34"/>
        </w:rPr>
        <w:t>向企业、个人乱收费、乱摊派</w:t>
      </w:r>
      <w:r>
        <w:rPr>
          <w:rFonts w:hint="eastAsia" w:eastAsia="仿宋_GB2312"/>
          <w:sz w:val="34"/>
          <w:szCs w:val="34"/>
          <w:lang w:eastAsia="zh-CN"/>
        </w:rPr>
        <w:t>等</w:t>
      </w:r>
      <w:r>
        <w:rPr>
          <w:rFonts w:hint="eastAsia" w:eastAsia="仿宋_GB2312"/>
          <w:sz w:val="34"/>
          <w:szCs w:val="34"/>
        </w:rPr>
        <w:t>行为，促进依法征收、应收尽收，</w:t>
      </w:r>
      <w:r>
        <w:rPr>
          <w:rFonts w:hint="eastAsia" w:eastAsia="仿宋_GB2312"/>
          <w:sz w:val="34"/>
          <w:szCs w:val="34"/>
          <w:lang w:eastAsia="zh-CN"/>
        </w:rPr>
        <w:t>维护良好社会经济秩序，</w:t>
      </w:r>
      <w:r>
        <w:rPr>
          <w:rFonts w:hint="eastAsia" w:eastAsia="仿宋_GB2312"/>
          <w:sz w:val="34"/>
          <w:szCs w:val="34"/>
        </w:rPr>
        <w:t>增强政府宏观调控和公共服务能力</w:t>
      </w:r>
      <w:r>
        <w:rPr>
          <w:rFonts w:hint="eastAsia" w:eastAsia="仿宋_GB2312"/>
          <w:sz w:val="34"/>
          <w:szCs w:val="34"/>
          <w:lang w:eastAsia="zh-CN"/>
        </w:rPr>
        <w:t>作用。</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outlineLvl w:val="2"/>
        <w:rPr>
          <w:rFonts w:hint="default" w:ascii="Times New Roman" w:hAnsi="Times New Roman" w:eastAsia="楷体_GB2312" w:cs="Times New Roman"/>
          <w:sz w:val="34"/>
          <w:szCs w:val="34"/>
          <w:highlight w:val="none"/>
          <w:lang w:val="en-US" w:eastAsia="zh-CN"/>
        </w:rPr>
      </w:pPr>
      <w:r>
        <w:rPr>
          <w:rFonts w:hint="default" w:ascii="Times New Roman" w:hAnsi="Times New Roman" w:eastAsia="楷体_GB2312" w:cs="Times New Roman"/>
          <w:sz w:val="34"/>
          <w:szCs w:val="34"/>
          <w:highlight w:val="none"/>
        </w:rPr>
        <w:t>（</w:t>
      </w:r>
      <w:r>
        <w:rPr>
          <w:rFonts w:hint="default" w:ascii="Times New Roman" w:hAnsi="Times New Roman" w:eastAsia="楷体_GB2312" w:cs="Times New Roman"/>
          <w:sz w:val="34"/>
          <w:szCs w:val="34"/>
          <w:highlight w:val="none"/>
          <w:lang w:eastAsia="zh-CN"/>
        </w:rPr>
        <w:t>三</w:t>
      </w:r>
      <w:r>
        <w:rPr>
          <w:rFonts w:hint="default" w:ascii="Times New Roman" w:hAnsi="Times New Roman" w:eastAsia="楷体_GB2312" w:cs="Times New Roman"/>
          <w:sz w:val="34"/>
          <w:szCs w:val="34"/>
          <w:highlight w:val="none"/>
        </w:rPr>
        <w:t>）民生项目和资金审计</w:t>
      </w:r>
    </w:p>
    <w:p>
      <w:pPr>
        <w:keepNext w:val="0"/>
        <w:keepLines w:val="0"/>
        <w:pageBreakBefore w:val="0"/>
        <w:widowControl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zh-CN" w:eastAsia="zh-CN"/>
        </w:rPr>
      </w:pPr>
      <w:r>
        <w:rPr>
          <w:rFonts w:hint="default" w:ascii="Times New Roman" w:hAnsi="Times New Roman" w:eastAsia="仿宋_GB2312" w:cs="Times New Roman"/>
          <w:sz w:val="34"/>
          <w:szCs w:val="34"/>
          <w:highlight w:val="none"/>
          <w:lang w:val="en-US" w:eastAsia="zh-CN"/>
        </w:rPr>
        <w:t>重点安排</w:t>
      </w:r>
      <w:r>
        <w:rPr>
          <w:rFonts w:hint="eastAsia" w:ascii="Times New Roman" w:hAnsi="Times New Roman" w:eastAsia="仿宋_GB2312" w:cs="宋体"/>
          <w:sz w:val="34"/>
          <w:szCs w:val="34"/>
          <w:highlight w:val="none"/>
          <w:lang w:val="en-US" w:eastAsia="zh-CN"/>
        </w:rPr>
        <w:t>残疾人权益保障政策落实和资金管理使用情况专项审计调查</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对口支援新疆和田地区东三县资金和项目跟踪审计</w:t>
      </w:r>
      <w:r>
        <w:rPr>
          <w:rFonts w:hint="default" w:ascii="Times New Roman" w:hAnsi="Times New Roman" w:eastAsia="仿宋_GB2312" w:cs="Times New Roman"/>
          <w:sz w:val="34"/>
          <w:szCs w:val="34"/>
          <w:highlight w:val="none"/>
          <w:lang w:val="en-US" w:eastAsia="zh-CN"/>
        </w:rPr>
        <w:t>等</w:t>
      </w:r>
      <w:r>
        <w:rPr>
          <w:rFonts w:hint="eastAsia"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zh-CN" w:eastAsia="zh-CN"/>
        </w:rPr>
        <w:t>个审计项目。</w:t>
      </w:r>
    </w:p>
    <w:p>
      <w:pPr>
        <w:keepNext w:val="0"/>
        <w:keepLines w:val="0"/>
        <w:pageBreakBefore w:val="0"/>
        <w:widowControl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1．</w:t>
      </w:r>
      <w:r>
        <w:rPr>
          <w:rFonts w:hint="eastAsia" w:ascii="Times New Roman" w:hAnsi="Times New Roman" w:eastAsia="仿宋_GB2312" w:cs="宋体"/>
          <w:sz w:val="34"/>
          <w:szCs w:val="34"/>
          <w:highlight w:val="none"/>
          <w:lang w:val="en-US" w:eastAsia="zh-CN"/>
        </w:rPr>
        <w:t>天津市住房维修及配套保障相关政策落实情况专项审计调查。</w:t>
      </w:r>
    </w:p>
    <w:p>
      <w:pPr>
        <w:keepNext w:val="0"/>
        <w:keepLines w:val="0"/>
        <w:pageBreakBefore w:val="0"/>
        <w:widowControl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按照</w:t>
      </w:r>
      <w:r>
        <w:rPr>
          <w:rFonts w:hint="default" w:ascii="Times New Roman" w:hAnsi="Times New Roman" w:eastAsia="仿宋_GB2312" w:cs="Times New Roman"/>
          <w:sz w:val="34"/>
          <w:szCs w:val="34"/>
          <w:highlight w:val="none"/>
          <w:lang w:val="en-US" w:eastAsia="zh-CN"/>
        </w:rPr>
        <w:t>市审计局</w:t>
      </w:r>
      <w:r>
        <w:rPr>
          <w:rFonts w:hint="eastAsia" w:eastAsia="仿宋_GB2312" w:cs="Times New Roman"/>
          <w:sz w:val="34"/>
          <w:szCs w:val="34"/>
          <w:highlight w:val="none"/>
          <w:lang w:val="en-US" w:eastAsia="zh-CN"/>
        </w:rPr>
        <w:t>统一安排</w:t>
      </w:r>
      <w:r>
        <w:rPr>
          <w:rFonts w:hint="default" w:ascii="Times New Roman" w:hAnsi="Times New Roman" w:eastAsia="仿宋_GB2312" w:cs="Times New Roman"/>
          <w:sz w:val="34"/>
          <w:szCs w:val="34"/>
          <w:highlight w:val="none"/>
          <w:lang w:val="en-US" w:eastAsia="zh-CN"/>
        </w:rPr>
        <w:t>，</w:t>
      </w:r>
      <w:r>
        <w:rPr>
          <w:rFonts w:hint="eastAsia" w:ascii="仿宋_GB2312" w:hAnsi="仿宋_GB2312" w:eastAsia="仿宋_GB2312" w:cs="仿宋_GB2312"/>
          <w:sz w:val="34"/>
          <w:szCs w:val="34"/>
          <w:highlight w:val="none"/>
          <w:lang w:val="en-US" w:eastAsia="zh-CN"/>
        </w:rPr>
        <w:t>以促进我市住房维修及配套保障相关政策落实，推动提升物业管理服务水平为目标，重点关注相关政策落实，住房维修资金归集、使用、管理，物业服务监管，电梯、消防和排水等配套公共设备设施管理维护等情况，维护公共安全和公共利益，推动惠民政策落实。</w:t>
      </w:r>
    </w:p>
    <w:p>
      <w:pPr>
        <w:keepNext w:val="0"/>
        <w:keepLines w:val="0"/>
        <w:pageBreakBefore w:val="0"/>
        <w:widowControl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2</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宋体"/>
          <w:sz w:val="34"/>
          <w:szCs w:val="34"/>
          <w:highlight w:val="none"/>
          <w:lang w:val="en-US" w:eastAsia="zh-CN"/>
        </w:rPr>
        <w:t>残疾人权益保障政策落实和资金管理使用情况专项审计调查。</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eastAsia" w:ascii="仿宋_GB2312" w:hAnsi="仿宋_GB2312" w:eastAsia="仿宋_GB2312" w:cs="仿宋_GB2312"/>
          <w:sz w:val="34"/>
          <w:szCs w:val="34"/>
          <w:highlight w:val="none"/>
          <w:lang w:val="en-US" w:eastAsia="zh-CN"/>
        </w:rPr>
      </w:pPr>
      <w:r>
        <w:rPr>
          <w:rFonts w:hint="eastAsia" w:eastAsia="仿宋_GB2312" w:cs="Times New Roman"/>
          <w:sz w:val="34"/>
          <w:szCs w:val="34"/>
          <w:highlight w:val="none"/>
          <w:lang w:val="en-US" w:eastAsia="zh-CN"/>
        </w:rPr>
        <w:t>按照</w:t>
      </w:r>
      <w:r>
        <w:rPr>
          <w:rFonts w:hint="default" w:ascii="Times New Roman" w:hAnsi="Times New Roman" w:eastAsia="仿宋_GB2312" w:cs="Times New Roman"/>
          <w:sz w:val="34"/>
          <w:szCs w:val="34"/>
          <w:highlight w:val="none"/>
          <w:lang w:val="en-US" w:eastAsia="zh-CN"/>
        </w:rPr>
        <w:t>市审计局</w:t>
      </w:r>
      <w:r>
        <w:rPr>
          <w:rFonts w:hint="eastAsia" w:eastAsia="仿宋_GB2312" w:cs="Times New Roman"/>
          <w:sz w:val="34"/>
          <w:szCs w:val="34"/>
          <w:highlight w:val="none"/>
          <w:lang w:val="en-US" w:eastAsia="zh-CN"/>
        </w:rPr>
        <w:t>统一安排</w:t>
      </w:r>
      <w:r>
        <w:rPr>
          <w:rFonts w:hint="default" w:ascii="Times New Roman" w:hAnsi="Times New Roman" w:eastAsia="仿宋_GB2312" w:cs="Times New Roman"/>
          <w:sz w:val="34"/>
          <w:szCs w:val="34"/>
          <w:highlight w:val="none"/>
          <w:lang w:val="en-US" w:eastAsia="zh-CN"/>
        </w:rPr>
        <w:t>，</w:t>
      </w:r>
      <w:r>
        <w:rPr>
          <w:rFonts w:hint="eastAsia" w:ascii="仿宋_GB2312" w:hAnsi="仿宋_GB2312" w:eastAsia="仿宋_GB2312" w:cs="仿宋_GB2312"/>
          <w:sz w:val="34"/>
          <w:szCs w:val="34"/>
          <w:highlight w:val="none"/>
          <w:lang w:val="en-US" w:eastAsia="zh-CN"/>
        </w:rPr>
        <w:t>以完善残疾人社会福利制度和关爱服务体系，助力兜牢残疾人保障底线为目标，重点关注残疾人权益保障和发展规划落实，残疾人就业保障金征收管理、参加社会保险、享受基本生活补贴和基本保障救助等基本生活保障，残疾儿童康复和妇女儿童健康提升、康复机构建设及服务等残疾人康复，残疾人就业帮扶，扶残助学，无障碍环境建设，残疾人关爱服务等情况，助力残疾人社会保障制度和关爱服务体系不断完善，促进残疾人事业全面发展。</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3</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对口支援新疆和田地区东三县资金和项目跟踪审计</w:t>
      </w:r>
      <w:r>
        <w:rPr>
          <w:rFonts w:hint="default" w:ascii="Times New Roman" w:hAnsi="Times New Roman" w:eastAsia="仿宋_GB2312" w:cs="Times New Roman"/>
          <w:sz w:val="34"/>
          <w:szCs w:val="34"/>
          <w:highlight w:val="none"/>
          <w:lang w:val="en-US" w:eastAsia="zh-CN"/>
        </w:rPr>
        <w:t>。</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en-US" w:eastAsia="zh-CN"/>
        </w:rPr>
      </w:pPr>
      <w:r>
        <w:rPr>
          <w:rFonts w:hint="eastAsia" w:eastAsia="仿宋_GB2312" w:cs="Times New Roman"/>
          <w:sz w:val="34"/>
          <w:szCs w:val="34"/>
          <w:highlight w:val="none"/>
          <w:lang w:val="en-US" w:eastAsia="zh-CN"/>
        </w:rPr>
        <w:t>按照</w:t>
      </w:r>
      <w:r>
        <w:rPr>
          <w:rFonts w:hint="default" w:ascii="Times New Roman" w:hAnsi="Times New Roman" w:eastAsia="仿宋_GB2312" w:cs="Times New Roman"/>
          <w:sz w:val="34"/>
          <w:szCs w:val="34"/>
          <w:highlight w:val="none"/>
          <w:lang w:val="en-US" w:eastAsia="zh-CN"/>
        </w:rPr>
        <w:t>市审计局</w:t>
      </w:r>
      <w:r>
        <w:rPr>
          <w:rFonts w:hint="eastAsia" w:eastAsia="仿宋_GB2312" w:cs="Times New Roman"/>
          <w:sz w:val="34"/>
          <w:szCs w:val="34"/>
          <w:highlight w:val="none"/>
          <w:lang w:val="en-US" w:eastAsia="zh-CN"/>
        </w:rPr>
        <w:t>统一安排</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以保障天津援疆政策措施落实到位</w:t>
      </w:r>
      <w:r>
        <w:rPr>
          <w:rFonts w:hint="eastAsia"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充分发挥援疆资金投资效益为目标，重点关注援疆规划实施</w:t>
      </w:r>
      <w:r>
        <w:rPr>
          <w:rFonts w:hint="eastAsia"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2024年9月到2025年8月援疆资金拨付管理和使用绩效</w:t>
      </w:r>
      <w:r>
        <w:rPr>
          <w:rFonts w:hint="eastAsia"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推进项目建设</w:t>
      </w:r>
      <w:r>
        <w:rPr>
          <w:rFonts w:hint="eastAsia" w:eastAsia="仿宋_GB2312" w:cs="Times New Roman"/>
          <w:sz w:val="34"/>
          <w:szCs w:val="34"/>
          <w:highlight w:val="none"/>
          <w:lang w:val="en-US" w:eastAsia="zh-CN"/>
        </w:rPr>
        <w:t>以及</w:t>
      </w:r>
      <w:r>
        <w:rPr>
          <w:rFonts w:hint="eastAsia" w:ascii="Times New Roman" w:hAnsi="Times New Roman" w:eastAsia="仿宋_GB2312" w:cs="Times New Roman"/>
          <w:sz w:val="34"/>
          <w:szCs w:val="34"/>
          <w:highlight w:val="none"/>
          <w:lang w:val="en-US" w:eastAsia="zh-CN"/>
        </w:rPr>
        <w:t>以前年度审计查出问题整改等情况</w:t>
      </w:r>
      <w:r>
        <w:rPr>
          <w:rFonts w:hint="eastAsia" w:eastAsia="仿宋_GB2312" w:cs="Times New Roman"/>
          <w:sz w:val="34"/>
          <w:szCs w:val="34"/>
          <w:highlight w:val="none"/>
          <w:lang w:val="en-US" w:eastAsia="zh-CN"/>
        </w:rPr>
        <w:t>，推进援疆资金投向更加科学精准、管理更加规范、绩效进一步提高。</w:t>
      </w:r>
    </w:p>
    <w:p>
      <w:pPr>
        <w:keepNext w:val="0"/>
        <w:keepLines w:val="0"/>
        <w:pageBreakBefore w:val="0"/>
        <w:tabs>
          <w:tab w:val="left" w:pos="4935"/>
        </w:tabs>
        <w:kinsoku/>
        <w:wordWrap/>
        <w:overflowPunct/>
        <w:topLinePunct w:val="0"/>
        <w:autoSpaceDE/>
        <w:autoSpaceDN/>
        <w:bidi w:val="0"/>
        <w:adjustRightInd w:val="0"/>
        <w:snapToGrid w:val="0"/>
        <w:spacing w:line="588" w:lineRule="exact"/>
        <w:ind w:leftChars="0" w:firstLine="664" w:firstLineChars="200"/>
        <w:textAlignment w:val="auto"/>
        <w:outlineLvl w:val="2"/>
        <w:rPr>
          <w:rFonts w:hint="default" w:ascii="Times New Roman" w:hAnsi="Times New Roman" w:eastAsia="仿宋_GB2312" w:cs="Times New Roman"/>
          <w:sz w:val="34"/>
          <w:szCs w:val="34"/>
          <w:highlight w:val="none"/>
          <w:lang w:val="zh-CN" w:eastAsia="zh-CN"/>
        </w:rPr>
      </w:pPr>
      <w:r>
        <w:rPr>
          <w:rFonts w:hint="eastAsia" w:eastAsia="仿宋_GB2312" w:cs="Times New Roman"/>
          <w:sz w:val="34"/>
          <w:szCs w:val="34"/>
          <w:highlight w:val="none"/>
          <w:lang w:val="en-US" w:eastAsia="zh-CN"/>
        </w:rPr>
        <w:t>4</w:t>
      </w:r>
      <w:r>
        <w:rPr>
          <w:rFonts w:hint="default" w:ascii="Times New Roman" w:hAnsi="Times New Roman" w:eastAsia="仿宋_GB2312" w:cs="Times New Roman"/>
          <w:sz w:val="34"/>
          <w:szCs w:val="34"/>
          <w:highlight w:val="none"/>
          <w:lang w:val="en-US" w:eastAsia="zh-CN"/>
        </w:rPr>
        <w:t>．南开区公用事业服务中心财政收支及运行情况专项审计调查</w:t>
      </w:r>
      <w:r>
        <w:rPr>
          <w:rFonts w:hint="eastAsia" w:eastAsia="仿宋_GB2312" w:cs="Times New Roman"/>
          <w:sz w:val="34"/>
          <w:szCs w:val="34"/>
          <w:highlight w:val="none"/>
          <w:lang w:val="en-US" w:eastAsia="zh-CN"/>
        </w:rPr>
        <w:t>。</w:t>
      </w:r>
    </w:p>
    <w:p>
      <w:pPr>
        <w:keepNext w:val="0"/>
        <w:keepLines w:val="0"/>
        <w:pageBreakBefore w:val="0"/>
        <w:widowControl w:val="0"/>
        <w:numPr>
          <w:ilvl w:val="0"/>
          <w:numId w:val="0"/>
        </w:numPr>
        <w:tabs>
          <w:tab w:val="left" w:pos="4935"/>
        </w:tabs>
        <w:kinsoku/>
        <w:wordWrap/>
        <w:overflowPunct/>
        <w:topLinePunct w:val="0"/>
        <w:autoSpaceDE/>
        <w:autoSpaceDN/>
        <w:bidi w:val="0"/>
        <w:adjustRightInd w:val="0"/>
        <w:snapToGrid w:val="0"/>
        <w:spacing w:line="588" w:lineRule="exact"/>
        <w:ind w:leftChars="0" w:firstLine="664" w:firstLineChars="200"/>
        <w:textAlignment w:val="auto"/>
        <w:outlineLvl w:val="2"/>
        <w:rPr>
          <w:rFonts w:hint="eastAsia" w:eastAsia="仿宋_GB2312"/>
          <w:i w:val="0"/>
          <w:iCs w:val="0"/>
          <w:sz w:val="34"/>
          <w:szCs w:val="34"/>
          <w:lang w:val="en-US" w:eastAsia="zh-CN"/>
        </w:rPr>
      </w:pPr>
      <w:r>
        <w:rPr>
          <w:rFonts w:hint="eastAsia" w:eastAsia="仿宋_GB2312"/>
          <w:i w:val="0"/>
          <w:iCs w:val="0"/>
          <w:sz w:val="34"/>
          <w:szCs w:val="34"/>
          <w:lang w:val="en-US" w:eastAsia="zh-CN"/>
        </w:rPr>
        <w:t>聚焦社会关心和群众关注，从政策、业务、资金三条主线入手，结合事权划分、转移支付资金情况，重点</w:t>
      </w:r>
      <w:r>
        <w:rPr>
          <w:rFonts w:hint="eastAsia" w:eastAsia="仿宋_GB2312"/>
          <w:color w:val="000000"/>
          <w:sz w:val="34"/>
          <w:szCs w:val="34"/>
          <w:lang w:val="en-US" w:eastAsia="zh-CN"/>
        </w:rPr>
        <w:t>关注</w:t>
      </w:r>
      <w:r>
        <w:rPr>
          <w:rFonts w:hint="eastAsia" w:eastAsia="仿宋_GB2312"/>
          <w:i w:val="0"/>
          <w:iCs w:val="0"/>
          <w:sz w:val="34"/>
          <w:szCs w:val="34"/>
          <w:lang w:val="en-US" w:eastAsia="zh-CN"/>
        </w:rPr>
        <w:t>市政设施服务、城市管理服务、河长制管理</w:t>
      </w:r>
      <w:r>
        <w:rPr>
          <w:rFonts w:hint="eastAsia" w:eastAsia="仿宋_GB2312"/>
          <w:color w:val="000000"/>
          <w:sz w:val="34"/>
          <w:szCs w:val="34"/>
          <w:lang w:val="en-US" w:eastAsia="zh-CN"/>
        </w:rPr>
        <w:t>等情况，强化对科所站队的审计监督力度，助推全区城市精细化管理和城市品质提升。</w:t>
      </w:r>
    </w:p>
    <w:p>
      <w:pPr>
        <w:keepNext w:val="0"/>
        <w:keepLines w:val="0"/>
        <w:pageBreakBefore w:val="0"/>
        <w:widowControl/>
        <w:kinsoku/>
        <w:wordWrap/>
        <w:overflowPunct/>
        <w:topLinePunct w:val="0"/>
        <w:autoSpaceDE/>
        <w:autoSpaceDN/>
        <w:bidi w:val="0"/>
        <w:spacing w:line="588" w:lineRule="exact"/>
        <w:ind w:left="0" w:leftChars="0" w:firstLine="664" w:firstLineChars="200"/>
        <w:textAlignment w:val="auto"/>
        <w:outlineLvl w:val="2"/>
        <w:rPr>
          <w:rFonts w:hint="default" w:ascii="Times New Roman" w:hAnsi="Times New Roman" w:eastAsia="楷体_GB2312" w:cs="Times New Roman"/>
          <w:sz w:val="34"/>
          <w:szCs w:val="34"/>
          <w:highlight w:val="none"/>
        </w:rPr>
      </w:pPr>
      <w:r>
        <w:rPr>
          <w:rFonts w:hint="default" w:ascii="Times New Roman" w:hAnsi="Times New Roman" w:eastAsia="楷体_GB2312" w:cs="Times New Roman"/>
          <w:sz w:val="34"/>
          <w:szCs w:val="34"/>
          <w:highlight w:val="none"/>
        </w:rPr>
        <w:t>（</w:t>
      </w:r>
      <w:r>
        <w:rPr>
          <w:rFonts w:hint="eastAsia" w:eastAsia="楷体_GB2312" w:cs="Times New Roman"/>
          <w:sz w:val="34"/>
          <w:szCs w:val="34"/>
          <w:highlight w:val="none"/>
          <w:lang w:eastAsia="zh-CN"/>
        </w:rPr>
        <w:t>四</w:t>
      </w:r>
      <w:r>
        <w:rPr>
          <w:rFonts w:hint="default" w:ascii="Times New Roman" w:hAnsi="Times New Roman" w:eastAsia="楷体_GB2312" w:cs="Times New Roman"/>
          <w:sz w:val="34"/>
          <w:szCs w:val="34"/>
          <w:highlight w:val="none"/>
        </w:rPr>
        <w:t>）党政领导干部经济责任审计</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zh-CN" w:eastAsia="zh-CN"/>
        </w:rPr>
      </w:pPr>
      <w:r>
        <w:rPr>
          <w:rFonts w:hint="default" w:ascii="Times New Roman" w:hAnsi="Times New Roman" w:eastAsia="仿宋_GB2312" w:cs="Times New Roman"/>
          <w:sz w:val="34"/>
          <w:szCs w:val="34"/>
          <w:highlight w:val="none"/>
          <w:lang w:val="zh-CN" w:eastAsia="zh-CN"/>
        </w:rPr>
        <w:t>以强化干部管理监督，促进领导干部履职尽责、担当作为、廉洁用权为目标，重点关注贯彻执行党中央国务院重大决策部署和市委市政府</w:t>
      </w:r>
      <w:r>
        <w:rPr>
          <w:rFonts w:hint="eastAsia" w:eastAsia="仿宋_GB2312" w:cs="Times New Roman"/>
          <w:sz w:val="34"/>
          <w:szCs w:val="34"/>
          <w:highlight w:val="none"/>
          <w:lang w:val="zh-CN" w:eastAsia="zh-CN"/>
        </w:rPr>
        <w:t>、</w:t>
      </w:r>
      <w:r>
        <w:rPr>
          <w:rFonts w:hint="default" w:ascii="Times New Roman" w:hAnsi="Times New Roman" w:eastAsia="仿宋_GB2312" w:cs="Times New Roman"/>
          <w:sz w:val="34"/>
          <w:szCs w:val="34"/>
          <w:highlight w:val="none"/>
          <w:lang w:val="zh-CN" w:eastAsia="zh-CN"/>
        </w:rPr>
        <w:t>区委区政府工作要求，本部门（单位）重要发展规划和政策措施制定、执行和效果，重大经济事项决策、执行和效果，财政财务管理和经济风险防范，国有资产管理，在经济活动中落实党风廉政建设责任和遵守廉洁从政规定，以前年度审计查出问题整改等情况。</w:t>
      </w:r>
      <w:r>
        <w:rPr>
          <w:rFonts w:hint="eastAsia" w:eastAsia="仿宋_GB2312" w:cs="Times New Roman"/>
          <w:sz w:val="34"/>
          <w:szCs w:val="34"/>
          <w:highlight w:val="none"/>
          <w:lang w:val="zh-CN" w:eastAsia="zh-CN"/>
        </w:rPr>
        <w:t>对领导干部任职履职情况进行“精准画像”，</w:t>
      </w:r>
      <w:r>
        <w:rPr>
          <w:rFonts w:hint="default" w:ascii="Times New Roman" w:hAnsi="Times New Roman" w:eastAsia="仿宋_GB2312" w:cs="Times New Roman"/>
          <w:sz w:val="34"/>
          <w:szCs w:val="34"/>
          <w:highlight w:val="none"/>
          <w:lang w:val="zh-CN" w:eastAsia="zh-CN"/>
        </w:rPr>
        <w:t>充分发挥经济责任审计工作在推进全面从严治党、强化干部监督管理、服务经济社会发展等方面的监督作用。</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zh-CN" w:eastAsia="zh-CN"/>
        </w:rPr>
      </w:pPr>
      <w:r>
        <w:rPr>
          <w:rFonts w:hint="default" w:ascii="Times New Roman" w:hAnsi="Times New Roman" w:eastAsia="仿宋_GB2312" w:cs="Times New Roman"/>
          <w:sz w:val="34"/>
          <w:szCs w:val="34"/>
          <w:highlight w:val="none"/>
          <w:lang w:val="zh-CN" w:eastAsia="zh-CN"/>
        </w:rPr>
        <w:t>计划对本区</w:t>
      </w:r>
      <w:r>
        <w:rPr>
          <w:rFonts w:hint="default" w:ascii="Times New Roman" w:hAnsi="Times New Roman" w:eastAsia="仿宋_GB2312" w:cs="Times New Roman"/>
          <w:sz w:val="34"/>
          <w:szCs w:val="34"/>
          <w:highlight w:val="none"/>
          <w:lang w:val="en-US" w:eastAsia="zh-CN"/>
        </w:rPr>
        <w:t>5个单位</w:t>
      </w:r>
      <w:r>
        <w:rPr>
          <w:rFonts w:hint="default" w:ascii="Times New Roman" w:hAnsi="Times New Roman" w:eastAsia="仿宋_GB2312" w:cs="Times New Roman"/>
          <w:sz w:val="34"/>
          <w:szCs w:val="34"/>
          <w:highlight w:val="none"/>
          <w:lang w:val="zh-CN" w:eastAsia="zh-CN"/>
        </w:rPr>
        <w:t>主要领导干部进行经济责任审计。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left="0" w:leftChars="0" w:right="0" w:rightChars="0" w:firstLine="664" w:firstLineChars="200"/>
        <w:jc w:val="both"/>
        <w:textAlignment w:val="auto"/>
        <w:outlineLvl w:val="2"/>
        <w:rPr>
          <w:rFonts w:hint="default" w:ascii="Times New Roman" w:hAnsi="Times New Roman" w:eastAsia="楷体_GB2312" w:cs="Times New Roman"/>
          <w:sz w:val="34"/>
          <w:szCs w:val="34"/>
          <w:highlight w:val="none"/>
          <w:lang w:val="en" w:eastAsia="zh-CN"/>
        </w:rPr>
      </w:pPr>
      <w:r>
        <w:rPr>
          <w:rFonts w:hint="default" w:ascii="Times New Roman" w:hAnsi="Times New Roman" w:eastAsia="楷体_GB2312" w:cs="Times New Roman"/>
          <w:sz w:val="34"/>
          <w:szCs w:val="34"/>
          <w:highlight w:val="none"/>
          <w:lang w:eastAsia="zh-CN"/>
        </w:rPr>
        <w:t>（</w:t>
      </w:r>
      <w:r>
        <w:rPr>
          <w:rFonts w:hint="eastAsia" w:eastAsia="楷体_GB2312" w:cs="Times New Roman"/>
          <w:sz w:val="34"/>
          <w:szCs w:val="34"/>
          <w:highlight w:val="none"/>
          <w:lang w:eastAsia="zh-CN"/>
        </w:rPr>
        <w:t>五</w:t>
      </w:r>
      <w:r>
        <w:rPr>
          <w:rFonts w:hint="default" w:ascii="Times New Roman" w:hAnsi="Times New Roman" w:eastAsia="楷体_GB2312" w:cs="Times New Roman"/>
          <w:sz w:val="34"/>
          <w:szCs w:val="34"/>
          <w:highlight w:val="none"/>
          <w:lang w:eastAsia="zh-CN"/>
        </w:rPr>
        <w:t>）区委、区政府交办事项审计</w:t>
      </w:r>
    </w:p>
    <w:p>
      <w:pPr>
        <w:keepNext w:val="0"/>
        <w:keepLines w:val="0"/>
        <w:pageBreakBefore w:val="0"/>
        <w:kinsoku/>
        <w:wordWrap/>
        <w:overflowPunct/>
        <w:topLinePunct w:val="0"/>
        <w:autoSpaceDE/>
        <w:autoSpaceDN/>
        <w:bidi w:val="0"/>
        <w:spacing w:line="588" w:lineRule="exact"/>
        <w:ind w:leftChars="0" w:firstLine="664" w:firstLineChars="200"/>
        <w:textAlignment w:val="auto"/>
        <w:rPr>
          <w:rFonts w:hint="default" w:ascii="Times New Roman" w:hAnsi="Times New Roman" w:cs="Times New Roman"/>
          <w:sz w:val="34"/>
          <w:szCs w:val="34"/>
          <w:highlight w:val="none"/>
          <w:lang w:val="zh-CN" w:eastAsia="zh-CN"/>
        </w:rPr>
      </w:pPr>
      <w:r>
        <w:rPr>
          <w:rFonts w:hint="default" w:ascii="Times New Roman" w:hAnsi="Times New Roman" w:eastAsia="仿宋_GB2312" w:cs="Times New Roman"/>
          <w:sz w:val="34"/>
          <w:szCs w:val="34"/>
          <w:highlight w:val="none"/>
          <w:lang w:val="zh-CN" w:eastAsia="zh-CN"/>
        </w:rPr>
        <w:t>按照区委、区政府部署要求，认真完成</w:t>
      </w:r>
      <w:r>
        <w:rPr>
          <w:rFonts w:hint="eastAsia" w:eastAsia="仿宋_GB2312" w:cs="Times New Roman"/>
          <w:sz w:val="34"/>
          <w:szCs w:val="34"/>
          <w:highlight w:val="none"/>
          <w:lang w:val="zh-CN" w:eastAsia="zh-CN"/>
        </w:rPr>
        <w:t>交办事项审计</w:t>
      </w:r>
      <w:r>
        <w:rPr>
          <w:rFonts w:hint="default" w:ascii="Times New Roman" w:hAnsi="Times New Roman" w:eastAsia="仿宋_GB2312" w:cs="Times New Roman"/>
          <w:sz w:val="34"/>
          <w:szCs w:val="34"/>
          <w:highlight w:val="none"/>
          <w:lang w:val="zh-CN" w:eastAsia="zh-CN"/>
        </w:rPr>
        <w:t>，</w:t>
      </w:r>
      <w:r>
        <w:rPr>
          <w:rFonts w:hint="eastAsia" w:eastAsia="仿宋_GB2312" w:cs="Times New Roman"/>
          <w:sz w:val="34"/>
          <w:szCs w:val="34"/>
          <w:highlight w:val="none"/>
          <w:lang w:val="zh-CN" w:eastAsia="zh-CN"/>
        </w:rPr>
        <w:t>服务南开区经济社会高质量发展。</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outlineLvl w:val="1"/>
        <w:rPr>
          <w:rFonts w:hint="default" w:ascii="Times New Roman" w:hAnsi="Times New Roman" w:eastAsia="黑体" w:cs="Times New Roman"/>
          <w:sz w:val="34"/>
          <w:szCs w:val="34"/>
          <w:highlight w:val="none"/>
        </w:rPr>
      </w:pPr>
      <w:r>
        <w:rPr>
          <w:rFonts w:hint="default" w:ascii="Times New Roman" w:hAnsi="Times New Roman" w:eastAsia="黑体" w:cs="Times New Roman"/>
          <w:sz w:val="34"/>
          <w:szCs w:val="34"/>
          <w:highlight w:val="none"/>
        </w:rPr>
        <w:t>三、工作要求</w:t>
      </w:r>
    </w:p>
    <w:p>
      <w:pPr>
        <w:keepNext w:val="0"/>
        <w:keepLines w:val="0"/>
        <w:pageBreakBefore w:val="0"/>
        <w:kinsoku/>
        <w:wordWrap/>
        <w:overflowPunct/>
        <w:topLinePunct w:val="0"/>
        <w:autoSpaceDE/>
        <w:autoSpaceDN/>
        <w:bidi w:val="0"/>
        <w:adjustRightInd w:val="0"/>
        <w:snapToGrid w:val="0"/>
        <w:spacing w:line="588" w:lineRule="exact"/>
        <w:ind w:leftChars="0" w:firstLine="664" w:firstLineChars="200"/>
        <w:textAlignment w:val="auto"/>
        <w:rPr>
          <w:rFonts w:hint="default" w:ascii="Times New Roman" w:hAnsi="Times New Roman" w:eastAsia="仿宋_GB2312" w:cs="Times New Roman"/>
          <w:sz w:val="34"/>
          <w:szCs w:val="34"/>
          <w:highlight w:val="none"/>
          <w:lang w:val="zh-CN" w:eastAsia="zh-CN"/>
        </w:rPr>
      </w:pPr>
      <w:r>
        <w:rPr>
          <w:rFonts w:hint="default" w:ascii="Times New Roman" w:hAnsi="Times New Roman" w:eastAsia="楷体_GB2312" w:cs="Times New Roman"/>
          <w:sz w:val="34"/>
          <w:szCs w:val="34"/>
          <w:highlight w:val="none"/>
        </w:rPr>
        <w:t>（一）强化政治属性，提高政治站位。</w:t>
      </w:r>
      <w:r>
        <w:rPr>
          <w:rFonts w:hint="default" w:ascii="Times New Roman" w:hAnsi="Times New Roman" w:eastAsia="仿宋_GB2312" w:cs="Times New Roman"/>
          <w:sz w:val="34"/>
          <w:szCs w:val="34"/>
          <w:highlight w:val="none"/>
          <w:lang w:val="zh-CN" w:eastAsia="zh-CN"/>
        </w:rPr>
        <w:t>要注重增强政治敏锐度和判断力，始终站在服务</w:t>
      </w:r>
      <w:r>
        <w:rPr>
          <w:rFonts w:hint="eastAsia" w:eastAsia="仿宋_GB2312" w:cs="Times New Roman"/>
          <w:sz w:val="34"/>
          <w:szCs w:val="34"/>
          <w:highlight w:val="none"/>
          <w:lang w:val="zh-CN" w:eastAsia="zh-CN"/>
        </w:rPr>
        <w:t>全区</w:t>
      </w:r>
      <w:r>
        <w:rPr>
          <w:rFonts w:hint="default" w:ascii="Times New Roman" w:hAnsi="Times New Roman" w:eastAsia="仿宋_GB2312" w:cs="Times New Roman"/>
          <w:sz w:val="34"/>
          <w:szCs w:val="34"/>
          <w:highlight w:val="none"/>
          <w:lang w:val="zh-CN" w:eastAsia="zh-CN"/>
        </w:rPr>
        <w:t>经济社会发展全局的高度思考谋划审计工作，切实当好党之利器、国之利器。要深刻把握党的十九大以来审计工作取得的历史性成就、发生的历史性变革，深刻把握做好新时代新征程审计工作总的要求，深刻把握全年审计工作重点任务，真正做到如臂使指、如影随形、如雷贯耳，牢固树立“出成果就是最大的讲政治”意识，以高质量审计工作保障高质量发展。发扬斗争精神，增强斗争本领，坚持查真相、说真话、报实情，敢于较真碰硬，努力打造经济监督的“特种部队”。</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rPr>
          <w:rFonts w:hint="default" w:ascii="Times New Roman" w:hAnsi="Times New Roman" w:eastAsia="仿宋_GB2312" w:cs="Times New Roman"/>
          <w:sz w:val="34"/>
          <w:szCs w:val="34"/>
          <w:highlight w:val="none"/>
          <w:lang w:eastAsia="zh-CN"/>
        </w:rPr>
      </w:pPr>
      <w:r>
        <w:rPr>
          <w:rFonts w:hint="default" w:ascii="Times New Roman" w:hAnsi="Times New Roman" w:eastAsia="楷体_GB2312" w:cs="Times New Roman"/>
          <w:sz w:val="34"/>
          <w:szCs w:val="34"/>
          <w:highlight w:val="none"/>
        </w:rPr>
        <w:t>（二）加强审计研究，</w:t>
      </w:r>
      <w:r>
        <w:rPr>
          <w:rFonts w:hint="default" w:ascii="Times New Roman" w:hAnsi="Times New Roman" w:eastAsia="楷体_GB2312" w:cs="Times New Roman"/>
          <w:sz w:val="34"/>
          <w:szCs w:val="34"/>
          <w:highlight w:val="none"/>
          <w:lang w:eastAsia="zh-CN"/>
        </w:rPr>
        <w:t>提升审计质量</w:t>
      </w:r>
      <w:r>
        <w:rPr>
          <w:rFonts w:hint="default" w:ascii="Times New Roman" w:hAnsi="Times New Roman" w:eastAsia="楷体_GB2312" w:cs="Times New Roman"/>
          <w:sz w:val="34"/>
          <w:szCs w:val="34"/>
          <w:highlight w:val="none"/>
        </w:rPr>
        <w:t>。</w:t>
      </w:r>
      <w:r>
        <w:rPr>
          <w:rFonts w:hint="default" w:ascii="Times New Roman" w:hAnsi="Times New Roman" w:eastAsia="仿宋_GB2312" w:cs="Times New Roman"/>
          <w:sz w:val="34"/>
          <w:szCs w:val="34"/>
          <w:highlight w:val="none"/>
          <w:lang w:eastAsia="zh-CN"/>
        </w:rPr>
        <w:t>要沿着“政治—政策—项目—资金”研究立项、谋划实施，沿着“资金—项目—政策—政治”分析提炼，提出建议，做到一条主线双向贯通、首尾循环、正反可逆，提升审计监督的精准性、有效性。要持续做好审前研究谋划，围绕推动高质量发展，按照立项阶段确定的方向，进一步细化审计重点，扎实做好审计工作方案，确保实现预期成果。要加强对审计发现问题、审计建议的研究，确保审计结论客观公正，审计结果经得起检验。</w:t>
      </w:r>
    </w:p>
    <w:p>
      <w:pPr>
        <w:keepNext w:val="0"/>
        <w:keepLines w:val="0"/>
        <w:pageBreakBefore w:val="0"/>
        <w:kinsoku/>
        <w:wordWrap/>
        <w:overflowPunct/>
        <w:topLinePunct w:val="0"/>
        <w:autoSpaceDE/>
        <w:autoSpaceDN/>
        <w:bidi w:val="0"/>
        <w:spacing w:line="588" w:lineRule="exact"/>
        <w:ind w:left="0" w:leftChars="0" w:firstLine="664" w:firstLineChars="200"/>
        <w:textAlignment w:val="auto"/>
        <w:rPr>
          <w:rFonts w:hint="default" w:ascii="Times New Roman" w:hAnsi="Times New Roman" w:eastAsia="仿宋_GB2312" w:cs="Times New Roman"/>
          <w:sz w:val="34"/>
          <w:szCs w:val="34"/>
          <w:highlight w:val="none"/>
          <w:lang w:eastAsia="zh-CN"/>
        </w:rPr>
      </w:pPr>
      <w:r>
        <w:rPr>
          <w:rFonts w:hint="eastAsia" w:ascii="Times New Roman" w:hAnsi="Times New Roman" w:eastAsia="楷体_GB2312" w:cs="Times New Roman"/>
          <w:sz w:val="34"/>
          <w:szCs w:val="34"/>
          <w:highlight w:val="none"/>
          <w:lang w:val="en-US" w:eastAsia="zh-CN"/>
        </w:rPr>
        <w:t>（三）</w:t>
      </w:r>
      <w:r>
        <w:rPr>
          <w:rFonts w:hint="default" w:ascii="Times New Roman" w:hAnsi="Times New Roman" w:eastAsia="楷体_GB2312" w:cs="Times New Roman"/>
          <w:sz w:val="34"/>
          <w:szCs w:val="34"/>
          <w:highlight w:val="none"/>
        </w:rPr>
        <w:t>加强全流程质量控制，</w:t>
      </w:r>
      <w:r>
        <w:rPr>
          <w:rFonts w:hint="default" w:ascii="Times New Roman" w:hAnsi="Times New Roman" w:eastAsia="楷体_GB2312" w:cs="Times New Roman"/>
          <w:sz w:val="34"/>
          <w:szCs w:val="34"/>
          <w:highlight w:val="none"/>
          <w:lang w:eastAsia="zh-CN"/>
        </w:rPr>
        <w:t>增强</w:t>
      </w:r>
      <w:r>
        <w:rPr>
          <w:rFonts w:hint="default" w:ascii="Times New Roman" w:hAnsi="Times New Roman" w:eastAsia="楷体_GB2312" w:cs="Times New Roman"/>
          <w:sz w:val="34"/>
          <w:szCs w:val="34"/>
          <w:highlight w:val="none"/>
        </w:rPr>
        <w:t>审计</w:t>
      </w:r>
      <w:r>
        <w:rPr>
          <w:rFonts w:hint="default" w:ascii="Times New Roman" w:hAnsi="Times New Roman" w:eastAsia="楷体_GB2312" w:cs="Times New Roman"/>
          <w:sz w:val="34"/>
          <w:szCs w:val="34"/>
          <w:highlight w:val="none"/>
          <w:lang w:eastAsia="zh-CN"/>
        </w:rPr>
        <w:t>效能</w:t>
      </w:r>
      <w:r>
        <w:rPr>
          <w:rFonts w:hint="default" w:ascii="Times New Roman" w:hAnsi="Times New Roman" w:eastAsia="楷体_GB2312" w:cs="Times New Roman"/>
          <w:sz w:val="34"/>
          <w:szCs w:val="34"/>
          <w:highlight w:val="none"/>
        </w:rPr>
        <w:t>。</w:t>
      </w:r>
      <w:r>
        <w:rPr>
          <w:rFonts w:hint="eastAsia" w:eastAsia="仿宋_GB2312" w:cs="Times New Roman"/>
          <w:sz w:val="34"/>
          <w:szCs w:val="34"/>
          <w:highlight w:val="none"/>
          <w:lang w:val="en-US" w:eastAsia="zh-CN"/>
        </w:rPr>
        <w:t>要</w:t>
      </w:r>
      <w:r>
        <w:rPr>
          <w:rFonts w:hint="default" w:ascii="Times New Roman" w:hAnsi="Times New Roman" w:eastAsia="仿宋_GB2312" w:cs="Times New Roman"/>
          <w:sz w:val="34"/>
          <w:szCs w:val="34"/>
          <w:highlight w:val="none"/>
          <w:lang w:eastAsia="zh-CN"/>
        </w:rPr>
        <w:t>有效发挥审计项目计划的“龙头”和引领作用，</w:t>
      </w:r>
      <w:r>
        <w:rPr>
          <w:rFonts w:hint="eastAsia" w:eastAsia="仿宋_GB2312" w:cs="Times New Roman"/>
          <w:sz w:val="34"/>
          <w:szCs w:val="34"/>
          <w:highlight w:val="none"/>
          <w:lang w:eastAsia="zh-CN"/>
        </w:rPr>
        <w:t>强化审前调研，规范审计流程，强化</w:t>
      </w:r>
      <w:r>
        <w:rPr>
          <w:rFonts w:hint="default" w:ascii="Times New Roman" w:hAnsi="Times New Roman" w:eastAsia="仿宋_GB2312" w:cs="Times New Roman"/>
          <w:sz w:val="34"/>
          <w:szCs w:val="34"/>
          <w:highlight w:val="none"/>
          <w:lang w:eastAsia="zh-CN"/>
        </w:rPr>
        <w:t>审计现场管理，严格</w:t>
      </w:r>
      <w:r>
        <w:rPr>
          <w:rFonts w:hint="eastAsia" w:ascii="Times New Roman" w:hAnsi="Times New Roman" w:eastAsia="仿宋_GB2312" w:cs="仿宋_GB2312"/>
          <w:b w:val="0"/>
          <w:spacing w:val="-6"/>
          <w:kern w:val="2"/>
          <w:sz w:val="34"/>
          <w:szCs w:val="34"/>
          <w:highlight w:val="none"/>
          <w:lang w:val="en-US" w:eastAsia="zh-CN" w:bidi="ar"/>
        </w:rPr>
        <w:t>控制</w:t>
      </w:r>
      <w:r>
        <w:rPr>
          <w:rFonts w:hint="default" w:ascii="Times New Roman" w:hAnsi="Times New Roman" w:eastAsia="仿宋_GB2312" w:cs="Times New Roman"/>
          <w:sz w:val="34"/>
          <w:szCs w:val="34"/>
          <w:highlight w:val="none"/>
          <w:lang w:eastAsia="zh-CN"/>
        </w:rPr>
        <w:t>审计项目</w:t>
      </w:r>
      <w:r>
        <w:rPr>
          <w:rFonts w:hint="eastAsia" w:eastAsia="仿宋_GB2312" w:cs="Times New Roman"/>
          <w:sz w:val="34"/>
          <w:szCs w:val="34"/>
          <w:highlight w:val="none"/>
          <w:lang w:eastAsia="zh-CN"/>
        </w:rPr>
        <w:t>各环节</w:t>
      </w:r>
      <w:r>
        <w:rPr>
          <w:rFonts w:hint="default" w:ascii="Times New Roman" w:hAnsi="Times New Roman" w:eastAsia="仿宋_GB2312" w:cs="Times New Roman"/>
          <w:sz w:val="34"/>
          <w:szCs w:val="34"/>
          <w:highlight w:val="none"/>
          <w:lang w:eastAsia="zh-CN"/>
        </w:rPr>
        <w:t>时间节点，</w:t>
      </w:r>
      <w:r>
        <w:rPr>
          <w:rFonts w:hint="eastAsia" w:eastAsia="仿宋_GB2312" w:cs="Times New Roman"/>
          <w:sz w:val="34"/>
          <w:szCs w:val="34"/>
          <w:highlight w:val="none"/>
          <w:lang w:eastAsia="zh-CN"/>
        </w:rPr>
        <w:t>加强复核审理，</w:t>
      </w:r>
      <w:r>
        <w:rPr>
          <w:rFonts w:hint="default" w:ascii="Times New Roman" w:hAnsi="Times New Roman" w:eastAsia="仿宋_GB2312" w:cs="Times New Roman"/>
          <w:sz w:val="34"/>
          <w:szCs w:val="34"/>
          <w:highlight w:val="none"/>
          <w:lang w:eastAsia="zh-CN"/>
        </w:rPr>
        <w:t>落实审计质量分级负责制，切实防范审计风险</w:t>
      </w:r>
      <w:r>
        <w:rPr>
          <w:rFonts w:hint="eastAsia"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eastAsia="zh-CN"/>
        </w:rPr>
        <w:t>要及时开展项目后评估，总结经验、查找不足、分析得失，持续提高审计质效</w:t>
      </w:r>
      <w:r>
        <w:rPr>
          <w:rFonts w:hint="eastAsia" w:eastAsia="仿宋_GB2312" w:cs="Times New Roman"/>
          <w:sz w:val="34"/>
          <w:szCs w:val="34"/>
          <w:highlight w:val="none"/>
          <w:lang w:eastAsia="zh-CN"/>
        </w:rPr>
        <w:t>，千锤万凿打造优秀审计项目</w:t>
      </w:r>
      <w:r>
        <w:rPr>
          <w:rFonts w:hint="default" w:ascii="Times New Roman" w:hAnsi="Times New Roman" w:eastAsia="仿宋_GB2312" w:cs="Times New Roman"/>
          <w:sz w:val="34"/>
          <w:szCs w:val="34"/>
          <w:highlight w:val="none"/>
          <w:lang w:eastAsia="zh-CN"/>
        </w:rPr>
        <w:t>。</w:t>
      </w:r>
    </w:p>
    <w:p>
      <w:pPr>
        <w:keepNext w:val="0"/>
        <w:keepLines w:val="0"/>
        <w:pageBreakBefore w:val="0"/>
        <w:widowControl w:val="0"/>
        <w:kinsoku/>
        <w:wordWrap/>
        <w:overflowPunct/>
        <w:topLinePunct w:val="0"/>
        <w:autoSpaceDE/>
        <w:autoSpaceDN/>
        <w:bidi w:val="0"/>
        <w:spacing w:line="588" w:lineRule="exact"/>
        <w:ind w:firstLine="664" w:firstLineChars="200"/>
        <w:textAlignment w:val="auto"/>
        <w:rPr>
          <w:rFonts w:hint="eastAsia" w:eastAsia="仿宋_GB2312" w:cs="Times New Roman"/>
          <w:sz w:val="34"/>
          <w:szCs w:val="34"/>
          <w:highlight w:val="none"/>
          <w:lang w:val="en-US" w:eastAsia="zh-CN"/>
        </w:rPr>
      </w:pPr>
      <w:r>
        <w:rPr>
          <w:rFonts w:hint="eastAsia" w:ascii="Times New Roman" w:hAnsi="Times New Roman" w:eastAsia="楷体_GB2312" w:cs="Times New Roman"/>
          <w:sz w:val="34"/>
          <w:szCs w:val="34"/>
          <w:highlight w:val="none"/>
          <w:lang w:val="en-US" w:eastAsia="zh-CN"/>
        </w:rPr>
        <w:t>（四）用好网格化治理机制</w:t>
      </w:r>
      <w:r>
        <w:rPr>
          <w:rFonts w:hint="eastAsia" w:eastAsia="楷体_GB2312" w:cs="Times New Roman"/>
          <w:sz w:val="34"/>
          <w:szCs w:val="34"/>
          <w:highlight w:val="none"/>
          <w:lang w:val="en-US" w:eastAsia="zh-CN"/>
        </w:rPr>
        <w:t>，强化源头治理</w:t>
      </w:r>
      <w:r>
        <w:rPr>
          <w:rFonts w:hint="eastAsia" w:ascii="Times New Roman" w:hAnsi="Times New Roman" w:eastAsia="楷体_GB2312" w:cs="Times New Roman"/>
          <w:sz w:val="34"/>
          <w:szCs w:val="34"/>
          <w:highlight w:val="none"/>
          <w:lang w:val="en-US" w:eastAsia="zh-CN"/>
        </w:rPr>
        <w:t>。</w:t>
      </w:r>
      <w:r>
        <w:rPr>
          <w:rFonts w:hint="eastAsia" w:eastAsia="仿宋_GB2312" w:cs="Times New Roman"/>
          <w:sz w:val="34"/>
          <w:szCs w:val="34"/>
          <w:highlight w:val="none"/>
          <w:lang w:val="en-US" w:eastAsia="zh-CN"/>
        </w:rPr>
        <w:t>要把经济安全审计监督网格化治理机制贯穿审计项目始终，持续用好网格化治理工具，着力在推动“人防、自防、智防、心防”上谋招法、下功夫、见成效，构建“区委审计委员会主导、区审计局牵头、主管部门负责、各单位联动”的全方位一盘棋审计工作格局，推动网格化机制各项工作与审计项目组织实施既深度融合，又相互补台配合，不断提高审计监督整体效能。</w:t>
      </w:r>
    </w:p>
    <w:p>
      <w:pPr>
        <w:keepNext w:val="0"/>
        <w:keepLines w:val="0"/>
        <w:pageBreakBefore w:val="0"/>
        <w:widowControl w:val="0"/>
        <w:kinsoku/>
        <w:wordWrap/>
        <w:overflowPunct/>
        <w:topLinePunct w:val="0"/>
        <w:autoSpaceDE/>
        <w:autoSpaceDN/>
        <w:bidi w:val="0"/>
        <w:spacing w:line="588" w:lineRule="exact"/>
        <w:ind w:firstLine="664" w:firstLineChars="200"/>
        <w:textAlignment w:val="auto"/>
        <w:rPr>
          <w:rFonts w:hint="default" w:ascii="Times New Roman" w:hAnsi="Times New Roman" w:eastAsia="仿宋_GB2312" w:cs="Times New Roman"/>
          <w:sz w:val="34"/>
          <w:szCs w:val="34"/>
          <w:highlight w:val="none"/>
          <w:lang w:eastAsia="zh-CN"/>
        </w:rPr>
      </w:pPr>
      <w:r>
        <w:rPr>
          <w:rFonts w:hint="eastAsia" w:ascii="Times New Roman" w:hAnsi="Times New Roman" w:eastAsia="楷体_GB2312" w:cs="Times New Roman"/>
          <w:sz w:val="34"/>
          <w:szCs w:val="34"/>
          <w:highlight w:val="none"/>
          <w:lang w:val="en-US" w:eastAsia="zh-CN"/>
        </w:rPr>
        <w:t>（</w:t>
      </w:r>
      <w:r>
        <w:rPr>
          <w:rFonts w:hint="eastAsia" w:eastAsia="楷体_GB2312" w:cs="Times New Roman"/>
          <w:sz w:val="34"/>
          <w:szCs w:val="34"/>
          <w:highlight w:val="none"/>
          <w:lang w:val="en-US" w:eastAsia="zh-CN"/>
        </w:rPr>
        <w:t>五</w:t>
      </w:r>
      <w:r>
        <w:rPr>
          <w:rFonts w:hint="eastAsia" w:ascii="Times New Roman" w:hAnsi="Times New Roman" w:eastAsia="楷体_GB2312" w:cs="Times New Roman"/>
          <w:sz w:val="34"/>
          <w:szCs w:val="34"/>
          <w:highlight w:val="none"/>
          <w:lang w:val="en-US" w:eastAsia="zh-CN"/>
        </w:rPr>
        <w:t>）</w:t>
      </w:r>
      <w:r>
        <w:rPr>
          <w:rFonts w:hint="default" w:ascii="Times New Roman" w:hAnsi="Times New Roman" w:eastAsia="楷体_GB2312" w:cs="Times New Roman"/>
          <w:sz w:val="34"/>
          <w:szCs w:val="34"/>
          <w:highlight w:val="none"/>
        </w:rPr>
        <w:t>加强</w:t>
      </w:r>
      <w:r>
        <w:rPr>
          <w:rFonts w:hint="eastAsia" w:eastAsia="楷体_GB2312" w:cs="Times New Roman"/>
          <w:sz w:val="34"/>
          <w:szCs w:val="34"/>
          <w:highlight w:val="none"/>
          <w:lang w:eastAsia="zh-CN"/>
        </w:rPr>
        <w:t>贯通协同</w:t>
      </w:r>
      <w:r>
        <w:rPr>
          <w:rFonts w:hint="default" w:ascii="Times New Roman" w:hAnsi="Times New Roman" w:eastAsia="楷体_GB2312" w:cs="Times New Roman"/>
          <w:sz w:val="34"/>
          <w:szCs w:val="34"/>
          <w:highlight w:val="none"/>
        </w:rPr>
        <w:t>，</w:t>
      </w:r>
      <w:r>
        <w:rPr>
          <w:rFonts w:hint="default" w:ascii="Times New Roman" w:hAnsi="Times New Roman" w:eastAsia="楷体_GB2312" w:cs="Times New Roman"/>
          <w:sz w:val="34"/>
          <w:szCs w:val="34"/>
          <w:highlight w:val="none"/>
          <w:lang w:eastAsia="zh-CN"/>
        </w:rPr>
        <w:t>推动审计</w:t>
      </w:r>
      <w:r>
        <w:rPr>
          <w:rFonts w:hint="eastAsia" w:eastAsia="楷体_GB2312" w:cs="Times New Roman"/>
          <w:sz w:val="34"/>
          <w:szCs w:val="34"/>
          <w:highlight w:val="none"/>
          <w:lang w:eastAsia="zh-CN"/>
        </w:rPr>
        <w:t>成果</w:t>
      </w:r>
      <w:r>
        <w:rPr>
          <w:rFonts w:hint="default" w:ascii="Times New Roman" w:hAnsi="Times New Roman" w:eastAsia="楷体_GB2312" w:cs="Times New Roman"/>
          <w:sz w:val="34"/>
          <w:szCs w:val="34"/>
          <w:highlight w:val="none"/>
          <w:lang w:eastAsia="zh-CN"/>
        </w:rPr>
        <w:t>运用</w:t>
      </w:r>
      <w:r>
        <w:rPr>
          <w:rFonts w:hint="default" w:ascii="Times New Roman" w:hAnsi="Times New Roman" w:eastAsia="楷体_GB2312" w:cs="Times New Roman"/>
          <w:sz w:val="34"/>
          <w:szCs w:val="34"/>
          <w:highlight w:val="none"/>
        </w:rPr>
        <w:t>。</w:t>
      </w:r>
      <w:r>
        <w:rPr>
          <w:rFonts w:hint="eastAsia" w:eastAsia="仿宋_GB2312" w:cs="Times New Roman"/>
          <w:sz w:val="34"/>
          <w:szCs w:val="34"/>
          <w:highlight w:val="none"/>
          <w:lang w:eastAsia="zh-CN"/>
        </w:rPr>
        <w:t>要严格落实审计整改长效机制，切实扛起督促整改的政治责任，按照“资金要收回、资产要保全、制度要建立”的思路，做深做实审计整改“下半篇文章”。要充分运用审计与纪检监察、巡察、检察、法院等部门的贯通协同机制，</w:t>
      </w:r>
      <w:r>
        <w:rPr>
          <w:rFonts w:hint="eastAsia" w:ascii="Times New Roman" w:hAnsi="Times New Roman" w:eastAsia="仿宋_GB2312" w:cs="Times New Roman"/>
          <w:sz w:val="34"/>
          <w:szCs w:val="34"/>
          <w:highlight w:val="none"/>
          <w:lang w:eastAsia="zh-CN"/>
        </w:rPr>
        <w:t>进一步强化审计的“案源”作用，加强协调会商和结果办理反馈</w:t>
      </w:r>
      <w:r>
        <w:rPr>
          <w:rFonts w:hint="eastAsia" w:eastAsia="仿宋_GB2312" w:cs="Times New Roman"/>
          <w:sz w:val="34"/>
          <w:szCs w:val="34"/>
          <w:highlight w:val="none"/>
          <w:lang w:eastAsia="zh-CN"/>
        </w:rPr>
        <w:t>，</w:t>
      </w:r>
      <w:r>
        <w:rPr>
          <w:rFonts w:hint="eastAsia" w:ascii="Times New Roman" w:hAnsi="Times New Roman" w:eastAsia="仿宋_GB2312" w:cs="Times New Roman"/>
          <w:sz w:val="34"/>
          <w:szCs w:val="34"/>
          <w:highlight w:val="none"/>
          <w:lang w:eastAsia="zh-CN"/>
        </w:rPr>
        <w:t>持续深化审计监督与各类监督贯通协同，</w:t>
      </w:r>
      <w:r>
        <w:rPr>
          <w:rFonts w:hint="eastAsia" w:eastAsia="仿宋_GB2312" w:cs="Times New Roman"/>
          <w:sz w:val="34"/>
          <w:szCs w:val="34"/>
          <w:highlight w:val="none"/>
          <w:lang w:eastAsia="zh-CN"/>
        </w:rPr>
        <w:t>推进审计成果运用更加权威高效顺畅</w:t>
      </w:r>
      <w:r>
        <w:rPr>
          <w:rFonts w:hint="default" w:ascii="Times New Roman" w:hAnsi="Times New Roman" w:eastAsia="仿宋_GB2312" w:cs="Times New Roman"/>
          <w:sz w:val="34"/>
          <w:szCs w:val="34"/>
          <w:highlight w:val="none"/>
          <w:lang w:eastAsia="zh-CN"/>
        </w:rPr>
        <w:t>。</w:t>
      </w:r>
    </w:p>
    <w:p>
      <w:pPr>
        <w:keepNext w:val="0"/>
        <w:keepLines w:val="0"/>
        <w:pageBreakBefore w:val="0"/>
        <w:widowControl w:val="0"/>
        <w:kinsoku/>
        <w:wordWrap/>
        <w:overflowPunct/>
        <w:topLinePunct w:val="0"/>
        <w:autoSpaceDE/>
        <w:autoSpaceDN/>
        <w:bidi w:val="0"/>
        <w:spacing w:line="588" w:lineRule="exact"/>
        <w:ind w:firstLine="664" w:firstLineChars="200"/>
        <w:textAlignment w:val="auto"/>
        <w:rPr>
          <w:rFonts w:hint="eastAsia" w:ascii="Times New Roman" w:hAnsi="Times New Roman" w:eastAsia="仿宋_GB2312" w:cs="Times New Roman"/>
          <w:sz w:val="34"/>
          <w:szCs w:val="34"/>
          <w:highlight w:val="none"/>
          <w:lang w:val="en-US" w:eastAsia="zh-CN"/>
        </w:rPr>
        <w:sectPr>
          <w:headerReference r:id="rId3" w:type="default"/>
          <w:footerReference r:id="rId4" w:type="default"/>
          <w:pgSz w:w="11906" w:h="16838"/>
          <w:pgMar w:top="2041" w:right="1559" w:bottom="1701" w:left="1559" w:header="1247" w:footer="964" w:gutter="0"/>
          <w:pgNumType w:fmt="decimal"/>
          <w:cols w:space="720" w:num="1"/>
          <w:docGrid w:type="linesAndChars" w:linePitch="315" w:charSpace="-1839"/>
        </w:sectPr>
      </w:pPr>
      <w:r>
        <w:rPr>
          <w:rFonts w:hint="eastAsia" w:ascii="Times New Roman" w:hAnsi="Times New Roman" w:eastAsia="楷体_GB2312" w:cs="Times New Roman"/>
          <w:sz w:val="34"/>
          <w:szCs w:val="34"/>
          <w:highlight w:val="none"/>
          <w:lang w:val="en-US" w:eastAsia="zh-CN"/>
        </w:rPr>
        <w:t>（</w:t>
      </w:r>
      <w:r>
        <w:rPr>
          <w:rFonts w:hint="eastAsia" w:eastAsia="楷体_GB2312" w:cs="Times New Roman"/>
          <w:sz w:val="34"/>
          <w:szCs w:val="34"/>
          <w:highlight w:val="none"/>
          <w:lang w:val="en-US" w:eastAsia="zh-CN"/>
        </w:rPr>
        <w:t>六</w:t>
      </w:r>
      <w:r>
        <w:rPr>
          <w:rFonts w:hint="eastAsia" w:ascii="Times New Roman" w:hAnsi="Times New Roman" w:eastAsia="楷体_GB2312" w:cs="Times New Roman"/>
          <w:sz w:val="34"/>
          <w:szCs w:val="34"/>
          <w:highlight w:val="none"/>
          <w:lang w:val="en-US" w:eastAsia="zh-CN"/>
        </w:rPr>
        <w:t>）</w:t>
      </w:r>
      <w:r>
        <w:rPr>
          <w:rFonts w:hint="eastAsia" w:eastAsia="楷体_GB2312" w:cs="Times New Roman"/>
          <w:sz w:val="34"/>
          <w:szCs w:val="34"/>
          <w:highlight w:val="none"/>
          <w:lang w:val="en-US" w:eastAsia="zh-CN"/>
        </w:rPr>
        <w:t>坚持依法审计，</w:t>
      </w:r>
      <w:r>
        <w:rPr>
          <w:rFonts w:hint="eastAsia" w:ascii="Times New Roman" w:hAnsi="Times New Roman" w:eastAsia="楷体_GB2312" w:cs="Times New Roman"/>
          <w:sz w:val="34"/>
          <w:szCs w:val="34"/>
          <w:highlight w:val="none"/>
          <w:lang w:val="en-US" w:eastAsia="zh-CN"/>
        </w:rPr>
        <w:t>严守纪律规矩。</w:t>
      </w:r>
      <w:r>
        <w:rPr>
          <w:rFonts w:hint="eastAsia" w:ascii="Times New Roman" w:hAnsi="Times New Roman" w:eastAsia="仿宋_GB2312" w:cs="Times New Roman"/>
          <w:sz w:val="34"/>
          <w:szCs w:val="34"/>
          <w:highlight w:val="none"/>
          <w:lang w:val="en-US" w:eastAsia="zh-CN"/>
        </w:rPr>
        <w:t>要始终坚持依法审计、文明审计、廉洁审计，像爱护眼睛一样爱护审计的声誉和形象，守护好“国家审计”金字招牌。</w:t>
      </w:r>
      <w:r>
        <w:rPr>
          <w:rFonts w:hint="eastAsia" w:eastAsia="仿宋_GB2312" w:cs="Times New Roman"/>
          <w:sz w:val="34"/>
          <w:szCs w:val="34"/>
          <w:highlight w:val="none"/>
          <w:lang w:val="en-US" w:eastAsia="zh-CN"/>
        </w:rPr>
        <w:t>要</w:t>
      </w:r>
      <w:r>
        <w:rPr>
          <w:rFonts w:hint="eastAsia" w:ascii="Times New Roman" w:hAnsi="Times New Roman" w:eastAsia="仿宋_GB2312" w:cs="Times New Roman"/>
          <w:sz w:val="34"/>
          <w:szCs w:val="34"/>
          <w:highlight w:val="none"/>
          <w:lang w:val="en-US" w:eastAsia="zh-CN"/>
        </w:rPr>
        <w:t>树立正确的权力观、政绩观、事业观，以查清的事实为依据，以法律法规和政策制度为准绳，依法定论、以理服人，客观公正作出评价。</w:t>
      </w:r>
      <w:r>
        <w:rPr>
          <w:rFonts w:hint="eastAsia" w:eastAsia="仿宋_GB2312" w:cs="Times New Roman"/>
          <w:sz w:val="34"/>
          <w:szCs w:val="34"/>
          <w:highlight w:val="none"/>
          <w:lang w:val="en-US" w:eastAsia="zh-CN"/>
        </w:rPr>
        <w:t>要</w:t>
      </w:r>
      <w:r>
        <w:rPr>
          <w:rFonts w:hint="eastAsia" w:ascii="Times New Roman" w:hAnsi="Times New Roman" w:eastAsia="仿宋_GB2312" w:cs="Times New Roman"/>
          <w:sz w:val="34"/>
          <w:szCs w:val="34"/>
          <w:highlight w:val="none"/>
          <w:lang w:val="en-US" w:eastAsia="zh-CN"/>
        </w:rPr>
        <w:t>严格执行审计“八不准”工作纪律，严格执行请示报告制度。</w:t>
      </w:r>
      <w:r>
        <w:rPr>
          <w:rFonts w:hint="eastAsia" w:eastAsia="仿宋_GB2312" w:cs="Times New Roman"/>
          <w:sz w:val="34"/>
          <w:szCs w:val="34"/>
          <w:highlight w:val="none"/>
          <w:lang w:val="en-US" w:eastAsia="zh-CN"/>
        </w:rPr>
        <w:t>要</w:t>
      </w:r>
      <w:r>
        <w:rPr>
          <w:rFonts w:hint="eastAsia" w:ascii="Times New Roman" w:hAnsi="Times New Roman" w:eastAsia="仿宋_GB2312" w:cs="Times New Roman"/>
          <w:sz w:val="34"/>
          <w:szCs w:val="34"/>
          <w:highlight w:val="none"/>
          <w:lang w:val="en-US" w:eastAsia="zh-CN"/>
        </w:rPr>
        <w:t>严格执行保密纪律、宣传纪律。</w:t>
      </w: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rPr>
          <w:rFonts w:hint="default"/>
          <w:lang w:val="en-US" w:eastAsia="zh-CN"/>
        </w:rPr>
      </w:pPr>
    </w:p>
    <w:p>
      <w:pPr>
        <w:pStyle w:val="10"/>
        <w:rPr>
          <w:rFonts w:hint="default"/>
          <w:lang w:val="en-US" w:eastAsia="zh-CN"/>
        </w:rPr>
      </w:pPr>
    </w:p>
    <w:p>
      <w:pPr>
        <w:pStyle w:val="7"/>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both"/>
        <w:textAlignment w:val="auto"/>
        <w:rPr>
          <w:rFonts w:hint="eastAsia" w:ascii="Times New Roman" w:hAnsi="Times New Roman" w:eastAsia="仿宋_GB2312" w:cs="Times New Roman"/>
          <w:kern w:val="2"/>
          <w:sz w:val="28"/>
          <w:szCs w:val="28"/>
          <w:shd w:val="clear" w:color="auto" w:fill="auto"/>
          <w:lang w:val="en-US" w:eastAsia="zh-CN" w:bidi="ar-SA"/>
        </w:rPr>
      </w:pPr>
      <w:r>
        <w:rPr>
          <w:rFonts w:hint="default" w:ascii="Times New Roman" w:hAnsi="Times New Roman" w:eastAsia="仿宋_GB2312" w:cs="Times New Roman"/>
          <w:i w:val="0"/>
          <w:caps w:val="0"/>
          <w:color w:val="191919"/>
          <w:spacing w:val="0"/>
          <w:kern w:val="2"/>
          <w:sz w:val="30"/>
          <w:szCs w:val="30"/>
          <w:shd w:val="clear" w:color="auto" w:fill="FFFFF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11430</wp:posOffset>
                </wp:positionV>
                <wp:extent cx="5975350" cy="7620"/>
                <wp:effectExtent l="0" t="0" r="0" b="0"/>
                <wp:wrapNone/>
                <wp:docPr id="9" name="直接连接符 9"/>
                <wp:cNvGraphicFramePr/>
                <a:graphic xmlns:a="http://schemas.openxmlformats.org/drawingml/2006/main">
                  <a:graphicData uri="http://schemas.microsoft.com/office/word/2010/wordprocessingShape">
                    <wps:wsp>
                      <wps:cNvCnPr/>
                      <wps:spPr>
                        <a:xfrm>
                          <a:off x="0" y="0"/>
                          <a:ext cx="5975350" cy="762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75pt;margin-top:0.9pt;height:0.6pt;width:470.5pt;z-index:251661312;mso-width-relative:page;mso-height-relative:page;" filled="f" stroked="t" coordsize="21600,21600" o:gfxdata="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VxPHYtQAAAAHAQAADwAAAAAAAAAB&#10;ACAAAAA4AAAAZHJzL2Rvd25yZXYueG1sUEsBAhQAFAAAAAgAh07iQI/IO0T+AQAA9gMAAA4AAAAA&#10;AAAAAQAgAAAAOQEAAGRycy9lMm9Eb2MueG1sUEsFBgAAAAAGAAYAWQEAAKkFAAAAAA==&#10;">
                <v:fill on="f" focussize="0,0"/>
                <v:stroke weight="1.5pt" color="#000000" joinstyle="round"/>
                <v:imagedata o:title=""/>
                <o:lock v:ext="edit" aspectratio="f"/>
              </v:line>
            </w:pict>
          </mc:Fallback>
        </mc:AlternateContent>
      </w:r>
      <w:r>
        <w:rPr>
          <w:rFonts w:hint="default" w:ascii="Times New Roman" w:hAnsi="Times New Roman" w:cs="Times New Roman"/>
          <w:i w:val="0"/>
          <w:caps w:val="0"/>
          <w:color w:val="191919"/>
          <w:spacing w:val="0"/>
          <w:kern w:val="2"/>
          <w:sz w:val="28"/>
          <w:szCs w:val="28"/>
          <w:shd w:val="clear" w:color="auto" w:fill="FFFFFF"/>
          <w:lang w:val="en-US" w:eastAsia="zh-CN" w:bidi="ar-SA"/>
        </w:rPr>
        <w:t>中共</w:t>
      </w:r>
      <w:r>
        <w:rPr>
          <w:rFonts w:hint="eastAsia" w:cs="Times New Roman"/>
          <w:i w:val="0"/>
          <w:caps w:val="0"/>
          <w:color w:val="191919"/>
          <w:spacing w:val="0"/>
          <w:kern w:val="2"/>
          <w:sz w:val="28"/>
          <w:szCs w:val="28"/>
          <w:shd w:val="clear" w:color="auto" w:fill="FFFFFF"/>
          <w:lang w:val="en-US" w:eastAsia="zh-CN" w:bidi="ar-SA"/>
        </w:rPr>
        <w:t>天津市</w:t>
      </w:r>
      <w:r>
        <w:rPr>
          <w:rFonts w:hint="default" w:ascii="Times New Roman" w:hAnsi="Times New Roman" w:eastAsia="仿宋_GB2312" w:cs="Times New Roman"/>
          <w:i w:val="0"/>
          <w:caps w:val="0"/>
          <w:color w:val="191919"/>
          <w:spacing w:val="0"/>
          <w:kern w:val="2"/>
          <w:sz w:val="28"/>
          <w:szCs w:val="28"/>
          <w:shd w:val="clear" w:color="auto" w:fill="FFFFFF"/>
          <w:lang w:val="en-US" w:eastAsia="zh-CN" w:bidi="ar-SA"/>
        </w:rPr>
        <w:t>南开区</w:t>
      </w:r>
      <w:r>
        <w:rPr>
          <w:rFonts w:hint="default" w:ascii="Times New Roman" w:hAnsi="Times New Roman" w:cs="Times New Roman"/>
          <w:i w:val="0"/>
          <w:caps w:val="0"/>
          <w:color w:val="191919"/>
          <w:spacing w:val="0"/>
          <w:kern w:val="2"/>
          <w:sz w:val="28"/>
          <w:szCs w:val="28"/>
          <w:shd w:val="clear" w:color="auto" w:fill="FFFFFF"/>
          <w:lang w:val="en-US" w:eastAsia="zh-CN" w:bidi="ar-SA"/>
        </w:rPr>
        <w:t>委审计委员会办公室</w:t>
      </w:r>
      <w:r>
        <w:rPr>
          <w:rFonts w:hint="default" w:ascii="Times New Roman" w:hAnsi="Times New Roman" w:eastAsia="仿宋_GB2312" w:cs="Times New Roman"/>
          <w:i w:val="0"/>
          <w:caps w:val="0"/>
          <w:color w:val="191919"/>
          <w:spacing w:val="0"/>
          <w:kern w:val="2"/>
          <w:sz w:val="28"/>
          <w:szCs w:val="28"/>
          <w:shd w:val="clear" w:color="auto" w:fill="FFFFFF"/>
          <w:lang w:val="en-US" w:eastAsia="zh-CN" w:bidi="ar-SA"/>
        </w:rPr>
        <w:t xml:space="preserve">    </w:t>
      </w:r>
      <w:r>
        <w:rPr>
          <w:rFonts w:hint="default" w:ascii="Times New Roman" w:hAnsi="Times New Roman" w:cs="Times New Roman"/>
          <w:i w:val="0"/>
          <w:caps w:val="0"/>
          <w:color w:val="191919"/>
          <w:spacing w:val="0"/>
          <w:kern w:val="2"/>
          <w:sz w:val="28"/>
          <w:szCs w:val="28"/>
          <w:shd w:val="clear" w:color="auto" w:fill="FFFFFF"/>
          <w:lang w:val="en-US" w:eastAsia="zh-CN" w:bidi="ar-SA"/>
        </w:rPr>
        <w:t xml:space="preserve"> </w:t>
      </w:r>
      <w:r>
        <w:rPr>
          <w:rFonts w:hint="default" w:cs="Times New Roman"/>
          <w:i w:val="0"/>
          <w:caps w:val="0"/>
          <w:color w:val="191919"/>
          <w:spacing w:val="0"/>
          <w:kern w:val="2"/>
          <w:sz w:val="28"/>
          <w:szCs w:val="28"/>
          <w:shd w:val="clear" w:color="auto" w:fill="FFFFFF"/>
          <w:lang w:val="en" w:eastAsia="zh-CN" w:bidi="ar-SA"/>
        </w:rPr>
        <w:t xml:space="preserve">  </w:t>
      </w:r>
      <w:r>
        <w:rPr>
          <w:rFonts w:hint="eastAsia" w:cs="Times New Roman"/>
          <w:i w:val="0"/>
          <w:caps w:val="0"/>
          <w:color w:val="191919"/>
          <w:spacing w:val="0"/>
          <w:kern w:val="2"/>
          <w:sz w:val="28"/>
          <w:szCs w:val="28"/>
          <w:shd w:val="clear" w:color="auto" w:fill="FFFFFF"/>
          <w:lang w:val="en-US" w:eastAsia="zh-CN" w:bidi="ar-SA"/>
        </w:rPr>
        <w:t xml:space="preserve"> </w:t>
      </w:r>
      <w:r>
        <w:rPr>
          <w:rFonts w:hint="default" w:ascii="Times New Roman" w:hAnsi="Times New Roman" w:cs="Times New Roman"/>
          <w:i w:val="0"/>
          <w:caps w:val="0"/>
          <w:color w:val="191919"/>
          <w:spacing w:val="0"/>
          <w:kern w:val="2"/>
          <w:sz w:val="28"/>
          <w:szCs w:val="28"/>
          <w:shd w:val="clear" w:color="auto" w:fill="FFFFFF"/>
          <w:lang w:val="en-US" w:eastAsia="zh-CN" w:bidi="ar-SA"/>
        </w:rPr>
        <w:t xml:space="preserve">  </w:t>
      </w:r>
      <w:r>
        <w:rPr>
          <w:rFonts w:hint="default" w:ascii="Times New Roman" w:hAnsi="Times New Roman" w:cs="Times New Roman"/>
          <w:sz w:val="28"/>
          <w:szCs w:val="28"/>
          <w:lang w:val="en-US" w:eastAsia="zh-CN"/>
        </w:rPr>
        <w:t>202</w:t>
      </w:r>
      <w:r>
        <w:rPr>
          <w:rFonts w:hint="eastAsia" w:cs="Times New Roman"/>
          <w:sz w:val="28"/>
          <w:szCs w:val="28"/>
          <w:lang w:val="en-US" w:eastAsia="zh-CN"/>
        </w:rPr>
        <w:t>4</w:t>
      </w:r>
      <w:r>
        <w:rPr>
          <w:rFonts w:hint="default" w:ascii="Times New Roman" w:hAnsi="Times New Roman" w:eastAsia="仿宋_GB2312" w:cs="Times New Roman"/>
          <w:i w:val="0"/>
          <w:caps w:val="0"/>
          <w:color w:val="191919"/>
          <w:spacing w:val="0"/>
          <w:kern w:val="2"/>
          <w:sz w:val="28"/>
          <w:szCs w:val="28"/>
          <w:shd w:val="clear" w:color="auto" w:fill="FFFFFF"/>
          <w:lang w:val="en-US" w:eastAsia="zh-CN" w:bidi="ar-SA"/>
        </w:rPr>
        <w:t>年</w:t>
      </w:r>
      <w:r>
        <w:rPr>
          <w:rFonts w:hint="eastAsia" w:ascii="Times New Roman" w:hAnsi="Times New Roman" w:cs="Times New Roman"/>
          <w:sz w:val="28"/>
          <w:szCs w:val="28"/>
          <w:lang w:val="en-US" w:eastAsia="zh-CN"/>
        </w:rPr>
        <w:t>12</w:t>
      </w:r>
      <w:r>
        <w:rPr>
          <w:rFonts w:hint="default" w:ascii="Times New Roman" w:hAnsi="Times New Roman" w:eastAsia="仿宋_GB2312" w:cs="Times New Roman"/>
          <w:i w:val="0"/>
          <w:caps w:val="0"/>
          <w:color w:val="191919"/>
          <w:spacing w:val="0"/>
          <w:kern w:val="2"/>
          <w:sz w:val="28"/>
          <w:szCs w:val="28"/>
          <w:shd w:val="clear" w:color="auto" w:fill="FFFFFF"/>
          <w:lang w:val="en-US" w:eastAsia="zh-CN" w:bidi="ar-SA"/>
        </w:rPr>
        <w:t>月</w:t>
      </w:r>
      <w:r>
        <w:rPr>
          <w:rFonts w:hint="eastAsia" w:cs="Times New Roman"/>
          <w:sz w:val="28"/>
          <w:szCs w:val="28"/>
          <w:lang w:val="en-US" w:eastAsia="zh-CN"/>
        </w:rPr>
        <w:t>31</w:t>
      </w:r>
      <w:r>
        <w:rPr>
          <w:rFonts w:hint="default" w:ascii="Times New Roman" w:hAnsi="Times New Roman" w:eastAsia="仿宋_GB2312" w:cs="Times New Roman"/>
          <w:i w:val="0"/>
          <w:caps w:val="0"/>
          <w:color w:val="191919"/>
          <w:spacing w:val="0"/>
          <w:kern w:val="2"/>
          <w:sz w:val="28"/>
          <w:szCs w:val="28"/>
          <w:shd w:val="clear" w:color="auto" w:fill="FFFFFF"/>
          <w:lang w:val="en-US" w:eastAsia="zh-CN" w:bidi="ar-SA"/>
        </w:rPr>
        <w:t>日印发</w:t>
      </w:r>
    </w:p>
    <w:p>
      <w:pPr>
        <w:pStyle w:val="10"/>
      </w:pPr>
      <w:r>
        <w:rPr>
          <w:rFonts w:hint="default" w:ascii="Times New Roman" w:hAnsi="Times New Roman" w:eastAsia="仿宋_GB2312" w:cs="Times New Roman"/>
          <w:i w:val="0"/>
          <w:caps w:val="0"/>
          <w:color w:val="191919"/>
          <w:spacing w:val="0"/>
          <w:kern w:val="2"/>
          <w:sz w:val="28"/>
          <w:szCs w:val="28"/>
          <w:shd w:val="clear" w:color="auto" w:fill="FFFFFF"/>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24130</wp:posOffset>
                </wp:positionV>
                <wp:extent cx="6002020" cy="4445"/>
                <wp:effectExtent l="0" t="9525" r="17780" b="14605"/>
                <wp:wrapNone/>
                <wp:docPr id="11" name="直接连接符 11"/>
                <wp:cNvGraphicFramePr/>
                <a:graphic xmlns:a="http://schemas.openxmlformats.org/drawingml/2006/main">
                  <a:graphicData uri="http://schemas.microsoft.com/office/word/2010/wordprocessingShape">
                    <wps:wsp>
                      <wps:cNvCnPr/>
                      <wps:spPr>
                        <a:xfrm flipV="1">
                          <a:off x="0" y="0"/>
                          <a:ext cx="6002020" cy="444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7.4pt;margin-top:1.9pt;height:0.35pt;width:472.6pt;z-index:251662336;mso-width-relative:page;mso-height-relative:page;" filled="f" stroked="t" coordsize="21600,21600" o:gfxdata="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bMbitYAAAAHAQAADwAA&#10;AAAAAAABACAAAAA4AAAAZHJzL2Rvd25yZXYueG1sUEsBAhQAFAAAAAgAh07iQPG3U24CAgAAAgQA&#10;AA4AAAAAAAAAAQAgAAAAOwEAAGRycy9lMm9Eb2MueG1sUEsFBgAAAAAGAAYAWQEAAK8FAAAAAA==&#10;">
                <v:fill on="f" focussize="0,0"/>
                <v:stroke weight="1.5pt" color="#000000" joinstyle="round"/>
                <v:imagedata o:title=""/>
                <o:lock v:ext="edit" aspectratio="f"/>
              </v:line>
            </w:pict>
          </mc:Fallback>
        </mc:AlternateContent>
      </w:r>
    </w:p>
    <w:sectPr>
      <w:headerReference r:id="rId5" w:type="default"/>
      <w:footerReference r:id="rId6" w:type="default"/>
      <w:pgSz w:w="11906" w:h="16838"/>
      <w:pgMar w:top="2041" w:right="1559" w:bottom="1701" w:left="1559" w:header="1247" w:footer="964" w:gutter="0"/>
      <w:pgNumType w:fmt="decimal"/>
      <w:cols w:space="720" w:num="1"/>
      <w:docGrid w:type="linesAndChars" w:linePitch="315"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 important">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exact"/>
      <w:ind w:left="315" w:leftChars="150" w:right="56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40" w:lineRule="exact"/>
      <w:ind w:left="315" w:leftChars="150" w:right="567"/>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Y2YyYTA2MDRiNWYxNDgwMGFiYzcyMjM1OTJkOTkifQ=="/>
  </w:docVars>
  <w:rsids>
    <w:rsidRoot w:val="34841935"/>
    <w:rsid w:val="14D67C7E"/>
    <w:rsid w:val="16A650AC"/>
    <w:rsid w:val="2CA43435"/>
    <w:rsid w:val="2E7F1D28"/>
    <w:rsid w:val="34841935"/>
    <w:rsid w:val="37DF0874"/>
    <w:rsid w:val="3CDFA742"/>
    <w:rsid w:val="3DDFDA45"/>
    <w:rsid w:val="3FF7FF8D"/>
    <w:rsid w:val="4FFFEE65"/>
    <w:rsid w:val="56DE79F1"/>
    <w:rsid w:val="57FF4F96"/>
    <w:rsid w:val="7DD5689E"/>
    <w:rsid w:val="7EB6F815"/>
    <w:rsid w:val="9EFFA4D0"/>
    <w:rsid w:val="AB7DC94C"/>
    <w:rsid w:val="AFDD91B3"/>
    <w:rsid w:val="B7FA612E"/>
    <w:rsid w:val="C6FFBAC7"/>
    <w:rsid w:val="CFEF428A"/>
    <w:rsid w:val="D3EBC010"/>
    <w:rsid w:val="D7B35355"/>
    <w:rsid w:val="DADB3F3E"/>
    <w:rsid w:val="DFAFD3FE"/>
    <w:rsid w:val="ED3FB52E"/>
    <w:rsid w:val="FDDFAE6C"/>
    <w:rsid w:val="FF9126C5"/>
    <w:rsid w:val="FF9F397F"/>
    <w:rsid w:val="FFDF2B34"/>
    <w:rsid w:val="FFFD9FF9"/>
    <w:rsid w:val="FFFF5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579" w:lineRule="exact"/>
    </w:pPr>
    <w:rPr>
      <w:rFonts w:eastAsia="仿宋_GB2312"/>
      <w:sz w:val="32"/>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2"/>
    <w:pPr>
      <w:ind w:left="1680"/>
    </w:pPr>
  </w:style>
  <w:style w:type="paragraph" w:styleId="5">
    <w:name w:val="Document Map"/>
    <w:basedOn w:val="1"/>
    <w:qFormat/>
    <w:uiPriority w:val="0"/>
    <w:pPr>
      <w:shd w:val="clear" w:color="auto" w:fill="000080"/>
    </w:pPr>
    <w:rPr>
      <w:szCs w:val="24"/>
    </w:rPr>
  </w:style>
  <w:style w:type="paragraph" w:styleId="6">
    <w:name w:val="Body Text Indent"/>
    <w:basedOn w:val="1"/>
    <w:next w:val="7"/>
    <w:qFormat/>
    <w:uiPriority w:val="0"/>
    <w:pPr>
      <w:ind w:firstLine="540"/>
    </w:pPr>
    <w:rPr>
      <w:sz w:val="30"/>
    </w:rPr>
  </w:style>
  <w:style w:type="paragraph" w:styleId="7">
    <w:name w:val="Body Text First Indent 2"/>
    <w:basedOn w:val="6"/>
    <w:next w:val="1"/>
    <w:qFormat/>
    <w:uiPriority w:val="0"/>
    <w:pPr>
      <w:ind w:firstLine="420" w:firstLineChars="200"/>
    </w:pPr>
  </w:style>
  <w:style w:type="paragraph" w:styleId="8">
    <w:name w:val="Plain Text"/>
    <w:basedOn w:val="1"/>
    <w:qFormat/>
    <w:uiPriority w:val="0"/>
    <w:rPr>
      <w:rFonts w:ascii="宋体" w:hAnsi="Courier New"/>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footnote text"/>
    <w:basedOn w:val="1"/>
    <w:next w:val="7"/>
    <w:qFormat/>
    <w:uiPriority w:val="0"/>
    <w:pPr>
      <w:snapToGrid w:val="0"/>
      <w:jc w:val="left"/>
    </w:pPr>
    <w:rPr>
      <w:sz w:val="18"/>
      <w:szCs w:val="18"/>
    </w:rPr>
  </w:style>
  <w:style w:type="paragraph" w:styleId="11">
    <w:name w:val="toc 9"/>
    <w:basedOn w:val="1"/>
    <w:next w:val="1"/>
    <w:qFormat/>
    <w:uiPriority w:val="0"/>
    <w:pPr>
      <w:ind w:left="3360"/>
    </w:pPr>
    <w:rPr>
      <w:rFonts w:ascii="Calibri" w:hAnsi="Calibri"/>
    </w:rPr>
  </w:style>
  <w:style w:type="paragraph" w:styleId="12">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5">
    <w:name w:val="page number"/>
    <w:basedOn w:val="14"/>
    <w:qFormat/>
    <w:uiPriority w:val="0"/>
  </w:style>
  <w:style w:type="character" w:styleId="16">
    <w:name w:val="Hyperlink"/>
    <w:basedOn w:val="14"/>
    <w:qFormat/>
    <w:uiPriority w:val="0"/>
    <w:rPr>
      <w:rFonts w:ascii="Microsoft YaHei ! important" w:hAnsi="Microsoft YaHei ! important" w:eastAsia="Microsoft YaHei ! important" w:cs="Microsoft YaHei ! important"/>
      <w:color w:val="0000CC"/>
      <w:u w:val="none"/>
    </w:rPr>
  </w:style>
  <w:style w:type="paragraph" w:customStyle="1" w:styleId="17">
    <w:name w:val="章标题"/>
    <w:basedOn w:val="12"/>
    <w:qFormat/>
    <w:uiPriority w:val="0"/>
    <w:pPr>
      <w:spacing w:before="480" w:after="360"/>
      <w:jc w:val="left"/>
    </w:pPr>
    <w:rPr>
      <w:rFonts w:eastAsia="黑体" w:cs="Times New Roman"/>
      <w:sz w:val="32"/>
      <w:szCs w:val="21"/>
    </w:rPr>
  </w:style>
  <w:style w:type="paragraph" w:customStyle="1" w:styleId="18">
    <w:name w:val="样式1"/>
    <w:basedOn w:val="1"/>
    <w:qFormat/>
    <w:uiPriority w:val="0"/>
    <w:pPr>
      <w:jc w:val="center"/>
    </w:pPr>
    <w:rPr>
      <w:rFonts w:ascii="Times New Roman" w:hAnsi="Times New Roman" w:eastAsia="黑体" w:cs="Times New Roman"/>
      <w:sz w:val="32"/>
    </w:rPr>
  </w:style>
  <w:style w:type="paragraph" w:customStyle="1" w:styleId="19">
    <w:name w:val="_Style 23"/>
    <w:basedOn w:val="5"/>
    <w:semiHidden/>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2023-12-25T17:19:00Z</dcterms:created>
  <dc:creator>Queenie</dc:creator>
  <cp:lastModifiedBy>kylin</cp:lastModifiedBy>
  <dcterms:modified xsi:type="dcterms:W3CDTF">2025-02-14T15:51:20Z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FFBD76122ACE321C259EAD677F6ED664</vt:lpwstr>
  </property>
</Properties>
</file>