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700" w:lineRule="exact"/>
        <w:jc w:val="center"/>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kern w:val="0"/>
          <w:sz w:val="44"/>
          <w:szCs w:val="44"/>
        </w:rPr>
        <w:t>南开区人民政府关于</w:t>
      </w:r>
      <w:r>
        <w:rPr>
          <w:rFonts w:hint="default" w:ascii="Times New Roman" w:hAnsi="Times New Roman" w:eastAsia="方正小标宋_GBK" w:cs="Times New Roman"/>
          <w:kern w:val="0"/>
          <w:sz w:val="44"/>
          <w:szCs w:val="44"/>
          <w:lang w:eastAsia="zh-CN"/>
        </w:rPr>
        <w:t>印发</w:t>
      </w:r>
    </w:p>
    <w:p>
      <w:pPr>
        <w:widowControl w:val="0"/>
        <w:adjustRightInd/>
        <w:snapToGrid/>
        <w:spacing w:after="0"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天津市南开区生态文明建设示范区规划</w:t>
      </w:r>
    </w:p>
    <w:p>
      <w:pPr>
        <w:widowControl w:val="0"/>
        <w:adjustRightInd/>
        <w:snapToGrid/>
        <w:spacing w:after="0" w:line="7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（2024-2035年）的通知</w:t>
      </w:r>
    </w:p>
    <w:p>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南开政发〔202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p>
      <w:pPr>
        <w:widowControl w:val="0"/>
        <w:adjustRightInd/>
        <w:snapToGrid/>
        <w:spacing w:after="0" w:line="700" w:lineRule="exact"/>
        <w:jc w:val="both"/>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val="0"/>
        <w:spacing w:after="0" w:line="560" w:lineRule="exact"/>
        <w:jc w:val="both"/>
        <w:textAlignment w:val="auto"/>
        <w:rPr>
          <w:rFonts w:hint="default"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各</w:t>
      </w:r>
      <w:r>
        <w:rPr>
          <w:rFonts w:hint="default" w:ascii="Times New Roman" w:hAnsi="Times New Roman" w:eastAsia="仿宋_GB2312" w:cs="Times New Roman"/>
          <w:snapToGrid w:val="0"/>
          <w:kern w:val="2"/>
          <w:sz w:val="32"/>
          <w:szCs w:val="32"/>
          <w:lang w:eastAsia="zh-CN"/>
        </w:rPr>
        <w:t>街道办事处，区政府</w:t>
      </w:r>
      <w:r>
        <w:rPr>
          <w:rFonts w:hint="default" w:ascii="Times New Roman" w:hAnsi="Times New Roman" w:eastAsia="仿宋_GB2312" w:cs="Times New Roman"/>
          <w:snapToGrid w:val="0"/>
          <w:kern w:val="2"/>
          <w:sz w:val="32"/>
          <w:szCs w:val="32"/>
        </w:rPr>
        <w:t>各委、办</w:t>
      </w:r>
      <w:r>
        <w:rPr>
          <w:rFonts w:hint="default" w:ascii="Times New Roman" w:hAnsi="Times New Roman" w:eastAsia="仿宋_GB2312" w:cs="Times New Roman"/>
          <w:snapToGrid w:val="0"/>
          <w:kern w:val="2"/>
          <w:sz w:val="32"/>
          <w:szCs w:val="32"/>
          <w:lang w:eastAsia="zh-CN"/>
        </w:rPr>
        <w:t>、局及有关单位</w:t>
      </w:r>
      <w:r>
        <w:rPr>
          <w:rFonts w:hint="default" w:ascii="Times New Roman" w:hAnsi="Times New Roman" w:eastAsia="仿宋_GB2312" w:cs="Times New Roman"/>
          <w:snapToGrid w:val="0"/>
          <w:kern w:val="2"/>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rPr>
      </w:pPr>
      <w:r>
        <w:rPr>
          <w:rFonts w:hint="default" w:ascii="Times New Roman" w:hAnsi="Times New Roman" w:eastAsia="仿宋_GB2312" w:cs="Times New Roman"/>
          <w:snapToGrid w:val="0"/>
          <w:kern w:val="2"/>
          <w:sz w:val="32"/>
          <w:szCs w:val="32"/>
          <w:lang w:val="en-US" w:eastAsia="zh-CN"/>
        </w:rPr>
        <w:t>经</w:t>
      </w:r>
      <w:r>
        <w:rPr>
          <w:rFonts w:hint="default" w:ascii="Times New Roman" w:hAnsi="Times New Roman" w:eastAsia="仿宋_GB2312" w:cs="Times New Roman"/>
          <w:snapToGrid w:val="0"/>
          <w:kern w:val="2"/>
          <w:sz w:val="32"/>
          <w:szCs w:val="32"/>
        </w:rPr>
        <w:t>区人民政府同意</w:t>
      </w:r>
      <w:r>
        <w:rPr>
          <w:rFonts w:hint="default" w:ascii="Times New Roman" w:hAnsi="Times New Roman" w:eastAsia="仿宋_GB2312" w:cs="Times New Roman"/>
          <w:snapToGrid w:val="0"/>
          <w:kern w:val="2"/>
          <w:sz w:val="32"/>
          <w:szCs w:val="32"/>
          <w:lang w:eastAsia="zh-CN"/>
        </w:rPr>
        <w:t>，</w:t>
      </w:r>
      <w:r>
        <w:rPr>
          <w:rFonts w:hint="eastAsia" w:ascii="Times New Roman" w:hAnsi="Times New Roman" w:eastAsia="仿宋_GB2312" w:cs="Times New Roman"/>
          <w:snapToGrid w:val="0"/>
          <w:kern w:val="2"/>
          <w:sz w:val="32"/>
          <w:szCs w:val="32"/>
          <w:lang w:eastAsia="zh-CN"/>
        </w:rPr>
        <w:t>现将</w:t>
      </w:r>
      <w:r>
        <w:rPr>
          <w:rFonts w:hint="default" w:ascii="Times New Roman" w:hAnsi="Times New Roman" w:eastAsia="仿宋_GB2312" w:cs="Times New Roman"/>
          <w:snapToGrid w:val="0"/>
          <w:kern w:val="2"/>
          <w:sz w:val="32"/>
          <w:szCs w:val="32"/>
          <w:lang w:eastAsia="zh-CN"/>
        </w:rPr>
        <w:t>《天津市南开区生态文明建设示范区规划（2024-2035年）》印</w:t>
      </w:r>
      <w:r>
        <w:rPr>
          <w:rFonts w:hint="default" w:ascii="Times New Roman" w:hAnsi="Times New Roman" w:eastAsia="仿宋_GB2312" w:cs="Times New Roman"/>
          <w:snapToGrid w:val="0"/>
          <w:kern w:val="2"/>
          <w:sz w:val="32"/>
          <w:szCs w:val="32"/>
        </w:rPr>
        <w:t>发给你们，</w:t>
      </w:r>
      <w:r>
        <w:rPr>
          <w:rFonts w:hint="default" w:ascii="Times New Roman" w:hAnsi="Times New Roman" w:eastAsia="仿宋_GB2312" w:cs="Times New Roman"/>
          <w:snapToGrid w:val="0"/>
          <w:kern w:val="2"/>
          <w:sz w:val="32"/>
          <w:szCs w:val="32"/>
          <w:lang w:eastAsia="zh-CN"/>
        </w:rPr>
        <w:t>请照此</w:t>
      </w:r>
      <w:r>
        <w:rPr>
          <w:rFonts w:hint="default" w:ascii="Times New Roman" w:hAnsi="Times New Roman" w:eastAsia="仿宋_GB2312" w:cs="Times New Roman"/>
          <w:snapToGrid w:val="0"/>
          <w:kern w:val="2"/>
          <w:sz w:val="32"/>
          <w:szCs w:val="32"/>
        </w:rPr>
        <w:t>执行。</w:t>
      </w:r>
    </w:p>
    <w:p>
      <w:pPr>
        <w:pStyle w:val="2"/>
        <w:pageBreakBefore w:val="0"/>
        <w:kinsoku/>
        <w:wordWrap/>
        <w:overflowPunct/>
        <w:topLinePunct w:val="0"/>
        <w:autoSpaceDE/>
        <w:autoSpaceDN/>
        <w:bidi w:val="0"/>
        <w:snapToGrid w:val="0"/>
        <w:spacing w:line="560" w:lineRule="exact"/>
        <w:textAlignment w:val="auto"/>
        <w:rPr>
          <w:rFonts w:hint="default"/>
        </w:rPr>
      </w:pPr>
    </w:p>
    <w:p>
      <w:pPr>
        <w:rPr>
          <w:rFonts w:hint="default"/>
        </w:rPr>
      </w:pPr>
    </w:p>
    <w:p>
      <w:pPr>
        <w:keepNext w:val="0"/>
        <w:keepLines w:val="0"/>
        <w:pageBreakBefore w:val="0"/>
        <w:widowControl w:val="0"/>
        <w:tabs>
          <w:tab w:val="left" w:pos="7600"/>
          <w:tab w:val="left" w:pos="7777"/>
        </w:tabs>
        <w:kinsoku/>
        <w:wordWrap/>
        <w:overflowPunct/>
        <w:topLinePunct w:val="0"/>
        <w:autoSpaceDE/>
        <w:autoSpaceDN/>
        <w:bidi w:val="0"/>
        <w:adjustRightInd/>
        <w:snapToGrid w:val="0"/>
        <w:spacing w:after="0" w:line="560" w:lineRule="exact"/>
        <w:ind w:right="880" w:rightChars="400"/>
        <w:jc w:val="right"/>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天津市南开区人民政府</w:t>
      </w:r>
    </w:p>
    <w:p>
      <w:pPr>
        <w:keepNext w:val="0"/>
        <w:keepLines w:val="0"/>
        <w:pageBreakBefore w:val="0"/>
        <w:widowControl w:val="0"/>
        <w:tabs>
          <w:tab w:val="left" w:pos="7600"/>
          <w:tab w:val="left" w:pos="7777"/>
        </w:tabs>
        <w:kinsoku/>
        <w:wordWrap/>
        <w:overflowPunct/>
        <w:topLinePunct w:val="0"/>
        <w:autoSpaceDE/>
        <w:autoSpaceDN/>
        <w:bidi w:val="0"/>
        <w:adjustRightInd/>
        <w:snapToGrid w:val="0"/>
        <w:spacing w:after="0" w:line="560" w:lineRule="exact"/>
        <w:ind w:right="880" w:rightChars="400"/>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天津市南开区生态文明建设示范区规划</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（2024-2035年）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32"/>
          <w:szCs w:val="32"/>
          <w:lang w:eastAsia="zh-CN"/>
        </w:rPr>
      </w:pPr>
    </w:p>
    <w:p>
      <w:pPr>
        <w:pStyle w:val="2"/>
        <w:pageBreakBefore w:val="0"/>
        <w:widowControl w:val="0"/>
        <w:numPr>
          <w:ilvl w:val="0"/>
          <w:numId w:val="1"/>
        </w:numPr>
        <w:kinsoku/>
        <w:wordWrap/>
        <w:overflowPunct/>
        <w:topLinePunct w:val="0"/>
        <w:autoSpaceDE/>
        <w:autoSpaceDN/>
        <w:bidi w:val="0"/>
        <w:snapToGrid/>
        <w:spacing w:before="0" w:after="0" w:line="560" w:lineRule="exact"/>
        <w:ind w:left="640"/>
        <w:jc w:val="both"/>
        <w:textAlignment w:val="auto"/>
        <w:rPr>
          <w:rFonts w:hint="eastAsia" w:ascii="黑体" w:hAnsi="黑体" w:eastAsia="黑体" w:cs="黑体"/>
          <w:b w:val="0"/>
          <w:bCs w:val="0"/>
          <w:sz w:val="32"/>
          <w:szCs w:val="32"/>
        </w:rPr>
      </w:pPr>
      <w:bookmarkStart w:id="0" w:name="_Toc167262230"/>
      <w:r>
        <w:rPr>
          <w:rFonts w:hint="eastAsia" w:ascii="黑体" w:hAnsi="黑体" w:eastAsia="黑体" w:cs="黑体"/>
          <w:b w:val="0"/>
          <w:bCs w:val="0"/>
          <w:sz w:val="32"/>
          <w:szCs w:val="32"/>
        </w:rPr>
        <w:t>基础与形势</w:t>
      </w:r>
      <w:bookmarkEnd w:id="0"/>
      <w:bookmarkStart w:id="1" w:name="_Toc167262231"/>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（一）现实基础</w:t>
      </w:r>
      <w:bookmarkEnd w:id="1"/>
    </w:p>
    <w:p>
      <w:pPr>
        <w:pStyle w:val="36"/>
        <w:pageBreakBefore w:val="0"/>
        <w:widowControl w:val="0"/>
        <w:kinsoku/>
        <w:wordWrap/>
        <w:overflowPunct/>
        <w:topLinePunct w:val="0"/>
        <w:autoSpaceDE/>
        <w:autoSpaceDN/>
        <w:bidi w:val="0"/>
        <w:adjustRightInd w:val="0"/>
        <w:snapToGrid w:val="0"/>
        <w:spacing w:line="560" w:lineRule="exact"/>
        <w:ind w:firstLine="640"/>
        <w:jc w:val="both"/>
        <w:textAlignment w:val="auto"/>
        <w:rPr>
          <w:rFonts w:eastAsia="仿宋_GB2312"/>
          <w:sz w:val="32"/>
          <w:szCs w:val="32"/>
        </w:rPr>
      </w:pPr>
      <w:r>
        <w:rPr>
          <w:rFonts w:hint="eastAsia" w:eastAsia="仿宋_GB2312"/>
          <w:sz w:val="32"/>
          <w:szCs w:val="32"/>
        </w:rPr>
        <w:t>南开区良好的生态环境、优秀的科教文化资源、高效</w:t>
      </w:r>
      <w:r>
        <w:rPr>
          <w:rFonts w:eastAsia="仿宋_GB2312"/>
          <w:sz w:val="32"/>
          <w:szCs w:val="32"/>
        </w:rPr>
        <w:t>融合</w:t>
      </w:r>
      <w:r>
        <w:rPr>
          <w:rFonts w:hint="eastAsia" w:eastAsia="仿宋_GB2312"/>
          <w:sz w:val="32"/>
          <w:szCs w:val="32"/>
        </w:rPr>
        <w:t>的特色</w:t>
      </w:r>
      <w:r>
        <w:rPr>
          <w:rFonts w:eastAsia="仿宋_GB2312"/>
          <w:sz w:val="32"/>
          <w:szCs w:val="32"/>
        </w:rPr>
        <w:t>商文旅产业</w:t>
      </w:r>
      <w:r>
        <w:rPr>
          <w:rFonts w:hint="eastAsia" w:eastAsia="仿宋_GB2312"/>
          <w:sz w:val="32"/>
          <w:szCs w:val="32"/>
        </w:rPr>
        <w:t>发展等均为生态文明建设示范区创建奠定了良好的基础。</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eastAsia="仿宋_GB2312"/>
          <w:bCs/>
          <w:color w:val="000000" w:themeColor="text1"/>
          <w:sz w:val="32"/>
          <w:szCs w:val="32"/>
        </w:rPr>
      </w:pPr>
      <w:r>
        <w:rPr>
          <w:rFonts w:eastAsia="仿宋_GB2312"/>
          <w:b w:val="0"/>
          <w:bCs/>
          <w:sz w:val="32"/>
          <w:szCs w:val="32"/>
        </w:rPr>
        <w:t>发挥科教资源优势，产业绿色低碳转型成效显著。</w:t>
      </w:r>
      <w:r>
        <w:rPr>
          <w:rFonts w:eastAsia="仿宋_GB2312"/>
          <w:sz w:val="32"/>
          <w:szCs w:val="32"/>
        </w:rPr>
        <w:t>南开区科教资源丰富，是天开高教科创园核心区的所在地，也是重要科教资源承载地，拥有南开大学、天津大学等高校及152个各类科研院所，聚集了6个国家级重点实验室、9个国家级工程中心、56个天津市重点实验室、</w:t>
      </w:r>
      <w:r>
        <w:rPr>
          <w:rFonts w:hint="eastAsia" w:eastAsia="仿宋_GB2312"/>
          <w:sz w:val="32"/>
          <w:szCs w:val="32"/>
          <w:lang w:val="en-US" w:eastAsia="zh-CN"/>
        </w:rPr>
        <w:t>43</w:t>
      </w:r>
      <w:r>
        <w:rPr>
          <w:rFonts w:eastAsia="仿宋_GB2312"/>
          <w:sz w:val="32"/>
          <w:szCs w:val="32"/>
        </w:rPr>
        <w:t>个天津市工程技术中心。南开区围绕</w:t>
      </w:r>
      <w:r>
        <w:rPr>
          <w:rFonts w:hint="eastAsia" w:eastAsia="仿宋_GB2312"/>
          <w:sz w:val="32"/>
          <w:szCs w:val="32"/>
        </w:rPr>
        <w:t>“</w:t>
      </w:r>
      <w:r>
        <w:rPr>
          <w:rFonts w:eastAsia="仿宋_GB2312"/>
          <w:sz w:val="32"/>
          <w:szCs w:val="32"/>
        </w:rPr>
        <w:t>科教立区</w:t>
      </w:r>
      <w:r>
        <w:rPr>
          <w:rFonts w:hint="eastAsia" w:eastAsia="仿宋_GB2312"/>
          <w:sz w:val="32"/>
          <w:szCs w:val="32"/>
        </w:rPr>
        <w:t>”</w:t>
      </w:r>
      <w:r>
        <w:rPr>
          <w:rFonts w:eastAsia="仿宋_GB2312"/>
          <w:sz w:val="32"/>
          <w:szCs w:val="32"/>
        </w:rPr>
        <w:t>，搭建产学研融合平台，天开高教科创园核心区已成为京津冀协同创新的重要载体，规模以上战略性新兴服务业和高技术服务业营业收入分别增长14.2%和13.6%，排名全市前列。引进一批天南大校友企业设立北方总部、研发销售中心，科技企业落户681家，签约金融机构108家、科技服务机构45家。园区带动效应显著，全区R&amp;D经费投入占GDP比重、万人发明专利拥有量位居全市第一，科技领军（培育）企业、瞪羚企业、全市首批专精特新中小企业数量均位列中心城区第一，成功入选国家创新驱动示范城市。物质绿色创造与制造海河实验室等一批高能级科研创新平台绿色示范技术输出能力凸显，弈云科技、红色智云等科技含量高、资源消耗低的绿色产业蓬勃发展。</w:t>
      </w:r>
      <w:r>
        <w:rPr>
          <w:rFonts w:eastAsia="仿宋_GB2312"/>
          <w:bCs/>
          <w:color w:val="000000" w:themeColor="text1"/>
          <w:sz w:val="32"/>
          <w:szCs w:val="32"/>
        </w:rPr>
        <w:t>连续三年经济增速位居全市前列，万元地区生产总值能耗累计降幅位居全市前列，</w:t>
      </w:r>
      <w:r>
        <w:rPr>
          <w:rFonts w:hint="eastAsia" w:eastAsia="仿宋_GB2312"/>
          <w:bCs/>
          <w:color w:val="000000" w:themeColor="text1"/>
          <w:sz w:val="32"/>
          <w:szCs w:val="32"/>
        </w:rPr>
        <w:t>“</w:t>
      </w:r>
      <w:r>
        <w:rPr>
          <w:rFonts w:eastAsia="仿宋_GB2312"/>
          <w:bCs/>
          <w:color w:val="000000" w:themeColor="text1"/>
          <w:sz w:val="32"/>
          <w:szCs w:val="32"/>
        </w:rPr>
        <w:t>双碳</w:t>
      </w:r>
      <w:r>
        <w:rPr>
          <w:rFonts w:hint="eastAsia" w:eastAsia="仿宋_GB2312"/>
          <w:bCs/>
          <w:color w:val="000000" w:themeColor="text1"/>
          <w:sz w:val="32"/>
          <w:szCs w:val="32"/>
        </w:rPr>
        <w:t>”</w:t>
      </w:r>
      <w:r>
        <w:rPr>
          <w:rFonts w:eastAsia="仿宋_GB2312"/>
          <w:bCs/>
          <w:color w:val="000000" w:themeColor="text1"/>
          <w:sz w:val="32"/>
          <w:szCs w:val="32"/>
        </w:rPr>
        <w:t>专项考核位居全市前列，被列入首批市级碳达峰试点名单。</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eastAsia" w:eastAsia="仿宋_GB2312"/>
          <w:kern w:val="0"/>
          <w:sz w:val="32"/>
          <w:szCs w:val="32"/>
        </w:rPr>
      </w:pPr>
      <w:r>
        <w:rPr>
          <w:rFonts w:eastAsia="仿宋_GB2312"/>
          <w:b w:val="0"/>
          <w:bCs/>
          <w:sz w:val="32"/>
          <w:szCs w:val="32"/>
        </w:rPr>
        <w:t>积极发展循环经济，引领生活方式绿色转型成效显著。</w:t>
      </w:r>
      <w:r>
        <w:rPr>
          <w:rFonts w:eastAsia="仿宋_GB2312"/>
          <w:kern w:val="0"/>
          <w:sz w:val="32"/>
          <w:szCs w:val="32"/>
        </w:rPr>
        <w:t>南开区</w:t>
      </w:r>
      <w:r>
        <w:rPr>
          <w:rFonts w:eastAsia="仿宋_GB2312"/>
          <w:sz w:val="32"/>
          <w:szCs w:val="32"/>
        </w:rPr>
        <w:t>再生资源骨干企业</w:t>
      </w:r>
      <w:r>
        <w:rPr>
          <w:rFonts w:eastAsia="仿宋_GB2312"/>
          <w:kern w:val="0"/>
          <w:sz w:val="32"/>
          <w:szCs w:val="32"/>
        </w:rPr>
        <w:t>搭建绿色供应链数字化服务平台，</w:t>
      </w:r>
      <w:r>
        <w:rPr>
          <w:rFonts w:eastAsia="仿宋_GB2312"/>
          <w:sz w:val="32"/>
          <w:szCs w:val="32"/>
        </w:rPr>
        <w:t>开拓线上再生资源回收市场。2023</w:t>
      </w:r>
      <w:r>
        <w:rPr>
          <w:rFonts w:eastAsia="仿宋_GB2312"/>
          <w:kern w:val="0"/>
          <w:sz w:val="32"/>
          <w:szCs w:val="32"/>
        </w:rPr>
        <w:t>年，累计通过平台引流入驻南开区注册的市场主体超1000家，实现交易额4.18亿元。</w:t>
      </w:r>
      <w:r>
        <w:rPr>
          <w:rFonts w:eastAsia="仿宋_GB2312"/>
          <w:sz w:val="32"/>
          <w:szCs w:val="32"/>
        </w:rPr>
        <w:t>循环产业发展带动绿色消费，鲁能城商业综合体低碳技术应用等2个场景获市首批低碳应用场景，在全市率先探索应用碳普惠模式搭建废旧物资回收体系，资源循环回收利用体系的经验探索多次获中央广播电视总台等媒体采访报道并在全市推广。创建</w:t>
      </w:r>
      <w:r>
        <w:rPr>
          <w:rFonts w:hint="eastAsia" w:eastAsia="仿宋_GB2312"/>
          <w:sz w:val="32"/>
          <w:szCs w:val="32"/>
        </w:rPr>
        <w:t>“</w:t>
      </w:r>
      <w:r>
        <w:rPr>
          <w:rFonts w:eastAsia="仿宋_GB2312"/>
          <w:sz w:val="32"/>
          <w:szCs w:val="32"/>
        </w:rPr>
        <w:t>无废小区</w:t>
      </w:r>
      <w:r>
        <w:rPr>
          <w:rFonts w:hint="eastAsia" w:eastAsia="仿宋_GB2312"/>
          <w:sz w:val="32"/>
          <w:szCs w:val="32"/>
        </w:rPr>
        <w:t>”</w:t>
      </w:r>
      <w:r>
        <w:rPr>
          <w:rFonts w:eastAsia="仿宋_GB2312"/>
          <w:sz w:val="32"/>
          <w:szCs w:val="32"/>
        </w:rPr>
        <w:t>18个、</w:t>
      </w:r>
      <w:r>
        <w:rPr>
          <w:rFonts w:hint="eastAsia" w:eastAsia="仿宋_GB2312"/>
          <w:sz w:val="32"/>
          <w:szCs w:val="32"/>
        </w:rPr>
        <w:t>“</w:t>
      </w:r>
      <w:r>
        <w:rPr>
          <w:rFonts w:eastAsia="仿宋_GB2312"/>
          <w:sz w:val="32"/>
          <w:szCs w:val="32"/>
        </w:rPr>
        <w:t>无废酒店</w:t>
      </w:r>
      <w:r>
        <w:rPr>
          <w:rFonts w:hint="eastAsia" w:eastAsia="仿宋_GB2312"/>
          <w:sz w:val="32"/>
          <w:szCs w:val="32"/>
        </w:rPr>
        <w:t>”</w:t>
      </w:r>
      <w:r>
        <w:rPr>
          <w:rFonts w:eastAsia="仿宋_GB2312"/>
          <w:sz w:val="32"/>
          <w:szCs w:val="32"/>
        </w:rPr>
        <w:t>1家、</w:t>
      </w:r>
      <w:r>
        <w:rPr>
          <w:rFonts w:hint="eastAsia" w:eastAsia="仿宋_GB2312"/>
          <w:sz w:val="32"/>
          <w:szCs w:val="32"/>
        </w:rPr>
        <w:t>“</w:t>
      </w:r>
      <w:r>
        <w:rPr>
          <w:rFonts w:eastAsia="仿宋_GB2312"/>
          <w:sz w:val="32"/>
          <w:szCs w:val="32"/>
        </w:rPr>
        <w:t>无废科技园</w:t>
      </w:r>
      <w:r>
        <w:rPr>
          <w:rFonts w:hint="eastAsia" w:eastAsia="仿宋_GB2312"/>
          <w:sz w:val="32"/>
          <w:szCs w:val="32"/>
        </w:rPr>
        <w:t>”</w:t>
      </w:r>
      <w:r>
        <w:rPr>
          <w:rFonts w:eastAsia="仿宋_GB2312"/>
          <w:sz w:val="32"/>
          <w:szCs w:val="32"/>
        </w:rPr>
        <w:t>1个、</w:t>
      </w:r>
      <w:r>
        <w:rPr>
          <w:rFonts w:eastAsia="仿宋_GB2312"/>
          <w:kern w:val="0"/>
          <w:sz w:val="32"/>
          <w:szCs w:val="32"/>
        </w:rPr>
        <w:t>节约型机关70家、</w:t>
      </w:r>
      <w:r>
        <w:rPr>
          <w:rFonts w:eastAsia="仿宋_GB2312"/>
          <w:sz w:val="32"/>
          <w:szCs w:val="32"/>
        </w:rPr>
        <w:t>绿色社区171个、绿色商场2家，肯德基（奥城店）等2家餐厅创建全市首批</w:t>
      </w:r>
      <w:r>
        <w:rPr>
          <w:rFonts w:hint="eastAsia" w:eastAsia="仿宋_GB2312"/>
          <w:sz w:val="32"/>
          <w:szCs w:val="32"/>
        </w:rPr>
        <w:t>“</w:t>
      </w:r>
      <w:r>
        <w:rPr>
          <w:rFonts w:eastAsia="仿宋_GB2312"/>
          <w:sz w:val="32"/>
          <w:szCs w:val="32"/>
        </w:rPr>
        <w:t>绿色餐厅</w:t>
      </w:r>
      <w:r>
        <w:rPr>
          <w:rFonts w:hint="eastAsia" w:eastAsia="仿宋_GB2312"/>
          <w:sz w:val="32"/>
          <w:szCs w:val="32"/>
        </w:rPr>
        <w:t>”</w:t>
      </w:r>
      <w:r>
        <w:rPr>
          <w:rFonts w:eastAsia="仿宋_GB2312"/>
          <w:sz w:val="32"/>
          <w:szCs w:val="32"/>
        </w:rPr>
        <w:t>，</w:t>
      </w:r>
      <w:r>
        <w:rPr>
          <w:rFonts w:hint="eastAsia" w:eastAsia="仿宋_GB2312"/>
          <w:sz w:val="32"/>
          <w:szCs w:val="32"/>
        </w:rPr>
        <w:t xml:space="preserve"> 创建市级节水型企业（单位）85家、节水型居民小区158家，节水器具普及率达100%，成功入选全国第四批节水型社会建设达标区，</w:t>
      </w:r>
      <w:r>
        <w:rPr>
          <w:rFonts w:eastAsia="仿宋_GB2312"/>
          <w:kern w:val="0"/>
          <w:sz w:val="32"/>
          <w:szCs w:val="32"/>
        </w:rPr>
        <w:t>2023年被授予</w:t>
      </w:r>
      <w:r>
        <w:rPr>
          <w:rFonts w:hint="eastAsia" w:eastAsia="仿宋_GB2312"/>
          <w:kern w:val="0"/>
          <w:sz w:val="32"/>
          <w:szCs w:val="32"/>
        </w:rPr>
        <w:t>“</w:t>
      </w:r>
      <w:r>
        <w:rPr>
          <w:rFonts w:eastAsia="仿宋_GB2312"/>
          <w:kern w:val="0"/>
          <w:sz w:val="32"/>
          <w:szCs w:val="32"/>
        </w:rPr>
        <w:t>‘美丽中国，我是行动者’活动实践示范区</w:t>
      </w:r>
      <w:r>
        <w:rPr>
          <w:rFonts w:hint="eastAsia" w:eastAsia="仿宋_GB2312"/>
          <w:kern w:val="0"/>
          <w:sz w:val="32"/>
          <w:szCs w:val="32"/>
        </w:rPr>
        <w:t>”</w:t>
      </w:r>
      <w:r>
        <w:rPr>
          <w:rFonts w:eastAsia="仿宋_GB2312"/>
          <w:kern w:val="0"/>
          <w:sz w:val="32"/>
          <w:szCs w:val="32"/>
        </w:rPr>
        <w:t>称号，</w:t>
      </w:r>
      <w:r>
        <w:rPr>
          <w:rFonts w:hint="eastAsia" w:eastAsia="仿宋_GB2312"/>
          <w:kern w:val="0"/>
          <w:sz w:val="32"/>
          <w:szCs w:val="32"/>
        </w:rPr>
        <w:t>为生产生活领域绿色低碳转型提供生动实践。</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此外，以鲁能城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图书漂流计划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、大悦城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赶海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市集为载体，带动二手商品市场蓬勃发展，引领带动简约适度、绿色低碳、文明健康的生活理念和消费方式。</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eastAsia="仿宋_GB2312"/>
          <w:sz w:val="32"/>
          <w:szCs w:val="32"/>
        </w:rPr>
      </w:pPr>
      <w:r>
        <w:rPr>
          <w:rFonts w:eastAsia="仿宋_GB2312"/>
          <w:b w:val="0"/>
          <w:bCs/>
          <w:sz w:val="32"/>
          <w:szCs w:val="32"/>
        </w:rPr>
        <w:t>实施城市更新行动，人居环境持续改善成效显著。</w:t>
      </w:r>
      <w:r>
        <w:rPr>
          <w:rFonts w:eastAsia="仿宋_GB2312"/>
          <w:sz w:val="32"/>
          <w:szCs w:val="32"/>
        </w:rPr>
        <w:t>居民生活品质持续提升。扎实推进西营门片区、天拖片区城市更新项目，完成泊江东里等3个完整社区建设，稳步实施26个老旧小区改造工程，覆盖率达100%。补齐市政配套设施，完成20.5公里燃气老旧管网改造。建成低碳-低成本智能电磁双蓄能源站系统，为全部6.5万平方米建筑供暖，建设智慧供热平台、智慧停车云平台及桥下停车场，配建新能源汽车充电桩等基础设施。完成水阁大街等2条道路慢行交通改造，推动保障地铁7、8、11号线建设，</w:t>
      </w:r>
      <w:r>
        <w:rPr>
          <w:rFonts w:hint="eastAsia" w:eastAsia="仿宋_GB2312"/>
          <w:sz w:val="32"/>
          <w:szCs w:val="32"/>
        </w:rPr>
        <w:t>公交新能源车辆占比达100%。</w:t>
      </w:r>
      <w:r>
        <w:rPr>
          <w:rFonts w:eastAsia="仿宋_GB2312"/>
          <w:sz w:val="32"/>
          <w:szCs w:val="32"/>
        </w:rPr>
        <w:t>持续提高绿色建造、智能建造水平，新建居住建筑</w:t>
      </w:r>
      <w:r>
        <w:rPr>
          <w:rFonts w:hint="eastAsia" w:eastAsia="仿宋_GB2312"/>
          <w:sz w:val="32"/>
          <w:szCs w:val="32"/>
        </w:rPr>
        <w:t>100%</w:t>
      </w:r>
      <w:r>
        <w:rPr>
          <w:rFonts w:eastAsia="仿宋_GB2312"/>
          <w:sz w:val="32"/>
          <w:szCs w:val="32"/>
        </w:rPr>
        <w:t>执行四步节能设计标</w:t>
      </w:r>
      <w:r>
        <w:rPr>
          <w:rFonts w:hint="eastAsia" w:eastAsia="仿宋_GB2312"/>
          <w:sz w:val="32"/>
          <w:szCs w:val="32"/>
        </w:rPr>
        <w:t>准，</w:t>
      </w:r>
      <w:r>
        <w:rPr>
          <w:rFonts w:eastAsia="仿宋_GB2312"/>
          <w:sz w:val="32"/>
          <w:szCs w:val="32"/>
        </w:rPr>
        <w:t>2018-2023年，批复的新建民用项目319万平</w:t>
      </w:r>
      <w:r>
        <w:rPr>
          <w:rFonts w:hint="eastAsia" w:eastAsia="仿宋_GB2312"/>
          <w:sz w:val="32"/>
          <w:szCs w:val="32"/>
          <w:lang w:eastAsia="zh-CN"/>
        </w:rPr>
        <w:t>方</w:t>
      </w:r>
      <w:r>
        <w:rPr>
          <w:rFonts w:eastAsia="仿宋_GB2312"/>
          <w:sz w:val="32"/>
          <w:szCs w:val="32"/>
        </w:rPr>
        <w:t>米，除变电站等小型公共服务设施以外，有绿色建筑要求的建筑面积占比达到95%以上，星级绿色建筑面积占比达到30%以上</w:t>
      </w:r>
      <w:r>
        <w:rPr>
          <w:rFonts w:hint="eastAsia" w:eastAsia="仿宋_GB2312"/>
          <w:sz w:val="32"/>
          <w:szCs w:val="32"/>
        </w:rPr>
        <w:t>，</w:t>
      </w:r>
      <w:r>
        <w:rPr>
          <w:rFonts w:eastAsia="仿宋_GB2312"/>
          <w:sz w:val="32"/>
          <w:szCs w:val="32"/>
        </w:rPr>
        <w:t>新开工的民用建筑总面积的67.5%（即全部地上建筑）实施装配式建筑。实施全域生活垃圾处理设施建设、提升改造，新建50座四分类箱房，完成150处投放点的生活分类亭密闭化改造升级，创建万兴街等5个垃圾分类示范街，实现垃圾分类整街制全覆盖。</w:t>
      </w:r>
    </w:p>
    <w:p>
      <w:pPr>
        <w:pStyle w:val="36"/>
        <w:pageBreakBefore w:val="0"/>
        <w:widowControl w:val="0"/>
        <w:kinsoku/>
        <w:wordWrap/>
        <w:overflowPunct/>
        <w:topLinePunct w:val="0"/>
        <w:autoSpaceDE/>
        <w:autoSpaceDN/>
        <w:bidi w:val="0"/>
        <w:adjustRightInd w:val="0"/>
        <w:snapToGrid w:val="0"/>
        <w:spacing w:line="560" w:lineRule="exact"/>
        <w:ind w:firstLine="640"/>
        <w:jc w:val="both"/>
        <w:textAlignment w:val="auto"/>
        <w:rPr>
          <w:rFonts w:eastAsia="仿宋_GB2312"/>
          <w:sz w:val="32"/>
          <w:szCs w:val="32"/>
        </w:rPr>
      </w:pPr>
      <w:r>
        <w:rPr>
          <w:rFonts w:eastAsia="仿宋_GB2312"/>
          <w:sz w:val="32"/>
          <w:szCs w:val="32"/>
        </w:rPr>
        <w:t>园林绿化改造持续提升。</w:t>
      </w:r>
      <w:r>
        <w:rPr>
          <w:rFonts w:hint="eastAsia" w:eastAsia="仿宋_GB2312"/>
          <w:bCs/>
          <w:spacing w:val="6"/>
          <w:kern w:val="0"/>
          <w:sz w:val="32"/>
          <w:szCs w:val="32"/>
        </w:rPr>
        <w:t>荣获“全国绿化模范城区”称号。</w:t>
      </w:r>
      <w:r>
        <w:rPr>
          <w:rFonts w:eastAsia="仿宋_GB2312"/>
          <w:sz w:val="32"/>
          <w:szCs w:val="32"/>
        </w:rPr>
        <w:t>建成1.7万平方米南运河文化公园并向公众开放，实现南运河南岸东西贯通、景观连续、环境宜人、兼具功能的建设目标。除水上、南翠屏等大型公园外，利用边角地打造云龙里游园、简阳路游园、复康路游园等16个口袋公园，满足群众开门见绿的美好生活需求。对中南道等18条道路段累计补植苗木1000多棵，完善绿化层次，营造绿色优美的出行环境。启动长虹公园品质提升特许经营项目（一期），与社会资本合作，采取</w:t>
      </w:r>
      <w:r>
        <w:rPr>
          <w:rFonts w:hint="eastAsia" w:eastAsia="仿宋_GB2312"/>
          <w:sz w:val="32"/>
          <w:szCs w:val="32"/>
        </w:rPr>
        <w:t>“</w:t>
      </w:r>
      <w:r>
        <w:rPr>
          <w:rFonts w:eastAsia="仿宋_GB2312"/>
          <w:sz w:val="32"/>
          <w:szCs w:val="32"/>
        </w:rPr>
        <w:t>投资-建设-运营</w:t>
      </w:r>
      <w:r>
        <w:rPr>
          <w:rFonts w:hint="eastAsia" w:eastAsia="仿宋_GB2312"/>
          <w:sz w:val="32"/>
          <w:szCs w:val="32"/>
        </w:rPr>
        <w:t>”</w:t>
      </w:r>
      <w:r>
        <w:rPr>
          <w:rFonts w:eastAsia="仿宋_GB2312"/>
          <w:sz w:val="32"/>
          <w:szCs w:val="32"/>
        </w:rPr>
        <w:t>模式，进一步优化公园运营，丰富市民文化旅游生活。</w:t>
      </w:r>
    </w:p>
    <w:p>
      <w:pPr>
        <w:pStyle w:val="36"/>
        <w:pageBreakBefore w:val="0"/>
        <w:widowControl w:val="0"/>
        <w:kinsoku/>
        <w:wordWrap/>
        <w:overflowPunct/>
        <w:topLinePunct w:val="0"/>
        <w:autoSpaceDE/>
        <w:autoSpaceDN/>
        <w:bidi w:val="0"/>
        <w:spacing w:line="560" w:lineRule="exact"/>
        <w:ind w:firstLine="643"/>
        <w:jc w:val="both"/>
        <w:textAlignment w:val="auto"/>
        <w:rPr>
          <w:rFonts w:eastAsia="仿宋_GB2312"/>
          <w:sz w:val="32"/>
          <w:szCs w:val="32"/>
        </w:rPr>
      </w:pPr>
      <w:r>
        <w:rPr>
          <w:rFonts w:eastAsia="仿宋_GB2312"/>
          <w:b w:val="0"/>
          <w:bCs/>
          <w:sz w:val="32"/>
          <w:szCs w:val="32"/>
        </w:rPr>
        <w:t>深入污染防治攻坚，生态环境质量改善成效显著。</w:t>
      </w:r>
      <w:r>
        <w:rPr>
          <w:rFonts w:eastAsia="仿宋_GB2312"/>
          <w:sz w:val="32"/>
          <w:szCs w:val="32"/>
        </w:rPr>
        <w:t>深入打好蓝天保卫战。</w:t>
      </w:r>
      <w:r>
        <w:rPr>
          <w:rFonts w:hint="eastAsia" w:eastAsia="仿宋_GB2312"/>
          <w:sz w:val="32"/>
          <w:szCs w:val="32"/>
        </w:rPr>
        <w:t>规上工业煤炭消费实现动态清零。</w:t>
      </w:r>
      <w:r>
        <w:rPr>
          <w:rFonts w:eastAsia="仿宋_GB2312"/>
          <w:sz w:val="32"/>
          <w:szCs w:val="32"/>
        </w:rPr>
        <w:t>深入开展百日攻坚，在全市率先上线网络版</w:t>
      </w:r>
      <w:r>
        <w:rPr>
          <w:rFonts w:hint="eastAsia" w:eastAsia="仿宋_GB2312"/>
          <w:sz w:val="32"/>
          <w:szCs w:val="32"/>
        </w:rPr>
        <w:t>“</w:t>
      </w:r>
      <w:r>
        <w:rPr>
          <w:rFonts w:eastAsia="仿宋_GB2312"/>
          <w:sz w:val="32"/>
          <w:szCs w:val="32"/>
        </w:rPr>
        <w:t>作战地图</w:t>
      </w:r>
      <w:r>
        <w:rPr>
          <w:rFonts w:hint="eastAsia" w:eastAsia="仿宋_GB2312"/>
          <w:sz w:val="32"/>
          <w:szCs w:val="32"/>
        </w:rPr>
        <w:t>”</w:t>
      </w:r>
      <w:r>
        <w:rPr>
          <w:rFonts w:eastAsia="仿宋_GB2312"/>
          <w:sz w:val="32"/>
          <w:szCs w:val="32"/>
        </w:rPr>
        <w:t>，充分发挥</w:t>
      </w:r>
      <w:r>
        <w:rPr>
          <w:rFonts w:hint="eastAsia" w:eastAsia="仿宋_GB2312"/>
          <w:sz w:val="32"/>
          <w:szCs w:val="32"/>
        </w:rPr>
        <w:t>“</w:t>
      </w:r>
      <w:r>
        <w:rPr>
          <w:rFonts w:eastAsia="仿宋_GB2312"/>
          <w:sz w:val="32"/>
          <w:szCs w:val="32"/>
        </w:rPr>
        <w:t>数据值守</w:t>
      </w:r>
      <w:r>
        <w:rPr>
          <w:rFonts w:hint="eastAsia" w:eastAsia="仿宋_GB2312"/>
          <w:sz w:val="32"/>
          <w:szCs w:val="32"/>
        </w:rPr>
        <w:t>”</w:t>
      </w:r>
      <w:r>
        <w:rPr>
          <w:rFonts w:eastAsia="仿宋_GB2312"/>
          <w:sz w:val="32"/>
          <w:szCs w:val="32"/>
        </w:rPr>
        <w:t>和指挥调度职能，深挖网格化管理潜力，累计出动10189人次，检查点位7599家次，近十年PM</w:t>
      </w:r>
      <w:r>
        <w:rPr>
          <w:rFonts w:eastAsia="仿宋_GB2312"/>
          <w:sz w:val="32"/>
          <w:szCs w:val="32"/>
          <w:vertAlign w:val="subscript"/>
        </w:rPr>
        <w:t>2.5</w:t>
      </w:r>
      <w:r>
        <w:rPr>
          <w:rFonts w:eastAsia="仿宋_GB2312"/>
          <w:sz w:val="32"/>
          <w:szCs w:val="32"/>
        </w:rPr>
        <w:t>浓度下降54.9%，优良天数比例提升22.1个百分点，重污染天数减少37天，空气质量综合指数排名全市第二、中心城区第一。深入打好碧水保卫战。加强水环境管理，定期开展河道水质监测并进行科学研判；推进城镇水环境基础设施建设，累计完成雨污混接点改造494处，平陆西里等六个小区及光明路实现雨污水分流制改造，切改污水管道11236米，建立雨水管网（井）清掏长效机制；持续开展涉水执法检查，出动人员512人次，检查医院206家次、工业企业26家次；持续推进入河排污口规范化建设，加强沿街餐饮业乱泼乱倒检查与普法教育；地表水达到或好于Ⅲ类水体比例由2020年的55%提高到2023年的100%，黑臭水体消除率达到100%，地下水环境质量保持稳定。深入打好净土保卫战。完成用途变更为</w:t>
      </w:r>
      <w:r>
        <w:rPr>
          <w:rFonts w:hint="eastAsia" w:eastAsia="仿宋_GB2312"/>
          <w:sz w:val="32"/>
          <w:szCs w:val="32"/>
        </w:rPr>
        <w:t>“</w:t>
      </w:r>
      <w:r>
        <w:rPr>
          <w:rFonts w:eastAsia="仿宋_GB2312"/>
          <w:sz w:val="32"/>
          <w:szCs w:val="32"/>
        </w:rPr>
        <w:t>一住两公</w:t>
      </w:r>
      <w:r>
        <w:rPr>
          <w:rFonts w:hint="eastAsia" w:eastAsia="仿宋_GB2312"/>
          <w:sz w:val="32"/>
          <w:szCs w:val="32"/>
        </w:rPr>
        <w:t>”</w:t>
      </w:r>
      <w:r>
        <w:rPr>
          <w:rFonts w:eastAsia="仿宋_GB2312"/>
          <w:sz w:val="32"/>
          <w:szCs w:val="32"/>
        </w:rPr>
        <w:t>的3块土壤污染状况调查，推广绿色修复理念，采用陶粒窑协同技术处置灵隐南里南侧地块污染土壤，重点建设用地土壤安全利用率达到100%。</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eastAsia="仿宋_GB2312"/>
          <w:sz w:val="32"/>
          <w:szCs w:val="32"/>
        </w:rPr>
      </w:pPr>
      <w:r>
        <w:rPr>
          <w:rFonts w:eastAsia="仿宋_GB2312"/>
          <w:b w:val="0"/>
          <w:bCs/>
          <w:kern w:val="0"/>
          <w:sz w:val="32"/>
          <w:szCs w:val="32"/>
        </w:rPr>
        <w:t>用好历史文化资源，商旅文融合特色产业发展成效显著。</w:t>
      </w:r>
      <w:r>
        <w:rPr>
          <w:rFonts w:eastAsia="仿宋_GB2312"/>
          <w:sz w:val="32"/>
          <w:szCs w:val="32"/>
        </w:rPr>
        <w:t>南开区历史悠久、古迹众多、文化底蕴深厚，天后宫、文庙、鼓楼等著名文化古迹坐落于此，拥有老城文化、妈祖文化、</w:t>
      </w:r>
      <w:r>
        <w:rPr>
          <w:rFonts w:hint="eastAsia" w:eastAsia="仿宋_GB2312"/>
          <w:sz w:val="32"/>
          <w:szCs w:val="32"/>
          <w:lang w:eastAsia="zh-CN"/>
        </w:rPr>
        <w:t>漕运</w:t>
      </w:r>
      <w:r>
        <w:rPr>
          <w:rFonts w:eastAsia="仿宋_GB2312"/>
          <w:sz w:val="32"/>
          <w:szCs w:val="32"/>
        </w:rPr>
        <w:t>文化等宝贵资源，其中老城厢地区集中了天津中心城区最具代表性的民俗文化资源，是天津民俗文化的发祥地。丰富的历史文化资源，造就了南开区旅游产业蓬勃发展，古文化街旅游商贸区为中心城区唯一国家5A级旅游景区，鼓楼商业步行旅游街集观光旅游、文化展示、历史风貌、休闲购物于一体，成为城市新亮点。2023年，围绕</w:t>
      </w:r>
      <w:r>
        <w:rPr>
          <w:rFonts w:hint="eastAsia" w:eastAsia="仿宋_GB2312"/>
          <w:sz w:val="32"/>
          <w:szCs w:val="32"/>
        </w:rPr>
        <w:t>“</w:t>
      </w:r>
      <w:r>
        <w:rPr>
          <w:rFonts w:eastAsia="仿宋_GB2312"/>
          <w:sz w:val="32"/>
          <w:szCs w:val="32"/>
        </w:rPr>
        <w:t>文化强区</w:t>
      </w:r>
      <w:r>
        <w:rPr>
          <w:rFonts w:hint="eastAsia" w:eastAsia="仿宋_GB2312"/>
          <w:sz w:val="32"/>
          <w:szCs w:val="32"/>
        </w:rPr>
        <w:t>”</w:t>
      </w:r>
      <w:r>
        <w:rPr>
          <w:rFonts w:eastAsia="仿宋_GB2312"/>
          <w:sz w:val="32"/>
          <w:szCs w:val="32"/>
        </w:rPr>
        <w:t>，将历史遗存与城市景观、自然山水串珠成链、连线成片，打造形成文博场馆等5条精品线路，推出花香南开等10大精选旅游主题，获评国家级旅游休闲街区、市级全域旅游示范区。祥禾饽饽铺、郁美净文创产品荣获2023中国特色旅游商品大赛金奖。举办天津市首届</w:t>
      </w:r>
      <w:r>
        <w:rPr>
          <w:rFonts w:hint="eastAsia" w:eastAsia="仿宋_GB2312"/>
          <w:sz w:val="32"/>
          <w:szCs w:val="32"/>
        </w:rPr>
        <w:t>“</w:t>
      </w:r>
      <w:r>
        <w:rPr>
          <w:rFonts w:eastAsia="仿宋_GB2312"/>
          <w:sz w:val="32"/>
          <w:szCs w:val="32"/>
        </w:rPr>
        <w:t>牡丹文化节</w:t>
      </w:r>
      <w:r>
        <w:rPr>
          <w:rFonts w:hint="eastAsia" w:eastAsia="仿宋_GB2312"/>
          <w:sz w:val="32"/>
          <w:szCs w:val="32"/>
        </w:rPr>
        <w:t>”</w:t>
      </w:r>
      <w:r>
        <w:rPr>
          <w:rFonts w:eastAsia="仿宋_GB2312"/>
          <w:sz w:val="32"/>
          <w:szCs w:val="32"/>
        </w:rPr>
        <w:t>暨南开区第二届</w:t>
      </w:r>
      <w:r>
        <w:rPr>
          <w:rFonts w:hint="eastAsia" w:eastAsia="仿宋_GB2312"/>
          <w:sz w:val="32"/>
          <w:szCs w:val="32"/>
        </w:rPr>
        <w:t>“</w:t>
      </w:r>
      <w:r>
        <w:rPr>
          <w:rFonts w:eastAsia="仿宋_GB2312"/>
          <w:sz w:val="32"/>
          <w:szCs w:val="32"/>
        </w:rPr>
        <w:t>津彩·南开</w:t>
      </w:r>
      <w:r>
        <w:rPr>
          <w:rFonts w:hint="eastAsia" w:eastAsia="仿宋_GB2312"/>
          <w:sz w:val="32"/>
          <w:szCs w:val="32"/>
        </w:rPr>
        <w:t>”</w:t>
      </w:r>
      <w:r>
        <w:rPr>
          <w:rFonts w:eastAsia="仿宋_GB2312"/>
          <w:sz w:val="32"/>
          <w:szCs w:val="32"/>
        </w:rPr>
        <w:t>文化旅游节等各类文化节事活动900余场，各大商超和景区客流总量超过7000万人次，社会消费品零售总额超过400亿元。</w:t>
      </w:r>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eastAsia="仿宋_GB2312"/>
          <w:sz w:val="32"/>
          <w:szCs w:val="32"/>
        </w:rPr>
      </w:pPr>
      <w:r>
        <w:rPr>
          <w:rFonts w:eastAsia="仿宋_GB2312"/>
          <w:b w:val="0"/>
          <w:bCs w:val="0"/>
          <w:color w:val="000000" w:themeColor="text1"/>
          <w:sz w:val="32"/>
          <w:szCs w:val="32"/>
        </w:rPr>
        <w:t>坚持守正创新，生态文明体制改革成效显著。</w:t>
      </w:r>
      <w:r>
        <w:rPr>
          <w:rFonts w:eastAsia="仿宋_GB2312"/>
          <w:bCs/>
          <w:sz w:val="32"/>
          <w:szCs w:val="32"/>
        </w:rPr>
        <w:t>成立党政主</w:t>
      </w:r>
      <w:r>
        <w:rPr>
          <w:rFonts w:eastAsia="仿宋_GB2312"/>
          <w:bCs/>
          <w:color w:val="000000" w:themeColor="text1"/>
          <w:sz w:val="32"/>
          <w:szCs w:val="32"/>
        </w:rPr>
        <w:t>要负责同志担纲领衔的生态环保委、污染防治攻坚指挥部等，以坚强组织领导提升生态文明建设工作效能。对生态环境部门领导干部开展自然资源离任审计。2023年，通过磋商等形式办理5起生态环境损害赔偿案件。全面实施</w:t>
      </w:r>
      <w:r>
        <w:rPr>
          <w:rFonts w:hint="eastAsia" w:eastAsia="仿宋_GB2312"/>
          <w:bCs/>
          <w:color w:val="000000" w:themeColor="text1"/>
          <w:sz w:val="32"/>
          <w:szCs w:val="32"/>
        </w:rPr>
        <w:t>“</w:t>
      </w:r>
      <w:r>
        <w:rPr>
          <w:rFonts w:eastAsia="仿宋_GB2312"/>
          <w:bCs/>
          <w:color w:val="000000" w:themeColor="text1"/>
          <w:sz w:val="32"/>
          <w:szCs w:val="32"/>
        </w:rPr>
        <w:t>三线一单</w:t>
      </w:r>
      <w:r>
        <w:rPr>
          <w:rFonts w:hint="eastAsia" w:eastAsia="仿宋_GB2312"/>
          <w:bCs/>
          <w:color w:val="000000" w:themeColor="text1"/>
          <w:sz w:val="32"/>
          <w:szCs w:val="32"/>
        </w:rPr>
        <w:t>”</w:t>
      </w:r>
      <w:r>
        <w:rPr>
          <w:rFonts w:eastAsia="仿宋_GB2312"/>
          <w:bCs/>
          <w:color w:val="000000" w:themeColor="text1"/>
          <w:sz w:val="32"/>
          <w:szCs w:val="32"/>
        </w:rPr>
        <w:t>生态环境分区管控。全面推行河（湖）长制。完成重点</w:t>
      </w:r>
      <w:r>
        <w:rPr>
          <w:rFonts w:eastAsia="仿宋_GB2312"/>
          <w:bCs/>
          <w:sz w:val="32"/>
          <w:szCs w:val="32"/>
        </w:rPr>
        <w:t>行</w:t>
      </w:r>
      <w:r>
        <w:rPr>
          <w:rFonts w:eastAsia="仿宋_GB2312"/>
          <w:sz w:val="32"/>
          <w:szCs w:val="32"/>
        </w:rPr>
        <w:t>业排污许可证核发，基本实现固定污染源排污许可全覆盖。在全市率先印发《天津市南开区碳达峰实施方案》，构</w:t>
      </w:r>
      <w:r>
        <w:rPr>
          <w:rFonts w:eastAsia="仿宋_GB2312"/>
          <w:bCs/>
          <w:color w:val="000000" w:themeColor="text1"/>
          <w:sz w:val="32"/>
          <w:szCs w:val="32"/>
        </w:rPr>
        <w:t>建碳达峰碳中和</w:t>
      </w:r>
      <w:r>
        <w:rPr>
          <w:rFonts w:hint="eastAsia" w:eastAsia="仿宋_GB2312"/>
          <w:bCs/>
          <w:color w:val="000000" w:themeColor="text1"/>
          <w:sz w:val="32"/>
          <w:szCs w:val="32"/>
        </w:rPr>
        <w:t>“</w:t>
      </w:r>
      <w:r>
        <w:rPr>
          <w:rFonts w:eastAsia="仿宋_GB2312"/>
          <w:bCs/>
          <w:color w:val="000000" w:themeColor="text1"/>
          <w:sz w:val="32"/>
          <w:szCs w:val="32"/>
        </w:rPr>
        <w:t>1+4+7</w:t>
      </w:r>
      <w:r>
        <w:rPr>
          <w:rFonts w:hint="eastAsia" w:eastAsia="仿宋_GB2312"/>
          <w:bCs/>
          <w:color w:val="000000" w:themeColor="text1"/>
          <w:sz w:val="32"/>
          <w:szCs w:val="32"/>
        </w:rPr>
        <w:t>”</w:t>
      </w:r>
      <w:r>
        <w:rPr>
          <w:rFonts w:eastAsia="仿宋_GB2312"/>
          <w:bCs/>
          <w:color w:val="000000" w:themeColor="text1"/>
          <w:sz w:val="32"/>
          <w:szCs w:val="32"/>
        </w:rPr>
        <w:t>政策体系。采取生态环境损害赔偿、绿色金融、财政投入等多种途径，探索生态环境保护多元投入机制</w:t>
      </w:r>
      <w:r>
        <w:rPr>
          <w:rFonts w:eastAsia="仿宋_GB2312"/>
          <w:color w:val="000000"/>
          <w:sz w:val="32"/>
          <w:szCs w:val="32"/>
        </w:rPr>
        <w:t>。</w:t>
      </w:r>
      <w:r>
        <w:rPr>
          <w:rFonts w:eastAsia="仿宋_GB2312"/>
          <w:sz w:val="32"/>
          <w:szCs w:val="32"/>
        </w:rPr>
        <w:t>依托区内高校、科研院所、天开园等科教产业资源，开展绿色低碳技术攻关，培育绿色新质生产力。打造</w:t>
      </w:r>
      <w:r>
        <w:rPr>
          <w:rFonts w:hint="eastAsia" w:eastAsia="仿宋_GB2312"/>
          <w:sz w:val="32"/>
          <w:szCs w:val="32"/>
        </w:rPr>
        <w:t>“</w:t>
      </w:r>
      <w:r>
        <w:rPr>
          <w:rFonts w:eastAsia="仿宋_GB2312"/>
          <w:sz w:val="32"/>
          <w:szCs w:val="32"/>
        </w:rPr>
        <w:t>党建+业务</w:t>
      </w:r>
      <w:r>
        <w:rPr>
          <w:rFonts w:hint="eastAsia" w:eastAsia="仿宋_GB2312"/>
          <w:sz w:val="32"/>
          <w:szCs w:val="32"/>
        </w:rPr>
        <w:t>”</w:t>
      </w:r>
      <w:r>
        <w:rPr>
          <w:rFonts w:eastAsia="仿宋_GB2312"/>
          <w:sz w:val="32"/>
          <w:szCs w:val="32"/>
        </w:rPr>
        <w:t>深度融合的党建先锋项目，以</w:t>
      </w:r>
      <w:r>
        <w:rPr>
          <w:rFonts w:hint="eastAsia" w:eastAsia="仿宋_GB2312"/>
          <w:sz w:val="32"/>
          <w:szCs w:val="32"/>
        </w:rPr>
        <w:t>“</w:t>
      </w:r>
      <w:r>
        <w:rPr>
          <w:rFonts w:eastAsia="仿宋_GB2312"/>
          <w:sz w:val="32"/>
          <w:szCs w:val="32"/>
        </w:rPr>
        <w:t>党建红</w:t>
      </w:r>
      <w:r>
        <w:rPr>
          <w:rFonts w:hint="eastAsia" w:eastAsia="仿宋_GB2312"/>
          <w:sz w:val="32"/>
          <w:szCs w:val="32"/>
        </w:rPr>
        <w:t>”</w:t>
      </w:r>
      <w:r>
        <w:rPr>
          <w:rFonts w:eastAsia="仿宋_GB2312"/>
          <w:sz w:val="32"/>
          <w:szCs w:val="32"/>
        </w:rPr>
        <w:t>引领</w:t>
      </w:r>
      <w:r>
        <w:rPr>
          <w:rFonts w:hint="eastAsia" w:eastAsia="仿宋_GB2312"/>
          <w:sz w:val="32"/>
          <w:szCs w:val="32"/>
        </w:rPr>
        <w:t>“</w:t>
      </w:r>
      <w:r>
        <w:rPr>
          <w:rFonts w:eastAsia="仿宋_GB2312"/>
          <w:sz w:val="32"/>
          <w:szCs w:val="32"/>
        </w:rPr>
        <w:t>生态绿</w:t>
      </w:r>
      <w:r>
        <w:rPr>
          <w:rFonts w:hint="eastAsia" w:eastAsia="仿宋_GB2312"/>
          <w:sz w:val="32"/>
          <w:szCs w:val="32"/>
        </w:rPr>
        <w:t>”</w:t>
      </w:r>
      <w:r>
        <w:rPr>
          <w:rFonts w:eastAsia="仿宋_GB2312"/>
          <w:sz w:val="32"/>
          <w:szCs w:val="32"/>
        </w:rPr>
        <w:t>，搭建</w:t>
      </w:r>
      <w:r>
        <w:rPr>
          <w:rFonts w:hint="eastAsia" w:eastAsia="仿宋_GB2312"/>
          <w:sz w:val="32"/>
          <w:szCs w:val="32"/>
        </w:rPr>
        <w:t>“</w:t>
      </w:r>
      <w:r>
        <w:rPr>
          <w:rFonts w:eastAsia="仿宋_GB2312"/>
          <w:sz w:val="32"/>
          <w:szCs w:val="32"/>
        </w:rPr>
        <w:t>重污染应急科室分片、水环境治理党员分段、环境信访党员先行</w:t>
      </w:r>
      <w:r>
        <w:rPr>
          <w:rFonts w:hint="eastAsia" w:eastAsia="仿宋_GB2312"/>
          <w:sz w:val="32"/>
          <w:szCs w:val="32"/>
        </w:rPr>
        <w:t>”</w:t>
      </w:r>
      <w:r>
        <w:rPr>
          <w:rFonts w:eastAsia="仿宋_GB2312"/>
          <w:sz w:val="32"/>
          <w:szCs w:val="32"/>
        </w:rPr>
        <w:t>的党建引领环境治理的长效机制，建立具有南开生态环境特色的生态环境治理模式体系。</w:t>
      </w:r>
      <w:bookmarkStart w:id="2" w:name="_Toc167262232"/>
    </w:p>
    <w:p>
      <w:pPr>
        <w:pStyle w:val="36"/>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（二）面临形势</w:t>
      </w:r>
      <w:bookmarkEnd w:id="2"/>
    </w:p>
    <w:p>
      <w:pPr>
        <w:pStyle w:val="49"/>
        <w:pageBreakBefore w:val="0"/>
        <w:widowControl w:val="0"/>
        <w:kinsoku/>
        <w:wordWrap/>
        <w:overflowPunct/>
        <w:topLinePunct w:val="0"/>
        <w:autoSpaceDE/>
        <w:autoSpaceDN/>
        <w:bidi w:val="0"/>
        <w:spacing w:line="560" w:lineRule="exact"/>
        <w:ind w:firstLine="640"/>
        <w:jc w:val="both"/>
        <w:textAlignment w:val="auto"/>
        <w:rPr>
          <w:rFonts w:eastAsia="仿宋_GB2312"/>
          <w:sz w:val="32"/>
          <w:szCs w:val="32"/>
        </w:rPr>
      </w:pPr>
      <w:r>
        <w:rPr>
          <w:rFonts w:eastAsia="仿宋_GB2312"/>
          <w:sz w:val="32"/>
          <w:szCs w:val="32"/>
        </w:rPr>
        <w:t>我国经济社会发展已进入加快绿色化、低碳化的高质量发展阶段。未来一段时期，习近平生态文明思想更加深入人心，碳达峰、碳中和目标日益融入经济社会发展和生态文明建设整体布局，绿色低碳发展成为普遍共识，生态文明建设进入到统筹产业结构调整、污染治理、生态保护、应对气候变化，协同推进降碳、减污、扩绿、增长，促进经济社会发展全面绿色转型的关键时期。习近平总书记视察天津，更为天津发展指明了前进方向。</w:t>
      </w:r>
      <w:r>
        <w:rPr>
          <w:rFonts w:hint="eastAsia" w:eastAsia="仿宋_GB2312"/>
          <w:bCs/>
          <w:spacing w:val="6"/>
          <w:sz w:val="32"/>
          <w:szCs w:val="32"/>
        </w:rPr>
        <w:t>新一轮科技革命和产业变革深入发展，“互联网+”、大数据、人工智能等领域技术创新呈现爆发式增长，同时</w:t>
      </w:r>
      <w:r>
        <w:rPr>
          <w:rFonts w:eastAsia="仿宋_GB2312"/>
          <w:bCs/>
          <w:spacing w:val="6"/>
          <w:sz w:val="32"/>
          <w:szCs w:val="32"/>
        </w:rPr>
        <w:t>科技资源禀赋优势明显</w:t>
      </w:r>
      <w:r>
        <w:rPr>
          <w:rFonts w:hint="eastAsia" w:eastAsia="仿宋_GB2312"/>
          <w:bCs/>
          <w:spacing w:val="6"/>
          <w:sz w:val="32"/>
          <w:szCs w:val="32"/>
        </w:rPr>
        <w:t>有助于南开区加快布局以科技创新为主攻方向的产业体系。</w:t>
      </w:r>
      <w:r>
        <w:rPr>
          <w:rFonts w:eastAsia="仿宋_GB2312"/>
          <w:sz w:val="32"/>
          <w:szCs w:val="32"/>
        </w:rPr>
        <w:t>南开区正在瞄准</w:t>
      </w:r>
      <w:r>
        <w:rPr>
          <w:rFonts w:hint="eastAsia" w:eastAsia="仿宋_GB2312"/>
          <w:sz w:val="32"/>
          <w:szCs w:val="32"/>
        </w:rPr>
        <w:t>“</w:t>
      </w:r>
      <w:r>
        <w:rPr>
          <w:rFonts w:eastAsia="仿宋_GB2312"/>
          <w:sz w:val="32"/>
          <w:szCs w:val="32"/>
        </w:rPr>
        <w:t>创新南开</w:t>
      </w:r>
      <w:r>
        <w:rPr>
          <w:rFonts w:hint="eastAsia" w:eastAsia="仿宋_GB2312"/>
          <w:sz w:val="32"/>
          <w:szCs w:val="32"/>
        </w:rPr>
        <w:t>”</w:t>
      </w:r>
      <w:r>
        <w:rPr>
          <w:rFonts w:eastAsia="仿宋_GB2312"/>
          <w:sz w:val="32"/>
          <w:szCs w:val="32"/>
        </w:rPr>
        <w:t>功能定位，聚焦经济建设这一中心工作和高质量发展这一首要任务，以推进京津冀协同发展为战略牵引，大力推进高质量发展</w:t>
      </w:r>
      <w:r>
        <w:rPr>
          <w:rFonts w:hint="eastAsia" w:eastAsia="仿宋_GB2312"/>
          <w:sz w:val="32"/>
          <w:szCs w:val="32"/>
        </w:rPr>
        <w:t>“</w:t>
      </w:r>
      <w:r>
        <w:rPr>
          <w:rFonts w:eastAsia="仿宋_GB2312"/>
          <w:sz w:val="32"/>
          <w:szCs w:val="32"/>
        </w:rPr>
        <w:t>十项行动</w:t>
      </w:r>
      <w:r>
        <w:rPr>
          <w:rFonts w:hint="eastAsia" w:eastAsia="仿宋_GB2312"/>
          <w:sz w:val="32"/>
          <w:szCs w:val="32"/>
        </w:rPr>
        <w:t>”</w:t>
      </w:r>
      <w:r>
        <w:rPr>
          <w:rFonts w:eastAsia="仿宋_GB2312"/>
          <w:sz w:val="32"/>
          <w:szCs w:val="32"/>
        </w:rPr>
        <w:t>，深化拓展区委</w:t>
      </w:r>
      <w:r>
        <w:rPr>
          <w:rFonts w:hint="eastAsia" w:eastAsia="仿宋_GB2312"/>
          <w:sz w:val="32"/>
          <w:szCs w:val="32"/>
        </w:rPr>
        <w:t>“</w:t>
      </w:r>
      <w:r>
        <w:rPr>
          <w:rFonts w:eastAsia="仿宋_GB2312"/>
          <w:sz w:val="32"/>
          <w:szCs w:val="32"/>
        </w:rPr>
        <w:t>一三二一</w:t>
      </w:r>
      <w:r>
        <w:rPr>
          <w:rFonts w:hint="eastAsia" w:eastAsia="仿宋_GB2312"/>
          <w:sz w:val="32"/>
          <w:szCs w:val="32"/>
        </w:rPr>
        <w:t>”</w:t>
      </w:r>
      <w:r>
        <w:rPr>
          <w:rFonts w:eastAsia="仿宋_GB2312"/>
          <w:sz w:val="32"/>
          <w:szCs w:val="32"/>
        </w:rPr>
        <w:t>工作思路，</w:t>
      </w:r>
      <w:r>
        <w:rPr>
          <w:rFonts w:hint="eastAsia" w:eastAsia="仿宋_GB2312"/>
          <w:sz w:val="32"/>
          <w:szCs w:val="32"/>
        </w:rPr>
        <w:t>“</w:t>
      </w:r>
      <w:r>
        <w:rPr>
          <w:rFonts w:eastAsia="仿宋_GB2312"/>
          <w:sz w:val="32"/>
          <w:szCs w:val="32"/>
        </w:rPr>
        <w:t>三新</w:t>
      </w:r>
      <w:r>
        <w:rPr>
          <w:rFonts w:hint="eastAsia" w:eastAsia="仿宋_GB2312"/>
          <w:sz w:val="32"/>
          <w:szCs w:val="32"/>
        </w:rPr>
        <w:t>”</w:t>
      </w:r>
      <w:r>
        <w:rPr>
          <w:rFonts w:eastAsia="仿宋_GB2312"/>
          <w:sz w:val="32"/>
          <w:szCs w:val="32"/>
        </w:rPr>
        <w:t>共进、</w:t>
      </w:r>
      <w:r>
        <w:rPr>
          <w:rFonts w:hint="eastAsia" w:eastAsia="仿宋_GB2312"/>
          <w:sz w:val="32"/>
          <w:szCs w:val="32"/>
        </w:rPr>
        <w:t>“</w:t>
      </w:r>
      <w:r>
        <w:rPr>
          <w:rFonts w:eastAsia="仿宋_GB2312"/>
          <w:sz w:val="32"/>
          <w:szCs w:val="32"/>
        </w:rPr>
        <w:t>三量</w:t>
      </w:r>
      <w:r>
        <w:rPr>
          <w:rFonts w:hint="eastAsia" w:eastAsia="仿宋_GB2312"/>
          <w:sz w:val="32"/>
          <w:szCs w:val="32"/>
        </w:rPr>
        <w:t>”</w:t>
      </w:r>
      <w:r>
        <w:rPr>
          <w:rFonts w:eastAsia="仿宋_GB2312"/>
          <w:sz w:val="32"/>
          <w:szCs w:val="32"/>
        </w:rPr>
        <w:t>并举，全力建设社会主义现代化大都市核心区，为区域生态文明建设、绿色高质量发展创造了有利条件。</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然而，生态文明建设仍然处于压力叠加、负重前行的关键期，降碳、减污、扩绿空间收窄，产业结构调整任务依然艰巨，天开园核心区科技创新资源优势在引领产业创新、培育新质生产力方面有待进一步发挥，经济社会发展全面绿色转型内生动力仍显不足，生态环境稳中向好的基础还不稳固，城市建设管理水平有待进一步提升，绿化潜力不足，特色传统文化中的生态文明理念和生态文化内涵挖掘不够，生态文化建设尚处空白，对标国家生态文明建设示范区建设要求尚存差距。要深入贯彻落实习近平生态文明思想，牢固树立和践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的理念，牢牢把握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五个重大关系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，紧紧围绕生态文明建设示范区建设目标，坚定不移走生态优先、节约集约、绿色低碳发展之路，全面建设美丽南开，为</w:t>
      </w:r>
      <w:r>
        <w:rPr>
          <w:rFonts w:ascii="Times New Roman" w:hAnsi="Times New Roman" w:eastAsia="仿宋_GB2312" w:cs="Times New Roman"/>
          <w:color w:val="000000" w:themeColor="text1"/>
          <w:sz w:val="32"/>
          <w:szCs w:val="32"/>
        </w:rPr>
        <w:t>中国式现代化大都市核心区</w:t>
      </w:r>
      <w:r>
        <w:rPr>
          <w:rFonts w:ascii="Times New Roman" w:hAnsi="Times New Roman" w:eastAsia="仿宋_GB2312" w:cs="Times New Roman"/>
          <w:sz w:val="32"/>
          <w:szCs w:val="32"/>
        </w:rPr>
        <w:t>生态文明建设树立样板。</w:t>
      </w:r>
    </w:p>
    <w:p>
      <w:pPr>
        <w:pStyle w:val="2"/>
        <w:pageBreakBefore w:val="0"/>
        <w:widowControl w:val="0"/>
        <w:numPr>
          <w:ilvl w:val="0"/>
          <w:numId w:val="1"/>
        </w:numPr>
        <w:kinsoku/>
        <w:wordWrap/>
        <w:overflowPunct/>
        <w:topLinePunct w:val="0"/>
        <w:autoSpaceDE/>
        <w:autoSpaceDN/>
        <w:bidi w:val="0"/>
        <w:spacing w:before="0" w:after="0" w:line="560" w:lineRule="exact"/>
        <w:ind w:left="640" w:leftChars="0" w:firstLine="0" w:firstLineChars="0"/>
        <w:jc w:val="both"/>
        <w:textAlignment w:val="auto"/>
        <w:rPr>
          <w:rFonts w:hint="eastAsia" w:ascii="黑体" w:hAnsi="黑体" w:eastAsia="黑体" w:cs="黑体"/>
          <w:b w:val="0"/>
          <w:bCs w:val="0"/>
          <w:sz w:val="32"/>
          <w:szCs w:val="32"/>
        </w:rPr>
      </w:pPr>
      <w:bookmarkStart w:id="3" w:name="_Toc167262233"/>
      <w:r>
        <w:rPr>
          <w:rFonts w:hint="eastAsia" w:ascii="黑体" w:hAnsi="黑体" w:eastAsia="黑体" w:cs="黑体"/>
          <w:b w:val="0"/>
          <w:bCs w:val="0"/>
          <w:sz w:val="32"/>
          <w:szCs w:val="32"/>
        </w:rPr>
        <w:t>总体要求</w:t>
      </w:r>
      <w:bookmarkEnd w:id="3"/>
      <w:bookmarkStart w:id="4" w:name="_Toc167262234"/>
    </w:p>
    <w:p>
      <w:pPr>
        <w:pStyle w:val="2"/>
        <w:pageBreakBefore w:val="0"/>
        <w:widowControl w:val="0"/>
        <w:numPr>
          <w:ilvl w:val="0"/>
          <w:numId w:val="0"/>
        </w:numPr>
        <w:kinsoku/>
        <w:wordWrap/>
        <w:overflowPunct/>
        <w:topLinePunct w:val="0"/>
        <w:autoSpaceDE/>
        <w:autoSpaceDN/>
        <w:bidi w:val="0"/>
        <w:spacing w:before="0" w:after="0" w:line="560" w:lineRule="exact"/>
        <w:ind w:left="640" w:leftChars="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（一）指导思想</w:t>
      </w:r>
      <w:bookmarkEnd w:id="4"/>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w:t>
      </w:r>
      <w:r>
        <w:rPr>
          <w:rFonts w:ascii="Times New Roman" w:hAnsi="Times New Roman" w:eastAsia="仿宋_GB2312" w:cs="Times New Roman"/>
          <w:color w:val="auto"/>
          <w:sz w:val="32"/>
          <w:szCs w:val="32"/>
        </w:rPr>
        <w:t>党的二十大和二十届二中全会精神，深入贯彻习近平生态文明思想，全面落实习近平总书记对天津工作的总体要求、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四个善作善成</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的重要要求和一系列重要指示批示精神，</w:t>
      </w:r>
      <w:r>
        <w:rPr>
          <w:rFonts w:ascii="Times New Roman" w:hAnsi="Times New Roman" w:eastAsia="仿宋_GB2312" w:cs="Times New Roman"/>
          <w:color w:val="000000" w:themeColor="text1"/>
          <w:sz w:val="32"/>
          <w:szCs w:val="32"/>
        </w:rPr>
        <w:t>完整准确全面贯彻新发展理念，树立和践行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理念，以推进京津冀协同发展为战略牵引，以满足人民日益增长的美好生活需要为根本目的</w:t>
      </w:r>
      <w:r>
        <w:rPr>
          <w:rFonts w:ascii="Times New Roman" w:hAnsi="Times New Roman" w:eastAsia="仿宋_GB2312" w:cs="Times New Roman"/>
          <w:sz w:val="32"/>
          <w:szCs w:val="32"/>
        </w:rPr>
        <w:t>，扎实实施高质量发展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十项行动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，深化拓展区委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一三二一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工作思路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充分发挥科教、文化等资源优势，加快构建生态经济体系、生态安全体系、生态人居体系、生态文化体系、生态制度体系，全面建设人与自然和谐共生的现代化大都市核心区，奋力谱写中国式现代化南开实践新篇章。</w:t>
      </w:r>
      <w:bookmarkStart w:id="5" w:name="_Toc16726223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（二）基本原则</w:t>
      </w:r>
      <w:bookmarkEnd w:id="5"/>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坚持绿色发展。</w:t>
      </w:r>
      <w:r>
        <w:rPr>
          <w:rFonts w:ascii="Times New Roman" w:hAnsi="Times New Roman" w:eastAsia="仿宋_GB2312" w:cs="Times New Roman"/>
          <w:sz w:val="32"/>
          <w:szCs w:val="32"/>
        </w:rPr>
        <w:t>坚持人与自然和谐共生，牢固树立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理念。坚持节约集约、绿色低碳发展，立足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创新南开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建设，做实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科教立区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文章，以天开高教科</w:t>
      </w:r>
      <w:r>
        <w:rPr>
          <w:rFonts w:hint="eastAsia" w:ascii="Times New Roman" w:hAnsi="Times New Roman" w:eastAsia="仿宋_GB2312" w:cs="Times New Roman"/>
          <w:sz w:val="32"/>
          <w:szCs w:val="32"/>
          <w:lang w:eastAsia="zh-CN"/>
        </w:rPr>
        <w:t>创</w:t>
      </w:r>
      <w:r>
        <w:rPr>
          <w:rFonts w:ascii="Times New Roman" w:hAnsi="Times New Roman" w:eastAsia="仿宋_GB2312" w:cs="Times New Roman"/>
          <w:sz w:val="32"/>
          <w:szCs w:val="32"/>
        </w:rPr>
        <w:t>园建设为契机，以科技创新为引领，在生态经济、生态环境、生态人居等生态文明建设领域开展科技创新和科技攻关，积极培育新质生产力，助推经济社会全面绿色转型。</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坚持彰显特色。</w:t>
      </w:r>
      <w:r>
        <w:rPr>
          <w:rFonts w:ascii="Times New Roman" w:hAnsi="Times New Roman" w:eastAsia="仿宋_GB2312" w:cs="Times New Roman"/>
          <w:sz w:val="32"/>
          <w:szCs w:val="32"/>
        </w:rPr>
        <w:t>充分考虑区位条件、资源禀赋、发展阶段等，充分统筹生态文明建设示范、碳达峰试点、美丽南开建设、高质量发展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十项行动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等，充分衔接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一三二一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工作思路，探索具有南开特色的生态文明建设路径，因地制宜制定任务措施，重点工程项目与城市更新行动充分衔接，以最少投资实现最大收益，力争为</w:t>
      </w:r>
      <w:r>
        <w:rPr>
          <w:rFonts w:ascii="Times New Roman" w:hAnsi="Times New Roman" w:eastAsia="仿宋_GB2312" w:cs="Times New Roman"/>
          <w:color w:val="000000" w:themeColor="text1"/>
          <w:sz w:val="32"/>
          <w:szCs w:val="32"/>
        </w:rPr>
        <w:t>中国式现代化大都市核心区生态文明建设树立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南开样板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坚持远近结合。</w:t>
      </w:r>
      <w:r>
        <w:rPr>
          <w:rFonts w:ascii="Times New Roman" w:hAnsi="Times New Roman" w:eastAsia="仿宋_GB2312" w:cs="Times New Roman"/>
          <w:sz w:val="32"/>
          <w:szCs w:val="32"/>
        </w:rPr>
        <w:t>立足当前、着眼长远，统筹生态文明示范建设与美丽南开建设，统筹社会经济高水平发展和生态环境高水平保护，统筹解决经济、环境、民生等关键领域突出问题。近期，坚持问题导向、目标导向，积极破解民生关切难题，创建成为生态文明建设示范区。中远期，以生态文明示范建设为引领，实现生态文明建设水平全面提升，大力推进美丽南开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坚持协同增效。</w:t>
      </w:r>
      <w:r>
        <w:rPr>
          <w:rFonts w:ascii="Times New Roman" w:hAnsi="Times New Roman" w:eastAsia="仿宋_GB2312" w:cs="Times New Roman"/>
          <w:sz w:val="32"/>
          <w:szCs w:val="32"/>
        </w:rPr>
        <w:t>在减污降碳协同增效基础上，立足中心城区面积小、人口密度大、城市化水平高等特点，在文旅、商贸、工业等产业链延伸，公园绿地等生态资源共享，河道上下游共治，用水排水、公共及轨道交通等共建共享等方面与市内六区做好联动，不断增强人民群众的获得感、幸福感、安全感，让南开更加宜居、宜游、宜业。</w:t>
      </w:r>
      <w:bookmarkStart w:id="6" w:name="_Toc167262236"/>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（三）规划范围</w:t>
      </w:r>
      <w:bookmarkEnd w:id="6"/>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南开区全域，辖区总面积41.43平方公里，下辖12个街道、171个社区居民委员会。12个街道分别为鼓楼街道、兴南街道、广开街道、长虹街道、向阳路街道、嘉陵道街道、万兴街道、学府街道、水上公园街道、王顶堤街道、体育中心街道、华苑街道。</w:t>
      </w:r>
      <w:bookmarkStart w:id="7" w:name="_Toc167262237"/>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（四）规划时限</w:t>
      </w:r>
      <w:bookmarkEnd w:id="7"/>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规划基准年：2023年</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规划期：2024年-2035年，分为三个阶段。其中，</w:t>
      </w:r>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第一阶段为近期：2024年-2025年；</w:t>
      </w:r>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第二阶段为中期：2026年-2027年；</w:t>
      </w:r>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第三阶段为远期：2028年-2035年。</w:t>
      </w:r>
      <w:bookmarkStart w:id="8" w:name="_Toc167262238"/>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（五）规划目标</w:t>
      </w:r>
      <w:bookmarkEnd w:id="8"/>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总目标：通过生态经济、生态安全、生态人居、生态文化、生态制度五大体系建设，实现经济社会绿色高质量发展，打造全域高颜值环境、创造居民高品质生活、营造公众高环保意识、实现社会高效能治理，建设成为中国式现代化大都市核心区生态文明建设样板。</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到2025年，力争创建成为生态文明建设示范区，区域生态文明建设水平持续提升，成为中国式现代化大都市核心区生态文明建设示范区。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2027年，生态文明建设示范区创建成果得到巩固提升，绿色低碳转型取得明显成效，生态环境质量持续提升，城乡人居环境持续改善，绿色发展理念深入人心，生态文明制度体系更加健全，美丽南开建设成效显著。</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到2035年，</w:t>
      </w:r>
      <w:r>
        <w:rPr>
          <w:rFonts w:ascii="Times New Roman" w:hAnsi="Times New Roman" w:eastAsia="仿宋_GB2312" w:cs="Times New Roman"/>
          <w:color w:val="000000" w:themeColor="text1"/>
          <w:sz w:val="32"/>
          <w:szCs w:val="32"/>
        </w:rPr>
        <w:t>生态文明建设水平全面提升，</w:t>
      </w:r>
      <w:r>
        <w:rPr>
          <w:rFonts w:ascii="Times New Roman" w:hAnsi="Times New Roman" w:eastAsia="仿宋_GB2312" w:cs="Times New Roman"/>
          <w:sz w:val="32"/>
          <w:szCs w:val="32"/>
        </w:rPr>
        <w:t>建设成为绿色生产生活方式广泛形成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生态经济大力发展、生态环境根本好转</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生态生活宜居舒适、生态文化广泛普及、生态制度健全完善的生态文明建设示范区，美丽南开目标基本实现。</w:t>
      </w:r>
      <w:bookmarkStart w:id="9" w:name="_Toc167262239"/>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（六）规划指标</w:t>
      </w:r>
      <w:bookmarkEnd w:id="9"/>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bookmarkStart w:id="10" w:name="_Hlk82437409"/>
      <w:r>
        <w:rPr>
          <w:rFonts w:ascii="Times New Roman" w:hAnsi="Times New Roman" w:eastAsia="仿宋_GB2312" w:cs="Times New Roman"/>
          <w:sz w:val="32"/>
          <w:szCs w:val="32"/>
        </w:rPr>
        <w:t>南开区生态文明建设指标体系设定主要以2024年生态环境部印发《生态文明建设示范区（市）建设指标》为依据，由目标责任、生态安全、生态经济、生态文化、生态文明制度等五大领域31项指标构成。其中，约束性指标24项，参考性指标3项，结合南开区特色，增设特色指标4项。</w:t>
      </w:r>
      <w:bookmarkEnd w:id="10"/>
      <w:r>
        <w:rPr>
          <w:rFonts w:ascii="Times New Roman" w:hAnsi="Times New Roman" w:eastAsia="仿宋_GB2312" w:cs="Times New Roman"/>
          <w:sz w:val="32"/>
          <w:szCs w:val="32"/>
        </w:rPr>
        <w:t>具体建设指标见下表。</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sectPr>
          <w:footerReference r:id="rId4" w:type="default"/>
          <w:pgSz w:w="11906" w:h="16838"/>
          <w:pgMar w:top="2098" w:right="1474" w:bottom="1984" w:left="1587" w:header="850" w:footer="1417" w:gutter="0"/>
          <w:pgNumType w:fmt="decimal" w:start="1"/>
          <w:cols w:space="708" w:num="1"/>
          <w:docGrid w:linePitch="360" w:charSpace="0"/>
        </w:sectPr>
      </w:pPr>
    </w:p>
    <w:p>
      <w:pPr>
        <w:pStyle w:val="53"/>
        <w:adjustRightInd w:val="0"/>
        <w:snapToGrid w:val="0"/>
        <w:spacing w:beforeLines="0" w:afterLines="0" w:line="240" w:lineRule="auto"/>
        <w:ind w:firstLine="643" w:firstLineChars="200"/>
        <w:rPr>
          <w:rFonts w:eastAsia="仿宋_GB2312"/>
          <w:sz w:val="32"/>
          <w:szCs w:val="32"/>
        </w:rPr>
      </w:pPr>
      <w:r>
        <w:rPr>
          <w:rFonts w:eastAsia="仿宋_GB2312"/>
          <w:sz w:val="32"/>
          <w:szCs w:val="32"/>
        </w:rPr>
        <w:t>表   南开区生态文明建设示范区建设指标体系</w:t>
      </w:r>
    </w:p>
    <w:tbl>
      <w:tblPr>
        <w:tblStyle w:val="27"/>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56"/>
        <w:gridCol w:w="725"/>
        <w:gridCol w:w="2962"/>
        <w:gridCol w:w="992"/>
        <w:gridCol w:w="1601"/>
        <w:gridCol w:w="2242"/>
        <w:gridCol w:w="1490"/>
        <w:gridCol w:w="159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jc w:val="center"/>
        </w:trPr>
        <w:tc>
          <w:tcPr>
            <w:tcW w:w="192"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领域</w:t>
            </w:r>
          </w:p>
        </w:tc>
        <w:tc>
          <w:tcPr>
            <w:tcW w:w="292"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任务</w:t>
            </w:r>
          </w:p>
        </w:tc>
        <w:tc>
          <w:tcPr>
            <w:tcW w:w="247"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序号</w:t>
            </w:r>
          </w:p>
        </w:tc>
        <w:tc>
          <w:tcPr>
            <w:tcW w:w="1012"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指标名称</w:t>
            </w:r>
          </w:p>
        </w:tc>
        <w:tc>
          <w:tcPr>
            <w:tcW w:w="339"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单位</w:t>
            </w:r>
          </w:p>
        </w:tc>
        <w:tc>
          <w:tcPr>
            <w:tcW w:w="547" w:type="pct"/>
            <w:vMerge w:val="restart"/>
            <w:shd w:val="clear" w:color="auto" w:fill="auto"/>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指标值</w:t>
            </w:r>
          </w:p>
        </w:tc>
        <w:tc>
          <w:tcPr>
            <w:tcW w:w="766" w:type="pct"/>
            <w:vMerge w:val="restart"/>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2023年现状值</w:t>
            </w:r>
          </w:p>
        </w:tc>
        <w:tc>
          <w:tcPr>
            <w:tcW w:w="1602" w:type="pct"/>
            <w:gridSpan w:val="3"/>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192"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292"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247"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1012"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339"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547" w:type="pct"/>
            <w:vMerge w:val="continue"/>
            <w:shd w:val="clear" w:color="auto" w:fill="auto"/>
            <w:vAlign w:val="center"/>
          </w:tcPr>
          <w:p>
            <w:pPr>
              <w:spacing w:after="0"/>
              <w:jc w:val="center"/>
              <w:rPr>
                <w:rFonts w:ascii="Times New Roman" w:hAnsi="Times New Roman" w:eastAsia="仿宋_GB2312" w:cs="Times New Roman"/>
                <w:b/>
                <w:color w:val="000000" w:themeColor="text1"/>
                <w:sz w:val="24"/>
                <w:szCs w:val="24"/>
              </w:rPr>
            </w:pPr>
          </w:p>
        </w:tc>
        <w:tc>
          <w:tcPr>
            <w:tcW w:w="766" w:type="pct"/>
            <w:vMerge w:val="continue"/>
          </w:tcPr>
          <w:p>
            <w:pPr>
              <w:spacing w:after="0"/>
              <w:jc w:val="center"/>
              <w:rPr>
                <w:rFonts w:ascii="Times New Roman" w:hAnsi="Times New Roman" w:eastAsia="仿宋_GB2312" w:cs="Times New Roman"/>
                <w:b/>
                <w:color w:val="000000" w:themeColor="text1"/>
                <w:sz w:val="24"/>
                <w:szCs w:val="24"/>
              </w:rPr>
            </w:pPr>
          </w:p>
        </w:tc>
        <w:tc>
          <w:tcPr>
            <w:tcW w:w="509" w:type="pct"/>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2025年</w:t>
            </w:r>
          </w:p>
        </w:tc>
        <w:tc>
          <w:tcPr>
            <w:tcW w:w="544" w:type="pct"/>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2027</w:t>
            </w:r>
          </w:p>
        </w:tc>
        <w:tc>
          <w:tcPr>
            <w:tcW w:w="549" w:type="pct"/>
            <w:vAlign w:val="center"/>
          </w:tcPr>
          <w:p>
            <w:pPr>
              <w:spacing w:after="0"/>
              <w:jc w:val="center"/>
              <w:rPr>
                <w:rFonts w:ascii="Times New Roman" w:hAnsi="Times New Roman" w:eastAsia="仿宋_GB2312" w:cs="Times New Roman"/>
                <w:b/>
                <w:color w:val="000000" w:themeColor="text1"/>
                <w:sz w:val="24"/>
                <w:szCs w:val="24"/>
              </w:rPr>
            </w:pPr>
            <w:r>
              <w:rPr>
                <w:rFonts w:ascii="Times New Roman" w:hAnsi="Times New Roman" w:eastAsia="仿宋_GB2312" w:cs="Times New Roman"/>
                <w:b/>
                <w:color w:val="000000" w:themeColor="text1"/>
                <w:sz w:val="24"/>
                <w:szCs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restar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目标责任</w:t>
            </w:r>
          </w:p>
        </w:tc>
        <w:tc>
          <w:tcPr>
            <w:tcW w:w="292" w:type="pct"/>
            <w:vMerge w:val="restar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（一）目标责任落实</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生态文明建设工作占党政实绩考核的比例</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24</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≥24</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≥24</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000000"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w:t>
            </w:r>
          </w:p>
        </w:tc>
        <w:tc>
          <w:tcPr>
            <w:tcW w:w="1012"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党政领导干部生态环境损害责任追究制度</w:t>
            </w:r>
          </w:p>
        </w:tc>
        <w:tc>
          <w:tcPr>
            <w:tcW w:w="33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766"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落实天津市制度</w:t>
            </w:r>
          </w:p>
        </w:tc>
        <w:tc>
          <w:tcPr>
            <w:tcW w:w="50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落实天津市制度</w:t>
            </w:r>
          </w:p>
        </w:tc>
        <w:tc>
          <w:tcPr>
            <w:tcW w:w="544"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落实天津市制度</w:t>
            </w:r>
          </w:p>
        </w:tc>
        <w:tc>
          <w:tcPr>
            <w:tcW w:w="54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落实天津市制度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continue"/>
            <w:tcBorders>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领导干部自然资源资产离任审计</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开展</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已开展</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持续开展</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持续开展</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strike w:val="0"/>
                <w:color w:val="000000" w:themeColor="text1"/>
                <w:sz w:val="24"/>
                <w:szCs w:val="24"/>
                <w:u w:val="none"/>
              </w:rPr>
              <w:t>生态安全</w:t>
            </w:r>
          </w:p>
        </w:tc>
        <w:tc>
          <w:tcPr>
            <w:tcW w:w="2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（二）环境质量改善</w:t>
            </w:r>
          </w:p>
        </w:tc>
        <w:tc>
          <w:tcPr>
            <w:tcW w:w="247" w:type="pct"/>
            <w:vMerge w:val="restart"/>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4</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环境空气质量</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p>
        </w:tc>
        <w:tc>
          <w:tcPr>
            <w:tcW w:w="766" w:type="pct"/>
            <w:vAlign w:val="center"/>
          </w:tcPr>
          <w:p>
            <w:pPr>
              <w:spacing w:after="0"/>
              <w:jc w:val="center"/>
              <w:rPr>
                <w:rFonts w:ascii="Times New Roman" w:hAnsi="Times New Roman" w:eastAsia="仿宋_GB2312" w:cs="Times New Roman"/>
                <w:color w:val="000000" w:themeColor="text1"/>
                <w:sz w:val="24"/>
                <w:szCs w:val="24"/>
              </w:rPr>
            </w:pPr>
          </w:p>
        </w:tc>
        <w:tc>
          <w:tcPr>
            <w:tcW w:w="509" w:type="pct"/>
            <w:vAlign w:val="center"/>
          </w:tcPr>
          <w:p>
            <w:pPr>
              <w:spacing w:after="0"/>
              <w:jc w:val="center"/>
              <w:rPr>
                <w:rFonts w:ascii="Times New Roman" w:hAnsi="Times New Roman" w:eastAsia="仿宋_GB2312" w:cs="Times New Roman"/>
                <w:color w:val="000000" w:themeColor="text1"/>
                <w:sz w:val="24"/>
                <w:szCs w:val="24"/>
              </w:rPr>
            </w:pPr>
          </w:p>
        </w:tc>
        <w:tc>
          <w:tcPr>
            <w:tcW w:w="544" w:type="pct"/>
            <w:vAlign w:val="center"/>
          </w:tcPr>
          <w:p>
            <w:pPr>
              <w:spacing w:after="0"/>
              <w:jc w:val="center"/>
              <w:rPr>
                <w:rFonts w:ascii="Times New Roman" w:hAnsi="Times New Roman" w:eastAsia="仿宋_GB2312" w:cs="Times New Roman"/>
                <w:color w:val="000000" w:themeColor="text1"/>
                <w:sz w:val="24"/>
                <w:szCs w:val="24"/>
              </w:rPr>
            </w:pPr>
          </w:p>
        </w:tc>
        <w:tc>
          <w:tcPr>
            <w:tcW w:w="549" w:type="pct"/>
            <w:vAlign w:val="center"/>
          </w:tcPr>
          <w:p>
            <w:pPr>
              <w:spacing w:after="0"/>
              <w:jc w:val="center"/>
              <w:rPr>
                <w:rFonts w:ascii="Times New Roman" w:hAnsi="Times New Roman"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优良天数比例</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完成上级规定的考核任务，且≥90或持续提高</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剔除极端天气、疫情影响后基本达标</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完成上级规定的考核任务，持续提高</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完成上级规定的考核任务，持续提高</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PM</w:t>
            </w:r>
            <w:r>
              <w:rPr>
                <w:rFonts w:ascii="Times New Roman" w:hAnsi="Times New Roman" w:eastAsia="仿宋_GB2312" w:cs="Times New Roman"/>
                <w:color w:val="auto"/>
                <w:sz w:val="24"/>
                <w:szCs w:val="24"/>
                <w:vertAlign w:val="subscript"/>
              </w:rPr>
              <w:t>2.5</w:t>
            </w:r>
            <w:r>
              <w:rPr>
                <w:rFonts w:ascii="Times New Roman" w:hAnsi="Times New Roman" w:eastAsia="仿宋_GB2312" w:cs="Times New Roman"/>
                <w:color w:val="auto"/>
                <w:sz w:val="24"/>
                <w:szCs w:val="24"/>
              </w:rPr>
              <w:t>浓度下降幅度</w:t>
            </w:r>
          </w:p>
        </w:tc>
        <w:tc>
          <w:tcPr>
            <w:tcW w:w="339" w:type="pct"/>
            <w:shd w:val="clear" w:color="auto" w:fill="auto"/>
            <w:vAlign w:val="center"/>
          </w:tcPr>
          <w:p>
            <w:pPr>
              <w:spacing w:after="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μg/m³</w:t>
            </w: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完成上级规定的考核任务，且≤25或持续下降</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剔除极端天气、疫情影响后基本达标</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完成上级规定的考核任务，持续下降</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完成上级规定的考核任务，持续下降</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restart"/>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5</w:t>
            </w: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水环境质量</w:t>
            </w:r>
          </w:p>
        </w:tc>
        <w:tc>
          <w:tcPr>
            <w:tcW w:w="339" w:type="pct"/>
            <w:tcBorders>
              <w:left w:val="single" w:color="auto" w:sz="4" w:space="0"/>
              <w:bottom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p>
        </w:tc>
        <w:tc>
          <w:tcPr>
            <w:tcW w:w="766" w:type="pct"/>
            <w:vAlign w:val="center"/>
          </w:tcPr>
          <w:p>
            <w:pPr>
              <w:spacing w:after="0"/>
              <w:jc w:val="center"/>
              <w:rPr>
                <w:rFonts w:ascii="Times New Roman" w:hAnsi="Times New Roman" w:eastAsia="仿宋_GB2312" w:cs="Times New Roman"/>
                <w:color w:val="000000" w:themeColor="text1"/>
                <w:sz w:val="24"/>
                <w:szCs w:val="24"/>
              </w:rPr>
            </w:pPr>
          </w:p>
        </w:tc>
        <w:tc>
          <w:tcPr>
            <w:tcW w:w="509" w:type="pct"/>
            <w:vAlign w:val="center"/>
          </w:tcPr>
          <w:p>
            <w:pPr>
              <w:spacing w:after="0" w:line="360" w:lineRule="auto"/>
              <w:jc w:val="center"/>
              <w:rPr>
                <w:rFonts w:ascii="Times New Roman" w:hAnsi="Times New Roman" w:eastAsia="仿宋_GB2312" w:cs="Times New Roman"/>
                <w:color w:val="000000" w:themeColor="text1"/>
                <w:sz w:val="32"/>
                <w:szCs w:val="32"/>
              </w:rPr>
            </w:pPr>
          </w:p>
          <w:p>
            <w:pPr>
              <w:spacing w:after="0"/>
              <w:jc w:val="center"/>
              <w:rPr>
                <w:rFonts w:ascii="Times New Roman" w:hAnsi="Times New Roman" w:eastAsia="仿宋_GB2312" w:cs="Times New Roman"/>
                <w:color w:val="000000" w:themeColor="text1"/>
                <w:sz w:val="24"/>
                <w:szCs w:val="24"/>
              </w:rPr>
            </w:pPr>
          </w:p>
        </w:tc>
        <w:tc>
          <w:tcPr>
            <w:tcW w:w="544" w:type="pct"/>
            <w:vAlign w:val="center"/>
          </w:tcPr>
          <w:p>
            <w:pPr>
              <w:spacing w:after="0"/>
              <w:jc w:val="center"/>
              <w:rPr>
                <w:rFonts w:ascii="Times New Roman" w:hAnsi="Times New Roman" w:eastAsia="仿宋_GB2312" w:cs="Times New Roman"/>
                <w:color w:val="000000" w:themeColor="text1"/>
                <w:sz w:val="24"/>
                <w:szCs w:val="24"/>
              </w:rPr>
            </w:pPr>
          </w:p>
        </w:tc>
        <w:tc>
          <w:tcPr>
            <w:tcW w:w="549" w:type="pct"/>
            <w:vAlign w:val="center"/>
          </w:tcPr>
          <w:p>
            <w:pPr>
              <w:spacing w:after="0"/>
              <w:jc w:val="center"/>
              <w:rPr>
                <w:rFonts w:ascii="Times New Roman" w:hAnsi="Times New Roman"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地表水达到或好于Ⅲ类水体比例</w:t>
            </w:r>
          </w:p>
        </w:tc>
        <w:tc>
          <w:tcPr>
            <w:tcW w:w="339" w:type="pct"/>
            <w:vMerge w:val="restart"/>
            <w:tcBorders>
              <w:top w:val="single" w:color="auto" w:sz="4" w:space="0"/>
              <w:left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完成上级规定的考核任务，且保持稳定或有所改善</w:t>
            </w:r>
          </w:p>
        </w:tc>
        <w:tc>
          <w:tcPr>
            <w:tcW w:w="766" w:type="pct"/>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地下水国控点位V类水比例</w:t>
            </w:r>
          </w:p>
        </w:tc>
        <w:tc>
          <w:tcPr>
            <w:tcW w:w="339" w:type="pct"/>
            <w:vMerge w:val="continue"/>
            <w:tcBorders>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完成上级规定的考核任务，且≤25或持续改善</w:t>
            </w:r>
          </w:p>
        </w:tc>
        <w:tc>
          <w:tcPr>
            <w:tcW w:w="766" w:type="pct"/>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restart"/>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6</w:t>
            </w: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城市环境治理</w:t>
            </w:r>
          </w:p>
        </w:tc>
        <w:tc>
          <w:tcPr>
            <w:tcW w:w="339"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766" w:type="pct"/>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509" w:type="pct"/>
            <w:vAlign w:val="center"/>
          </w:tcPr>
          <w:p>
            <w:pPr>
              <w:spacing w:after="0"/>
              <w:jc w:val="center"/>
              <w:rPr>
                <w:rFonts w:ascii="Times New Roman" w:hAnsi="Times New Roman" w:eastAsia="仿宋_GB2312" w:cs="Times New Roman"/>
                <w:color w:val="000000" w:themeColor="text1"/>
                <w:sz w:val="24"/>
                <w:szCs w:val="24"/>
              </w:rPr>
            </w:pPr>
          </w:p>
        </w:tc>
        <w:tc>
          <w:tcPr>
            <w:tcW w:w="544" w:type="pct"/>
            <w:vAlign w:val="center"/>
          </w:tcPr>
          <w:p>
            <w:pPr>
              <w:spacing w:after="0"/>
              <w:jc w:val="center"/>
              <w:rPr>
                <w:rFonts w:ascii="Times New Roman" w:hAnsi="Times New Roman" w:eastAsia="仿宋_GB2312" w:cs="Times New Roman"/>
                <w:color w:val="000000" w:themeColor="text1"/>
                <w:sz w:val="24"/>
                <w:szCs w:val="24"/>
              </w:rPr>
            </w:pPr>
          </w:p>
        </w:tc>
        <w:tc>
          <w:tcPr>
            <w:tcW w:w="549" w:type="pct"/>
            <w:vAlign w:val="center"/>
          </w:tcPr>
          <w:p>
            <w:pPr>
              <w:spacing w:after="0"/>
              <w:jc w:val="center"/>
              <w:rPr>
                <w:rFonts w:ascii="Times New Roman" w:hAnsi="Times New Roman"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城市生活污水集中收集率</w:t>
            </w:r>
          </w:p>
        </w:tc>
        <w:tc>
          <w:tcPr>
            <w:tcW w:w="339" w:type="pct"/>
            <w:vMerge w:val="restart"/>
            <w:tcBorders>
              <w:top w:val="single" w:color="auto" w:sz="4" w:space="0"/>
              <w:left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p>
            <w:pPr>
              <w:spacing w:after="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p>
            <w:pPr>
              <w:spacing w:after="0"/>
              <w:jc w:val="center"/>
              <w:rPr>
                <w:rFonts w:ascii="Times New Roman" w:hAnsi="Times New Roman" w:eastAsia="仿宋_GB2312" w:cs="Times New Roman"/>
                <w:color w:val="000000" w:themeColor="text1"/>
                <w:sz w:val="24"/>
                <w:szCs w:val="24"/>
              </w:rPr>
            </w:pPr>
          </w:p>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766" w:type="pct"/>
            <w:tcBorders>
              <w:lef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地级及以上城市建成区黑臭水体消除率</w:t>
            </w:r>
          </w:p>
        </w:tc>
        <w:tc>
          <w:tcPr>
            <w:tcW w:w="339" w:type="pct"/>
            <w:vMerge w:val="continue"/>
            <w:tcBorders>
              <w:left w:val="single" w:color="auto" w:sz="4" w:space="0"/>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766" w:type="pct"/>
            <w:tcBorders>
              <w:lef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城市生活垃圾回收利用率</w:t>
            </w:r>
          </w:p>
        </w:tc>
        <w:tc>
          <w:tcPr>
            <w:tcW w:w="339" w:type="pct"/>
            <w:vMerge w:val="continue"/>
            <w:tcBorders>
              <w:left w:val="single" w:color="auto" w:sz="4" w:space="0"/>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≥35</w:t>
            </w:r>
          </w:p>
        </w:tc>
        <w:tc>
          <w:tcPr>
            <w:tcW w:w="766" w:type="pct"/>
            <w:tcBorders>
              <w:lef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基本达标</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≥35</w:t>
            </w:r>
          </w:p>
        </w:tc>
        <w:tc>
          <w:tcPr>
            <w:tcW w:w="544"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38.5</w:t>
            </w:r>
          </w:p>
        </w:tc>
        <w:tc>
          <w:tcPr>
            <w:tcW w:w="54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tcBorders>
              <w:lef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1012" w:type="pct"/>
            <w:tcBorders>
              <w:righ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声环境功能区夜间达标率</w:t>
            </w:r>
          </w:p>
        </w:tc>
        <w:tc>
          <w:tcPr>
            <w:tcW w:w="339" w:type="pct"/>
            <w:vMerge w:val="continue"/>
            <w:tcBorders>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≥85</w:t>
            </w:r>
          </w:p>
        </w:tc>
        <w:tc>
          <w:tcPr>
            <w:tcW w:w="766" w:type="pct"/>
            <w:tcBorders>
              <w:left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91.67</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≥85</w:t>
            </w:r>
          </w:p>
        </w:tc>
        <w:tc>
          <w:tcPr>
            <w:tcW w:w="544"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≥85</w:t>
            </w:r>
          </w:p>
        </w:tc>
        <w:tc>
          <w:tcPr>
            <w:tcW w:w="54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（三）生态质量提升</w:t>
            </w:r>
          </w:p>
        </w:tc>
        <w:tc>
          <w:tcPr>
            <w:tcW w:w="247" w:type="pct"/>
            <w:vMerge w:val="restar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w:t>
            </w:r>
          </w:p>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区域生态保护监管</w:t>
            </w:r>
          </w:p>
        </w:tc>
        <w:tc>
          <w:tcPr>
            <w:tcW w:w="339" w:type="pct"/>
            <w:tcBorders>
              <w:top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547" w:type="pct"/>
            <w:tcBorders>
              <w:top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p>
        </w:tc>
        <w:tc>
          <w:tcPr>
            <w:tcW w:w="766" w:type="pct"/>
            <w:vAlign w:val="center"/>
          </w:tcPr>
          <w:p>
            <w:pPr>
              <w:spacing w:after="0"/>
              <w:jc w:val="center"/>
              <w:rPr>
                <w:rFonts w:ascii="Times New Roman" w:hAnsi="Times New Roman" w:eastAsia="仿宋_GB2312" w:cs="Times New Roman"/>
                <w:color w:val="000000" w:themeColor="text1"/>
                <w:sz w:val="24"/>
                <w:szCs w:val="24"/>
              </w:rPr>
            </w:pPr>
          </w:p>
        </w:tc>
        <w:tc>
          <w:tcPr>
            <w:tcW w:w="509" w:type="pct"/>
            <w:vAlign w:val="center"/>
          </w:tcPr>
          <w:p>
            <w:pPr>
              <w:spacing w:after="0"/>
              <w:jc w:val="center"/>
              <w:rPr>
                <w:rFonts w:ascii="Times New Roman" w:hAnsi="Times New Roman" w:eastAsia="仿宋_GB2312" w:cs="Times New Roman"/>
                <w:color w:val="000000" w:themeColor="text1"/>
                <w:sz w:val="24"/>
                <w:szCs w:val="24"/>
              </w:rPr>
            </w:pPr>
          </w:p>
        </w:tc>
        <w:tc>
          <w:tcPr>
            <w:tcW w:w="544" w:type="pct"/>
            <w:vAlign w:val="center"/>
          </w:tcPr>
          <w:p>
            <w:pPr>
              <w:spacing w:after="0"/>
              <w:jc w:val="center"/>
              <w:rPr>
                <w:rFonts w:ascii="Times New Roman" w:hAnsi="Times New Roman" w:eastAsia="仿宋_GB2312" w:cs="Times New Roman"/>
                <w:color w:val="000000" w:themeColor="text1"/>
                <w:sz w:val="24"/>
                <w:szCs w:val="24"/>
              </w:rPr>
            </w:pPr>
          </w:p>
        </w:tc>
        <w:tc>
          <w:tcPr>
            <w:tcW w:w="549" w:type="pct"/>
            <w:vAlign w:val="center"/>
          </w:tcPr>
          <w:p>
            <w:pPr>
              <w:spacing w:after="0"/>
              <w:jc w:val="center"/>
              <w:rPr>
                <w:rFonts w:ascii="Times New Roman" w:hAnsi="Times New Roman" w:eastAsia="仿宋_GB2312"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生态质量指数（EQI）</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△EQI＞-1</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2024年开展</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△EQI＞-1</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△EQI＞-1</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△EQI＞-1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生态保护红线</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功能不降低，性质不改变</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功能不降低，性质不改变</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功能不降低，性质不改变</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功能不降低，性质不改变</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功能不降低，性质不改变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自然保护地和生态保护红线生态环境重点问题整改率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未发现生态环境问题</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vMerge w:val="continue"/>
            <w:vAlign w:val="center"/>
          </w:tcPr>
          <w:p>
            <w:pPr>
              <w:spacing w:after="0"/>
              <w:jc w:val="center"/>
              <w:rPr>
                <w:rFonts w:ascii="Times New Roman" w:hAnsi="Times New Roman" w:eastAsia="仿宋_GB2312" w:cs="Times New Roman"/>
                <w:color w:val="000000" w:themeColor="text1"/>
                <w:sz w:val="24"/>
                <w:szCs w:val="24"/>
              </w:rPr>
            </w:pPr>
          </w:p>
        </w:tc>
        <w:tc>
          <w:tcPr>
            <w:tcW w:w="1012"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生物多样性调查</w:t>
            </w:r>
          </w:p>
        </w:tc>
        <w:tc>
          <w:tcPr>
            <w:tcW w:w="33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000000"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开展</w:t>
            </w:r>
          </w:p>
        </w:tc>
        <w:tc>
          <w:tcPr>
            <w:tcW w:w="766"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在生态质量监测样地-水上公园神户园内对植物、鸟类、蝶类等开展了调查与监测</w:t>
            </w:r>
          </w:p>
        </w:tc>
        <w:tc>
          <w:tcPr>
            <w:tcW w:w="50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开展</w:t>
            </w:r>
          </w:p>
        </w:tc>
        <w:tc>
          <w:tcPr>
            <w:tcW w:w="544"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开展</w:t>
            </w:r>
          </w:p>
        </w:tc>
        <w:tc>
          <w:tcPr>
            <w:tcW w:w="549" w:type="pct"/>
            <w:shd w:val="clear" w:color="000000"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（四）生态环境风险防范</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重点建设用地安全利用</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有效保障</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有效保障</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有效保障</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有效保障</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外来物种入侵防控</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有效开展</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有效开展</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有效开展</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有效开展</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 w:type="pct"/>
            <w:vMerge w:val="continue"/>
            <w:tcBorders>
              <w:top w:val="single" w:color="auto" w:sz="4" w:space="0"/>
              <w:left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突发环境事件应急管理机制</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restart"/>
            <w:tcBorders>
              <w:top w:val="single" w:color="auto" w:sz="4" w:space="0"/>
              <w:bottom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生态经济</w:t>
            </w: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（五）节能减排降碳增效</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11</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非化石能源占能源消费总量比重</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≥25或持续提高</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持续提高（全市）</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12</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单位地区生产总值能耗降低率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2021至2023年累计降低10.3%，完成</w:t>
            </w:r>
            <w:r>
              <w:rPr>
                <w:rFonts w:hint="eastAsia" w:ascii="Times New Roman" w:hAnsi="Times New Roman" w:eastAsia="仿宋_GB2312" w:cs="Times New Roman"/>
                <w:color w:val="000000" w:themeColor="text1"/>
                <w:sz w:val="24"/>
                <w:szCs w:val="24"/>
                <w:lang w:eastAsia="zh-CN"/>
              </w:rPr>
              <w:t>“</w:t>
            </w:r>
            <w:r>
              <w:rPr>
                <w:rFonts w:ascii="Times New Roman" w:hAnsi="Times New Roman" w:eastAsia="仿宋_GB2312" w:cs="Times New Roman"/>
                <w:color w:val="000000" w:themeColor="text1"/>
                <w:sz w:val="24"/>
                <w:szCs w:val="24"/>
              </w:rPr>
              <w:t>十四五</w:t>
            </w:r>
            <w:r>
              <w:rPr>
                <w:rFonts w:hint="eastAsia" w:ascii="Times New Roman" w:hAnsi="Times New Roman" w:eastAsia="仿宋_GB2312" w:cs="Times New Roman"/>
                <w:color w:val="000000" w:themeColor="text1"/>
                <w:sz w:val="24"/>
                <w:szCs w:val="24"/>
                <w:lang w:eastAsia="zh-CN"/>
              </w:rPr>
              <w:t>”</w:t>
            </w:r>
            <w:r>
              <w:rPr>
                <w:rFonts w:ascii="Times New Roman" w:hAnsi="Times New Roman" w:eastAsia="仿宋_GB2312" w:cs="Times New Roman"/>
                <w:color w:val="000000" w:themeColor="text1"/>
                <w:sz w:val="24"/>
                <w:szCs w:val="24"/>
              </w:rPr>
              <w:t>进度目标8.7%</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14</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13</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单位地区生产总值二氧化碳排放下降率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2021至2023年累计降低22.07%，完成</w:t>
            </w:r>
            <w:r>
              <w:rPr>
                <w:rFonts w:hint="eastAsia" w:ascii="Times New Roman" w:hAnsi="Times New Roman" w:eastAsia="仿宋_GB2312" w:cs="Times New Roman"/>
                <w:color w:val="000000" w:themeColor="text1"/>
                <w:sz w:val="24"/>
                <w:szCs w:val="24"/>
              </w:rPr>
              <w:t>“</w:t>
            </w:r>
            <w:r>
              <w:rPr>
                <w:rFonts w:ascii="Times New Roman" w:hAnsi="Times New Roman" w:eastAsia="仿宋_GB2312" w:cs="Times New Roman"/>
                <w:color w:val="000000" w:themeColor="text1"/>
                <w:sz w:val="24"/>
                <w:szCs w:val="24"/>
              </w:rPr>
              <w:t>十四五</w:t>
            </w:r>
            <w:r>
              <w:rPr>
                <w:rFonts w:hint="eastAsia" w:ascii="Times New Roman" w:hAnsi="Times New Roman" w:eastAsia="仿宋_GB2312" w:cs="Times New Roman"/>
                <w:color w:val="000000" w:themeColor="text1"/>
                <w:sz w:val="24"/>
                <w:szCs w:val="24"/>
              </w:rPr>
              <w:t>”</w:t>
            </w:r>
            <w:r>
              <w:rPr>
                <w:rFonts w:ascii="Times New Roman" w:hAnsi="Times New Roman" w:eastAsia="仿宋_GB2312" w:cs="Times New Roman"/>
                <w:color w:val="000000" w:themeColor="text1"/>
                <w:sz w:val="24"/>
                <w:szCs w:val="24"/>
              </w:rPr>
              <w:t>20%目标</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14</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主要污染物排放重点工程减排量</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氮氧化物、挥发性有机物未下达考核任务，由市级部门统筹安排。化学需氧量、氨氮考核任务分别为50t、5t</w:t>
            </w:r>
            <w:r>
              <w:rPr>
                <w:rFonts w:hint="eastAsia" w:ascii="Times New Roman" w:hAnsi="Times New Roman" w:eastAsia="仿宋_GB2312" w:cs="Times New Roman"/>
                <w:color w:val="000000" w:themeColor="text1"/>
                <w:sz w:val="24"/>
                <w:szCs w:val="24"/>
                <w:lang w:eastAsia="zh-CN"/>
              </w:rPr>
              <w:t>，</w:t>
            </w:r>
            <w:r>
              <w:rPr>
                <w:rFonts w:ascii="Times New Roman" w:hAnsi="Times New Roman" w:eastAsia="仿宋_GB2312" w:cs="Times New Roman"/>
                <w:color w:val="000000" w:themeColor="text1"/>
                <w:sz w:val="24"/>
                <w:szCs w:val="24"/>
              </w:rPr>
              <w:t>已完成</w:t>
            </w:r>
          </w:p>
        </w:tc>
        <w:tc>
          <w:tcPr>
            <w:tcW w:w="509" w:type="pct"/>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完成上级规定的考核任务。氮氧化物680t，挥发性有机物370t，化学需氧量200t，氨氮20t</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（六）资源节约集约</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15</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一般工业固体废物综合利用率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保持稳定或持续改善</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98</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98</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保持稳定</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16</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万元地区生产总值用水量下降率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上级未下达考核任务</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17</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单位地区生产总值建设用地使用面积下降率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上级未下达考核任务，8%左右</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restart"/>
            <w:tcBorders>
              <w:top w:val="single" w:color="auto" w:sz="4" w:space="0"/>
              <w:bottom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生态文化</w:t>
            </w: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（七）全民共建共享</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18</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公众对生态环境质量满意程度</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97.44（创卫）</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19</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绿色出行比例</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75</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77左右</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20</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城镇新建绿色建筑比例</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21</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人均公园绿地面积</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平方米/人</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≥12</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8.48（人均绿地面积15.7）</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持续提升</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持续提升</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保持稳定或持续提升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restart"/>
            <w:tcBorders>
              <w:top w:val="single" w:color="auto" w:sz="4" w:space="0"/>
              <w:bottom w:val="single" w:color="auto" w:sz="4" w:space="0"/>
            </w:tcBorders>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生态文明制度</w:t>
            </w:r>
          </w:p>
        </w:tc>
        <w:tc>
          <w:tcPr>
            <w:tcW w:w="292" w:type="pct"/>
            <w:vMerge w:val="restart"/>
            <w:tcBorders>
              <w:top w:val="single" w:color="auto" w:sz="4" w:space="0"/>
              <w:bottom w:val="single" w:color="auto" w:sz="4" w:space="0"/>
            </w:tcBorders>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（八）体制机制保障</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22</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生态环境信息公开率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23</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生态环境分区管控体系</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92" w:type="pct"/>
            <w:vMerge w:val="continue"/>
            <w:tcBorders>
              <w:top w:val="single" w:color="auto" w:sz="4" w:space="0"/>
              <w:bottom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24</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生态环境损害赔偿</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案件线索启动率100%，且案件结案率≥75%</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案件线索启动率100%，且案件结案率≥100%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案件线索启动率100%，且案件结案率≥75%</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案件线索启动率100%，且案件结案率≥75%</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案件线索启动率100%，且案件结案率≥75%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85" w:type="pct"/>
            <w:gridSpan w:val="2"/>
            <w:vMerge w:val="restart"/>
            <w:tcBorders>
              <w:top w:val="single" w:color="auto" w:sz="4" w:space="0"/>
            </w:tcBorders>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参考性指标</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25</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河湖岸线保护率</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完成上级规定的考核任务</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85" w:type="pct"/>
            <w:gridSpan w:val="2"/>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26</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危险废物填埋处置量占比</w:t>
            </w:r>
          </w:p>
        </w:tc>
        <w:tc>
          <w:tcPr>
            <w:tcW w:w="339"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持续下降</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1.1</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持续下降</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持续下降</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85" w:type="pct"/>
            <w:gridSpan w:val="2"/>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27</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生态保护补偿制度</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未建立</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研究建立</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研究建立</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5" w:type="pct"/>
            <w:gridSpan w:val="2"/>
            <w:vMerge w:val="restar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特色指标</w:t>
            </w: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28</w:t>
            </w:r>
          </w:p>
        </w:tc>
        <w:tc>
          <w:tcPr>
            <w:tcW w:w="1012"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R&amp;D经费投入占GDP比重*</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5.18（2022年），位居全市前列</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5" w:type="pct"/>
            <w:gridSpan w:val="2"/>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29</w:t>
            </w:r>
          </w:p>
        </w:tc>
        <w:tc>
          <w:tcPr>
            <w:tcW w:w="1012" w:type="pct"/>
            <w:shd w:val="clear" w:color="auto" w:fill="auto"/>
            <w:vAlign w:val="center"/>
          </w:tcPr>
          <w:p>
            <w:pPr>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万人均发明专利拥有量</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件/万人</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142.88</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位居全市前列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5" w:type="pct"/>
            <w:gridSpan w:val="2"/>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30</w:t>
            </w:r>
          </w:p>
        </w:tc>
        <w:tc>
          <w:tcPr>
            <w:tcW w:w="1012" w:type="pct"/>
            <w:shd w:val="clear" w:color="auto" w:fill="auto"/>
            <w:vAlign w:val="center"/>
          </w:tcPr>
          <w:p>
            <w:pPr>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绿化覆盖率</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不降低</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38.14</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不降低</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不降低</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不降低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85" w:type="pct"/>
            <w:gridSpan w:val="2"/>
            <w:vMerge w:val="continue"/>
            <w:vAlign w:val="center"/>
          </w:tcPr>
          <w:p>
            <w:pPr>
              <w:spacing w:after="0"/>
              <w:jc w:val="center"/>
              <w:rPr>
                <w:rFonts w:ascii="Times New Roman" w:hAnsi="Times New Roman" w:eastAsia="仿宋_GB2312" w:cs="Times New Roman"/>
                <w:color w:val="000000" w:themeColor="text1"/>
                <w:sz w:val="24"/>
                <w:szCs w:val="24"/>
              </w:rPr>
            </w:pPr>
          </w:p>
        </w:tc>
        <w:tc>
          <w:tcPr>
            <w:tcW w:w="2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31</w:t>
            </w:r>
          </w:p>
        </w:tc>
        <w:tc>
          <w:tcPr>
            <w:tcW w:w="1012" w:type="pct"/>
            <w:shd w:val="clear" w:color="auto" w:fill="auto"/>
            <w:vAlign w:val="center"/>
          </w:tcPr>
          <w:p>
            <w:pPr>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海绵城市面积占比</w:t>
            </w:r>
          </w:p>
        </w:tc>
        <w:tc>
          <w:tcPr>
            <w:tcW w:w="339" w:type="pct"/>
            <w:shd w:val="clear" w:color="auto" w:fill="auto"/>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w:t>
            </w:r>
          </w:p>
        </w:tc>
        <w:tc>
          <w:tcPr>
            <w:tcW w:w="547" w:type="pct"/>
            <w:shd w:val="clear" w:color="auto" w:fill="auto"/>
            <w:noWrap/>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c>
          <w:tcPr>
            <w:tcW w:w="766"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38.47</w:t>
            </w:r>
          </w:p>
        </w:tc>
        <w:tc>
          <w:tcPr>
            <w:tcW w:w="50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50</w:t>
            </w:r>
          </w:p>
        </w:tc>
        <w:tc>
          <w:tcPr>
            <w:tcW w:w="544"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c>
          <w:tcPr>
            <w:tcW w:w="549" w:type="pct"/>
            <w:vAlign w:val="center"/>
          </w:tcPr>
          <w:p>
            <w:pPr>
              <w:spacing w:after="0"/>
              <w:jc w:val="center"/>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持续提高</w:t>
            </w:r>
          </w:p>
        </w:tc>
      </w:tr>
    </w:tbl>
    <w:p>
      <w:pPr>
        <w:spacing w:after="0" w:line="360" w:lineRule="auto"/>
        <w:rPr>
          <w:rFonts w:ascii="Times New Roman" w:hAnsi="Times New Roman" w:eastAsia="仿宋_GB2312" w:cs="Times New Roman"/>
          <w:sz w:val="32"/>
          <w:szCs w:val="32"/>
        </w:rPr>
        <w:sectPr>
          <w:pgSz w:w="16838" w:h="11906" w:orient="landscape"/>
          <w:pgMar w:top="1797" w:right="1440" w:bottom="1797" w:left="1440" w:header="850" w:footer="1417" w:gutter="0"/>
          <w:pgNumType w:fmt="decimal"/>
          <w:cols w:space="708" w:num="1"/>
          <w:docGrid w:linePitch="360" w:charSpace="0"/>
        </w:sectPr>
      </w:pPr>
    </w:p>
    <w:p>
      <w:pPr>
        <w:pStyle w:val="2"/>
        <w:pageBreakBefore w:val="0"/>
        <w:widowControl w:val="0"/>
        <w:kinsoku/>
        <w:wordWrap/>
        <w:topLinePunct w:val="0"/>
        <w:autoSpaceDE/>
        <w:autoSpaceDN/>
        <w:bidi w:val="0"/>
        <w:spacing w:before="0" w:after="0" w:line="560" w:lineRule="exact"/>
        <w:ind w:left="640"/>
        <w:jc w:val="both"/>
        <w:textAlignment w:val="auto"/>
        <w:rPr>
          <w:rFonts w:hint="eastAsia" w:ascii="黑体" w:hAnsi="黑体" w:eastAsia="黑体" w:cs="黑体"/>
          <w:b w:val="0"/>
          <w:bCs w:val="0"/>
          <w:sz w:val="32"/>
          <w:szCs w:val="32"/>
        </w:rPr>
      </w:pPr>
      <w:bookmarkStart w:id="11" w:name="_Toc167262240"/>
      <w:r>
        <w:rPr>
          <w:rFonts w:hint="eastAsia" w:ascii="黑体" w:hAnsi="黑体" w:eastAsia="黑体" w:cs="黑体"/>
          <w:b w:val="0"/>
          <w:bCs w:val="0"/>
          <w:sz w:val="32"/>
          <w:szCs w:val="32"/>
        </w:rPr>
        <w:t>三、以发展壮大环保产业为引领，构建生态经济体系</w:t>
      </w:r>
      <w:bookmarkEnd w:id="11"/>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kern w:val="0"/>
          <w:sz w:val="32"/>
          <w:szCs w:val="32"/>
        </w:rPr>
      </w:pPr>
      <w:r>
        <w:rPr>
          <w:kern w:val="0"/>
          <w:sz w:val="32"/>
          <w:szCs w:val="32"/>
        </w:rPr>
        <w:t>立足</w:t>
      </w:r>
      <w:r>
        <w:rPr>
          <w:rFonts w:hint="eastAsia"/>
          <w:kern w:val="0"/>
          <w:sz w:val="32"/>
          <w:szCs w:val="32"/>
        </w:rPr>
        <w:t>“</w:t>
      </w:r>
      <w:r>
        <w:rPr>
          <w:kern w:val="0"/>
          <w:sz w:val="32"/>
          <w:szCs w:val="32"/>
        </w:rPr>
        <w:t>创新南开</w:t>
      </w:r>
      <w:r>
        <w:rPr>
          <w:rFonts w:hint="eastAsia"/>
          <w:kern w:val="0"/>
          <w:sz w:val="32"/>
          <w:szCs w:val="32"/>
        </w:rPr>
        <w:t>”</w:t>
      </w:r>
      <w:r>
        <w:rPr>
          <w:kern w:val="0"/>
          <w:sz w:val="32"/>
          <w:szCs w:val="32"/>
        </w:rPr>
        <w:t>定位，积极建设碳达峰试点，依托优秀科教资源及天开高教科创园核心区载体平台，以科技创新促进新质生产力发展，</w:t>
      </w:r>
      <w:r>
        <w:rPr>
          <w:rFonts w:hint="eastAsia"/>
          <w:kern w:val="0"/>
          <w:sz w:val="32"/>
          <w:szCs w:val="32"/>
        </w:rPr>
        <w:t>发展壮大环保产业，</w:t>
      </w:r>
      <w:r>
        <w:rPr>
          <w:kern w:val="0"/>
          <w:sz w:val="32"/>
          <w:szCs w:val="32"/>
        </w:rPr>
        <w:t>赋能产业、能源等重点领域绿色转型，促进资源高效利用，积极稳妥推进碳达峰碳中和，推动经济绿色高质量发展。</w:t>
      </w:r>
      <w:bookmarkStart w:id="12" w:name="_Toc167262241"/>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（一）加快产业绿色低碳发展</w:t>
      </w:r>
      <w:bookmarkEnd w:id="12"/>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 w:val="0"/>
          <w:bCs w:val="0"/>
          <w:sz w:val="32"/>
          <w:szCs w:val="32"/>
        </w:rPr>
        <w:t>持续以科技创新推动产业绿色低碳发展。</w:t>
      </w:r>
      <w:r>
        <w:rPr>
          <w:rFonts w:ascii="Times New Roman" w:hAnsi="Times New Roman" w:eastAsia="仿宋_GB2312" w:cs="Times New Roman"/>
          <w:bCs/>
          <w:sz w:val="32"/>
          <w:szCs w:val="32"/>
        </w:rPr>
        <w:t>发挥天开园核心区载体平台带动作用，服务构建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一核引领、两翼协同、多点支撑</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发展格局，持续加强与南开大学、天津大学、驻区科研院所的深度合作，持续服务海河实验室、先进医用材料与医疗器械全国重点实验室等建设，加强关键核心技术联合攻关，推动更多科技成果从</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实验室</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走向</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生产线</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，让更多优质科研成果转化为优质市场主体，打造创新高地</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天开园</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以京津冀协同发展战略为牵引，深化创新协同和产业协作，主动承接和吸纳更多央企资源、民企资源、创新资源，共同培育科技力量和人才力量，助力北京科技创新优势与天津先进制造研发优势更好结合，推进京津冀协同发展走深走实。大力发展研发经济，支持中汽工程、创业环保、天大设计院、天津勘察院、规划设计总院等优质企业</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走出去</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对接服务场景，提升高技术服务效能，形成有影响力的科技服务产业。坚持</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两山论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，走深走实产业生态化、生态产业化的</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两化路</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以现代化都市型产业为发展路径，坚持高端化、智能化、绿色化方向，围绕创新链布局产业链，做强科技服务、智能制造、医疗健康主导产业，培育发展战略性新兴产业和未来产业，</w:t>
      </w:r>
      <w:r>
        <w:rPr>
          <w:rFonts w:ascii="Times New Roman" w:hAnsi="Times New Roman" w:eastAsia="仿宋_GB2312" w:cs="Times New Roman"/>
          <w:bCs/>
          <w:color w:val="auto"/>
          <w:sz w:val="32"/>
          <w:szCs w:val="32"/>
        </w:rPr>
        <w:t>促进数字经济</w:t>
      </w:r>
      <w:r>
        <w:rPr>
          <w:rFonts w:hint="eastAsia" w:ascii="Times New Roman" w:hAnsi="Times New Roman" w:eastAsia="仿宋_GB2312" w:cs="Times New Roman"/>
          <w:bCs/>
          <w:color w:val="auto"/>
          <w:sz w:val="32"/>
          <w:szCs w:val="32"/>
          <w:lang w:eastAsia="zh-CN"/>
        </w:rPr>
        <w:t>和</w:t>
      </w:r>
      <w:r>
        <w:rPr>
          <w:rFonts w:ascii="Times New Roman" w:hAnsi="Times New Roman" w:eastAsia="仿宋_GB2312" w:cs="Times New Roman"/>
          <w:bCs/>
          <w:color w:val="auto"/>
          <w:sz w:val="32"/>
          <w:szCs w:val="32"/>
        </w:rPr>
        <w:t>实体经济深度融合。</w:t>
      </w:r>
      <w:r>
        <w:rPr>
          <w:rFonts w:ascii="Times New Roman" w:hAnsi="Times New Roman" w:eastAsia="仿宋_GB2312" w:cs="Times New Roman"/>
          <w:bCs/>
          <w:sz w:val="32"/>
          <w:szCs w:val="32"/>
        </w:rPr>
        <w:t>到2025年，工业战略性新兴产业增加值占规模以上工业增加值比重力争达到40%，高技术产业（制造业）增加值占规模以上工业增加值比重力争达到30%以上；到2027年，全区先进制造研发能力更强，工业战略性新兴产业增加值年化增长率超过5%。到2035年，以科技创新全面支撑经济绿色高质量发展，R&amp;D经费投入占GDP比重保持全市前列。</w:t>
      </w:r>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盘活盘优文旅资源，打造主客共享的全国知名文化旅游目的地。</w:t>
      </w:r>
      <w:r>
        <w:rPr>
          <w:rFonts w:ascii="Times New Roman" w:hAnsi="Times New Roman" w:eastAsia="仿宋_GB2312" w:cs="Times New Roman"/>
          <w:sz w:val="32"/>
          <w:szCs w:val="32"/>
        </w:rPr>
        <w:t>坚持以文塑旅、以旅彰文，做实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文化强区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商贸兴区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章，全力融入国际消费中心城市建设，积极培育新的消费增长点。深入挖掘、盘活盘优老城文化、妈祖文化、漕运文化等特色文化资源，挖掘城市发祥地的独特价值，将天后宫、广东会馆、文庙等历史遗存与城市风貌、自然景观串珠成链、连线成片，提升古文化街等重点街区品质，做强特色文旅品牌。讲好天津故事、南开故事，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鼓楼—运河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城市更新项目，打造老城厢津沽文化魅力区。盘活盘优</w:t>
      </w:r>
      <w:r>
        <w:rPr>
          <w:rFonts w:hint="eastAsia" w:ascii="Times New Roman" w:hAnsi="Times New Roman" w:eastAsia="仿宋_GB2312" w:cs="Times New Roman"/>
          <w:sz w:val="32"/>
          <w:szCs w:val="32"/>
        </w:rPr>
        <w:t>祥禾饽饽铺</w:t>
      </w:r>
      <w:r>
        <w:rPr>
          <w:rFonts w:ascii="Times New Roman" w:hAnsi="Times New Roman" w:eastAsia="仿宋_GB2312" w:cs="Times New Roman"/>
          <w:sz w:val="32"/>
          <w:szCs w:val="32"/>
        </w:rPr>
        <w:t>等老字号及各类品牌资源，孵化一批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老字号+新业态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首店。坚持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以文兴业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文商旅体展深度融合，壮大文化产业，做优旅游及相关产业，发挥市场机制作用，引进专业化运营企业，加大资产盘活力度，谋划高品质产业项目。大力发展演出经济、潮玩经济、夜间经济，打造水上奥体体育竞技活力区，推出一批高品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文旅商赛演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w:t>
      </w:r>
      <w:bookmarkStart w:id="13" w:name="_Toc167262242"/>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color w:val="000000" w:themeColor="text1"/>
          <w:sz w:val="32"/>
          <w:szCs w:val="32"/>
        </w:rPr>
      </w:pPr>
      <w:r>
        <w:rPr>
          <w:rFonts w:hint="eastAsia" w:ascii="楷体" w:hAnsi="楷体" w:eastAsia="楷体" w:cs="楷体"/>
          <w:b w:val="0"/>
          <w:bCs w:val="0"/>
          <w:color w:val="000000" w:themeColor="text1"/>
          <w:sz w:val="32"/>
          <w:szCs w:val="32"/>
        </w:rPr>
        <w:t>（二）发展壮大环保产业</w:t>
      </w:r>
      <w:bookmarkEnd w:id="13"/>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发挥拾起卖、</w:t>
      </w:r>
      <w:r>
        <w:rPr>
          <w:rFonts w:hint="eastAsia" w:ascii="Times New Roman" w:hAnsi="Times New Roman" w:eastAsia="仿宋_GB2312" w:cs="Times New Roman"/>
          <w:color w:val="auto"/>
          <w:sz w:val="32"/>
          <w:szCs w:val="32"/>
        </w:rPr>
        <w:t>大收场</w:t>
      </w:r>
      <w:r>
        <w:rPr>
          <w:rFonts w:hint="eastAsia" w:ascii="Times New Roman" w:hAnsi="Times New Roman" w:eastAsia="仿宋_GB2312" w:cs="Times New Roman"/>
          <w:sz w:val="32"/>
          <w:szCs w:val="32"/>
        </w:rPr>
        <w:t>（天津）、天屹创客、易物享等再生资源骨干企业带动作用，积极发展静脉产业。积极推行“互联网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回收”模式，健全点、站、场废旧物资三级回收利用网络，打造从废弃物产生源头到资源循环利用者之间完整供应链条。推动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rPr>
        <w:t>大收场</w:t>
      </w:r>
      <w:r>
        <w:rPr>
          <w:rFonts w:hint="eastAsia" w:ascii="Times New Roman" w:hAnsi="Times New Roman" w:eastAsia="仿宋_GB2312" w:cs="Times New Roman"/>
          <w:sz w:val="32"/>
          <w:szCs w:val="32"/>
        </w:rPr>
        <w:t>共享经济平台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落地，打造循环经济逆向物流（</w:t>
      </w:r>
      <w:r>
        <w:rPr>
          <w:rFonts w:ascii="Times New Roman" w:hAnsi="Times New Roman" w:eastAsia="仿宋_GB2312" w:cs="Times New Roman"/>
          <w:sz w:val="32"/>
          <w:szCs w:val="32"/>
        </w:rPr>
        <w:t>C2B</w:t>
      </w:r>
      <w:r>
        <w:rPr>
          <w:rFonts w:hint="eastAsia" w:ascii="Times New Roman" w:hAnsi="Times New Roman" w:eastAsia="仿宋_GB2312" w:cs="Times New Roman"/>
          <w:sz w:val="32"/>
          <w:szCs w:val="32"/>
        </w:rPr>
        <w:t>）电商交易平台，打通产业链上下游通道（企业介绍）。健全“源点新智慧回收云平台”，打造一体的新型城市回收服务投资、建设、运营模式。持续创新应用废旧物资回收领域“碳普惠”模式，调动公众交投废旧物资的积极性。</w:t>
      </w:r>
      <w:r>
        <w:rPr>
          <w:rFonts w:ascii="Times New Roman" w:hAnsi="Times New Roman" w:eastAsia="仿宋_GB2312" w:cs="Times New Roman"/>
          <w:sz w:val="32"/>
          <w:szCs w:val="32"/>
        </w:rPr>
        <w:t>支持企业参与改建再生资源回收网点、中转站和专业分拣中心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鼓励企业将回收业务向分类前端延伸，进行精细化全品类回收。</w:t>
      </w:r>
      <w:r>
        <w:rPr>
          <w:rFonts w:hint="eastAsia" w:ascii="Times New Roman" w:hAnsi="Times New Roman" w:eastAsia="仿宋_GB2312" w:cs="Times New Roman"/>
          <w:sz w:val="32"/>
          <w:szCs w:val="32"/>
        </w:rPr>
        <w:t>依托区域创新资源集聚优势，聚焦复合材料高效解离、有价金属清洁提取等废旧物资循环利用领域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聚力突破关键共性技术。支持创业环保在污水、再生水、污泥、新能源供冷供热、分布式光伏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储能等方面科技攻关，积极推进智能制造与资源综合利用、资源再生利用、再制造等典型应用场景供需主体对接，推动再生资源高质循环、高端装备再制造。</w:t>
      </w:r>
      <w:bookmarkStart w:id="14" w:name="_Toc167262243"/>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（三）持续推进能源绿色低碳转型</w:t>
      </w:r>
      <w:bookmarkEnd w:id="14"/>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加快能源结构优化调整。禁止新建燃煤锅炉及燃煤工业炉窑。大力发展新能源和清洁能源。加强需求侧引导，有序扩大天然气利用规模。充分挖掘屋顶资源潜力，加快发展分布式光伏发电。支持储能设施创新研发。</w:t>
      </w:r>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推进终端用能绿色替代。推进工业、商业、建筑、交通等终端用能清洁化、低碳化转型。深入挖掘工业企业、大型商业综合体等主体电能替代潜力，鼓励有意愿的企业积极参加绿电交易。推进绿色交通基础设施建设，推广节能低碳型交通工具，鼓励公共机构、环卫等领域新增及更新车辆优先选用新能源车型，大力推进充电基础设施建设，在产业园、大型商业购物中心、农贸批发市场等地建设集中式充电桩和快速充电桩。深化可再生能源建筑应用，推广光伏发电与建筑一体化应用，不断提升可再生能源建筑应用比例。提高建筑终端电气化水平，探索集光伏发电、储能、直流配电、柔性用电于一体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光储直柔</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建筑建设。鼓励支持供热企业开展热电联产、工业余热供暖应用。到2025年，建筑可再生能源替代率达到8%；到2035年，非化石能源占能源消费总量比重持续提高。</w:t>
      </w:r>
      <w:bookmarkStart w:id="15" w:name="_Toc167262244"/>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b w:val="0"/>
          <w:bCs w:val="0"/>
          <w:color w:val="000000" w:themeColor="text1"/>
          <w:sz w:val="32"/>
          <w:szCs w:val="32"/>
        </w:rPr>
        <w:t>（四）强化资源节约集约高效利用</w:t>
      </w:r>
      <w:bookmarkEnd w:id="15"/>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b w:val="0"/>
          <w:bCs/>
          <w:kern w:val="2"/>
          <w:sz w:val="32"/>
          <w:szCs w:val="32"/>
        </w:rPr>
        <w:t>提高能源利用效率。强</w:t>
      </w:r>
      <w:r>
        <w:rPr>
          <w:rFonts w:ascii="Times New Roman" w:hAnsi="Times New Roman" w:eastAsia="仿宋_GB2312" w:cs="Times New Roman"/>
          <w:kern w:val="2"/>
          <w:sz w:val="32"/>
          <w:szCs w:val="32"/>
        </w:rPr>
        <w:t>化节能管理，推进重点用能单位能耗在线监测管理。实施工业、建筑、商业、公共机构等重点领域节能降碳工程。支持节能技术研发，大力推广节能产品。到2025年，单位地区生产总值能耗降低率完成天津市下达目标；到2035年，单位地区生产总值能源消耗大幅下降。</w:t>
      </w:r>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b w:val="0"/>
          <w:bCs/>
          <w:kern w:val="2"/>
          <w:sz w:val="32"/>
          <w:szCs w:val="32"/>
        </w:rPr>
        <w:t>提高水资源利用效率。</w:t>
      </w:r>
      <w:r>
        <w:rPr>
          <w:rFonts w:ascii="Times New Roman" w:hAnsi="Times New Roman" w:eastAsia="仿宋_GB2312" w:cs="Times New Roman"/>
          <w:kern w:val="2"/>
          <w:sz w:val="32"/>
          <w:szCs w:val="32"/>
        </w:rPr>
        <w:t>加强节约用水监督考核和激励约束。积极推广节水器具，实行用水产品水效标识管理，公共建筑采用节水器具，强化对生活用水器具经营市场监管，鼓励城区家庭使用节水器具。科学开展非居民生活用水管理工作，优化临时用水计划指标审批，提高单位企业用水效率；积极宣传节水型社会建设典型经验，持续开展节水载体建设，强化示范引领效应，重点打造一批高质量、高标准的节水载体，通过示范先行、以点带面激发社会各界参与节水型社会建设的积极性；到2025年，节水器具普及率达到100%，切实营造全社会节水护水亲水爱水良好氛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kern w:val="2"/>
          <w:sz w:val="32"/>
          <w:szCs w:val="32"/>
        </w:rPr>
        <w:t>提高土地资源利用效率。</w:t>
      </w:r>
      <w:r>
        <w:rPr>
          <w:rFonts w:ascii="Times New Roman" w:hAnsi="Times New Roman" w:eastAsia="仿宋_GB2312" w:cs="Times New Roman"/>
          <w:sz w:val="32"/>
          <w:szCs w:val="32"/>
        </w:rPr>
        <w:t>系统梳理存量资源，全面摸清工业厂房、可开发用地和小洋楼等资源底数，制定近远期盘活利用方案，拓宽盘活思路，加大盘活力度，着力提升品牌楼宇的产业密度和单位产值。到2035年，单位地区生产总值建设用地使用面积持续下降。</w:t>
      </w:r>
      <w:bookmarkStart w:id="16" w:name="_Toc16726224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（五）积极稳妥推进碳达峰碳中和</w:t>
      </w:r>
      <w:bookmarkEnd w:id="16"/>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将碳达峰、碳中和目标要求全面融入生态文明体系。推动能耗双控逐步转向碳排放双控。有计划分步骤积极稳妥实施碳达峰行动。充分发挥碳达峰碳中和对环境治理的源头牵引作用，积极开展减污降碳协同治理实践。到2025年，单位地区生产总值二氧化碳排放完成全市下达指标；2030年前，如期实现碳达峰目标。</w:t>
      </w:r>
    </w:p>
    <w:p>
      <w:pPr>
        <w:pStyle w:val="2"/>
        <w:pageBreakBefore w:val="0"/>
        <w:widowControl w:val="0"/>
        <w:kinsoku/>
        <w:wordWrap/>
        <w:topLinePunct w:val="0"/>
        <w:autoSpaceDE/>
        <w:autoSpaceDN/>
        <w:bidi w:val="0"/>
        <w:spacing w:before="0" w:after="0" w:line="560" w:lineRule="exact"/>
        <w:ind w:left="640"/>
        <w:jc w:val="both"/>
        <w:textAlignment w:val="auto"/>
        <w:rPr>
          <w:rFonts w:hint="eastAsia" w:ascii="黑体" w:hAnsi="黑体" w:eastAsia="黑体" w:cs="黑体"/>
          <w:b w:val="0"/>
          <w:bCs w:val="0"/>
          <w:sz w:val="32"/>
          <w:szCs w:val="32"/>
        </w:rPr>
      </w:pPr>
      <w:bookmarkStart w:id="17" w:name="_Toc167262246"/>
      <w:r>
        <w:rPr>
          <w:rFonts w:hint="eastAsia" w:ascii="黑体" w:hAnsi="黑体" w:eastAsia="黑体" w:cs="黑体"/>
          <w:b w:val="0"/>
          <w:bCs w:val="0"/>
          <w:sz w:val="32"/>
          <w:szCs w:val="32"/>
        </w:rPr>
        <w:t>四、以改善生态环境质量为主线，构建生态安全体系</w:t>
      </w:r>
      <w:bookmarkEnd w:id="17"/>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深入打好蓝天、碧水、净土保卫战，持续改善生态环境质量，强化固体废物和新污染物治理、生态环境风险防范，筑牢环境安全底线，打造安全韧性之美。</w:t>
      </w:r>
      <w:bookmarkStart w:id="18" w:name="_Toc167262247"/>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（一）持续深入打好蓝天保卫战</w:t>
      </w:r>
      <w:bookmarkEnd w:id="18"/>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以PM</w:t>
      </w:r>
      <w:r>
        <w:rPr>
          <w:rFonts w:ascii="Times New Roman" w:hAnsi="Times New Roman" w:eastAsia="仿宋_GB2312" w:cs="Times New Roman"/>
          <w:color w:val="000000"/>
          <w:sz w:val="32"/>
          <w:szCs w:val="32"/>
          <w:vertAlign w:val="subscript"/>
        </w:rPr>
        <w:t>2.5</w:t>
      </w:r>
      <w:r>
        <w:rPr>
          <w:rFonts w:ascii="Times New Roman" w:hAnsi="Times New Roman" w:eastAsia="仿宋_GB2312" w:cs="Times New Roman"/>
          <w:color w:val="000000"/>
          <w:sz w:val="32"/>
          <w:szCs w:val="32"/>
        </w:rPr>
        <w:t>控制为主线，强化多污染物协同治理，深化与周边区域大气污染联防联控，守护美丽蓝天。综合管控移动源污染排放，完成老旧机动车船、非道路移动机械更新换代，对辖区内重点用车单位实施全覆盖检查，执行新阶段机动车排放标准和油品质量标准。全面加强扬尘等面源污染管控，深</w:t>
      </w:r>
      <w:r>
        <w:rPr>
          <w:rFonts w:ascii="Times New Roman" w:hAnsi="Times New Roman" w:eastAsia="仿宋_GB2312" w:cs="Times New Roman"/>
          <w:sz w:val="32"/>
          <w:szCs w:val="32"/>
        </w:rPr>
        <w:t>入开展改善降尘和扬尘专项行动，加强施工工地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6个100%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控尘措施监管、渣土运输车辆管控和露天焚烧管控、道路扬尘综合治理，做好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以克论净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考核。</w:t>
      </w:r>
      <w:r>
        <w:rPr>
          <w:rFonts w:ascii="Times New Roman" w:hAnsi="Times New Roman" w:eastAsia="仿宋_GB2312" w:cs="Times New Roman"/>
          <w:color w:val="000000"/>
          <w:sz w:val="32"/>
          <w:szCs w:val="32"/>
        </w:rPr>
        <w:t>推进重点行业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创A行动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，实施VOCs源头治理工程，强化全流程全环节综合治理</w:t>
      </w:r>
      <w:r>
        <w:rPr>
          <w:rFonts w:ascii="Times New Roman" w:hAnsi="Times New Roman" w:eastAsia="仿宋_GB2312" w:cs="Times New Roman"/>
          <w:sz w:val="32"/>
          <w:szCs w:val="32"/>
        </w:rPr>
        <w:t>。持续开展</w:t>
      </w:r>
      <w:r>
        <w:rPr>
          <w:rFonts w:ascii="Times New Roman" w:hAnsi="Times New Roman" w:eastAsia="仿宋_GB2312" w:cs="Times New Roman"/>
          <w:color w:val="000000"/>
          <w:sz w:val="32"/>
          <w:szCs w:val="32"/>
        </w:rPr>
        <w:t>秋冬季大气污染综合治理、大气治理百日攻坚专项行动。到2025年，</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年均浓度控制在37微克/立方米，空气质量优良天数比率达72.6%，控制重度及以上污染天数</w:t>
      </w:r>
      <w:r>
        <w:rPr>
          <w:rFonts w:ascii="Times New Roman" w:hAnsi="Times New Roman" w:eastAsia="仿宋_GB2312" w:cs="Times New Roman"/>
          <w:color w:val="000000"/>
          <w:sz w:val="32"/>
          <w:szCs w:val="32"/>
        </w:rPr>
        <w:t>比率在1.1%以内；到2035年，环境空气质量改善更加显著。</w:t>
      </w:r>
      <w:bookmarkStart w:id="19" w:name="_Toc167262248"/>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w:t>
      </w:r>
      <w:bookmarkStart w:id="20" w:name="_Hlk86757170"/>
      <w:r>
        <w:rPr>
          <w:rFonts w:hint="eastAsia" w:ascii="楷体" w:hAnsi="楷体" w:eastAsia="楷体" w:cs="楷体"/>
          <w:b w:val="0"/>
          <w:bCs w:val="0"/>
          <w:color w:val="000000" w:themeColor="text1"/>
          <w:sz w:val="32"/>
          <w:szCs w:val="32"/>
        </w:rPr>
        <w:t>持续深入打好碧水保卫战</w:t>
      </w:r>
      <w:bookmarkEnd w:id="19"/>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统筹水资源、水环境、水生态治理，强化水功能区划管理，建设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人水和谐</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的美丽河湖。完成入河排污口排查整治与规范化管理，形成入河排口监管长效机制。严格落实陈台子河长效养管机制，巩固提升城市黑臭水体治理成效。加强城市面源污染治理，实施老旧污水管网提升改造、合流制改造、管网混接错接改造，继续做好老旧小区、混接片区、积水点、道路、水体治理等海绵城市改造和新建海绵城市项目，常态化进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清管行动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，到2035年基本实现污水全收集全处理。全面落实河湖长制，实施河湖环境、乱泼乱倒等常态化治理，采用生态治理、清淤、增加补水等方式，进一步加强卫津河、陈台子河治理。大力推进</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美丽河湖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建设。到2025年，地表水考核断面达到或好于Ⅲ类水体比例保持100%；到2035年，基本建成美丽河湖。</w:t>
      </w:r>
      <w:bookmarkEnd w:id="20"/>
      <w:bookmarkStart w:id="21" w:name="_Toc167262249"/>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（三）持续深入打好净土保卫战</w:t>
      </w:r>
      <w:bookmarkEnd w:id="21"/>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源头防控、风险防范，坚决防止新增污染。全面开展土壤污染重点监管单位周边土壤和地下水环境监测，实施源头防控行动。加强建设用地用途变更和污染地块风险管控联动监管，重点建设用地安全利用率保持100%。扎实推进地下水污染防治，开展水质巩固行动。到2025年，地下水区域点位水质类别保持稳定；到2035年，土壤环境风险得到全面管控。</w:t>
      </w:r>
      <w:bookmarkStart w:id="22" w:name="_Toc167262250"/>
    </w:p>
    <w:p>
      <w:pPr>
        <w:pageBreakBefore w:val="0"/>
        <w:widowControl w:val="0"/>
        <w:kinsoku/>
        <w:wordWrap/>
        <w:topLinePunct w:val="0"/>
        <w:autoSpaceDE/>
        <w:autoSpaceDN/>
        <w:bidi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（四）强化固体废物和新污染物治理</w:t>
      </w:r>
      <w:bookmarkEnd w:id="22"/>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以推动固体废物减量化、资源化、无害化为主线，推进</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无废城市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建设，多点打造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无废细胞</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。加大工业固体废物、建筑垃圾资源化利用。强化危险废物全过程监管，完善医疗废物管理工作长效机制，健全和规范收运体系，实现危险废物应收尽收。加强新污染物治理，以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筛、评、控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为防控思路，系统构建新污染物治理长效机制。2025年底前，基本建成</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无废城市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，一般工业固体废物综合利用率保持在98%以上，城市建筑垃圾资源化处理率达到30%以上。到2035年，新污染物环境风险得到有效管控。</w:t>
      </w:r>
      <w:bookmarkStart w:id="23" w:name="_Toc167262251"/>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kern w:val="2"/>
          <w:sz w:val="32"/>
          <w:szCs w:val="32"/>
        </w:rPr>
      </w:pPr>
      <w:r>
        <w:rPr>
          <w:rFonts w:hint="eastAsia" w:ascii="楷体" w:hAnsi="楷体" w:eastAsia="楷体" w:cs="楷体"/>
          <w:b w:val="0"/>
          <w:bCs w:val="0"/>
          <w:color w:val="000000" w:themeColor="text1"/>
          <w:sz w:val="32"/>
          <w:szCs w:val="32"/>
        </w:rPr>
        <w:t>（五）加强生态保护建设</w:t>
      </w:r>
      <w:bookmarkEnd w:id="23"/>
    </w:p>
    <w:p>
      <w:pPr>
        <w:pStyle w:val="2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b w:val="0"/>
          <w:bCs/>
          <w:sz w:val="32"/>
          <w:szCs w:val="32"/>
        </w:rPr>
        <w:t>构建生态空间格局。</w:t>
      </w:r>
      <w:r>
        <w:rPr>
          <w:rFonts w:ascii="Times New Roman" w:hAnsi="Times New Roman" w:eastAsia="仿宋_GB2312" w:cs="Times New Roman"/>
          <w:color w:val="000000" w:themeColor="text1"/>
          <w:sz w:val="32"/>
          <w:szCs w:val="32"/>
        </w:rPr>
        <w:t>基于公园、绿地、河湖水系等生态要素本底，构建</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一核多点</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的生态空间格局，提升区域生态系统服务功能。其中，</w:t>
      </w:r>
      <w:r>
        <w:rPr>
          <w:rFonts w:hint="eastAsia" w:ascii="Times New Roman" w:hAnsi="Times New Roman" w:eastAsia="仿宋_GB2312" w:cs="Times New Roman"/>
          <w:b w:val="0"/>
          <w:bCs/>
          <w:color w:val="000000" w:themeColor="text1"/>
          <w:sz w:val="32"/>
          <w:szCs w:val="32"/>
        </w:rPr>
        <w:t>“</w:t>
      </w:r>
      <w:r>
        <w:rPr>
          <w:rFonts w:ascii="Times New Roman" w:hAnsi="Times New Roman" w:eastAsia="仿宋_GB2312" w:cs="Times New Roman"/>
          <w:b w:val="0"/>
          <w:bCs/>
          <w:color w:val="000000" w:themeColor="text1"/>
          <w:sz w:val="32"/>
          <w:szCs w:val="32"/>
        </w:rPr>
        <w:t>一核</w:t>
      </w:r>
      <w:r>
        <w:rPr>
          <w:rFonts w:hint="eastAsia" w:ascii="Times New Roman" w:hAnsi="Times New Roman" w:eastAsia="仿宋_GB2312" w:cs="Times New Roman"/>
          <w:b w:val="0"/>
          <w:bCs/>
          <w:color w:val="000000" w:themeColor="text1"/>
          <w:sz w:val="32"/>
          <w:szCs w:val="32"/>
        </w:rPr>
        <w:t>”</w:t>
      </w:r>
      <w:r>
        <w:rPr>
          <w:rFonts w:ascii="Times New Roman" w:hAnsi="Times New Roman" w:eastAsia="仿宋_GB2312" w:cs="Times New Roman"/>
          <w:b w:val="0"/>
          <w:bCs/>
          <w:color w:val="000000" w:themeColor="text1"/>
          <w:sz w:val="32"/>
          <w:szCs w:val="32"/>
        </w:rPr>
        <w:t>主要位于区域南部，包括水上公园、南翠屏公园在内的生态核心区，该区域拥有丰富的动植物资源，尤其是众多鸟类的栖息地。</w:t>
      </w:r>
      <w:r>
        <w:rPr>
          <w:rFonts w:hint="eastAsia" w:ascii="Times New Roman" w:hAnsi="Times New Roman" w:eastAsia="仿宋_GB2312" w:cs="Times New Roman"/>
          <w:b w:val="0"/>
          <w:bCs/>
          <w:color w:val="auto"/>
          <w:sz w:val="32"/>
          <w:szCs w:val="32"/>
          <w:lang w:eastAsia="zh-CN"/>
        </w:rPr>
        <w:t>“</w:t>
      </w:r>
      <w:r>
        <w:rPr>
          <w:rFonts w:ascii="Times New Roman" w:hAnsi="Times New Roman" w:eastAsia="仿宋_GB2312" w:cs="Times New Roman"/>
          <w:b w:val="0"/>
          <w:bCs/>
          <w:color w:val="auto"/>
          <w:sz w:val="32"/>
          <w:szCs w:val="32"/>
        </w:rPr>
        <w:t>多节点</w:t>
      </w:r>
      <w:r>
        <w:rPr>
          <w:rFonts w:hint="eastAsia" w:ascii="Times New Roman" w:hAnsi="Times New Roman" w:eastAsia="仿宋_GB2312" w:cs="Times New Roman"/>
          <w:b w:val="0"/>
          <w:bCs/>
          <w:color w:val="auto"/>
          <w:sz w:val="32"/>
          <w:szCs w:val="32"/>
        </w:rPr>
        <w:t>”</w:t>
      </w:r>
      <w:r>
        <w:rPr>
          <w:rFonts w:ascii="Times New Roman" w:hAnsi="Times New Roman" w:eastAsia="仿宋_GB2312" w:cs="Times New Roman"/>
          <w:b w:val="0"/>
          <w:bCs/>
          <w:color w:val="auto"/>
          <w:sz w:val="32"/>
          <w:szCs w:val="32"/>
        </w:rPr>
        <w:t>指其他各类型公园、绿地等城市拓展生态空间及</w:t>
      </w:r>
      <w:r>
        <w:rPr>
          <w:rFonts w:ascii="Times New Roman" w:hAnsi="Times New Roman" w:eastAsia="仿宋_GB2312" w:cs="Times New Roman"/>
          <w:b w:val="0"/>
          <w:bCs/>
          <w:color w:val="000000" w:themeColor="text1"/>
          <w:sz w:val="32"/>
          <w:szCs w:val="32"/>
        </w:rPr>
        <w:t>天大湖、南大湖等多个生态景观组成的重要生态节点</w:t>
      </w:r>
      <w:r>
        <w:rPr>
          <w:rFonts w:ascii="Times New Roman" w:hAnsi="Times New Roman" w:eastAsia="仿宋_GB2312" w:cs="Times New Roman"/>
          <w:color w:val="000000" w:themeColor="text1"/>
          <w:sz w:val="32"/>
          <w:szCs w:val="32"/>
        </w:rPr>
        <w:t>。</w:t>
      </w:r>
    </w:p>
    <w:p>
      <w:pPr>
        <w:pStyle w:val="24"/>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sz w:val="32"/>
          <w:szCs w:val="32"/>
        </w:rPr>
        <w:t>严守重要生态空间。</w:t>
      </w:r>
      <w:r>
        <w:rPr>
          <w:rFonts w:ascii="Times New Roman" w:hAnsi="Times New Roman" w:eastAsia="仿宋_GB2312" w:cs="Times New Roman"/>
          <w:sz w:val="32"/>
          <w:szCs w:val="32"/>
        </w:rPr>
        <w:t>强化国土空间用途管控。严守生态保护红线，强化执法监管、问题整治和保护修复，确保区域生态保护红线功能不降低、性质不改变。推进城市生态系统建设，完善城市绿地体系，加强城市公园绿地建设。加强河湖水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岸线管理保护，严格水域、岸线等水生态空间管控，严禁侵占河道、围垦。到2035年，生态空间保持严格管控。</w:t>
      </w:r>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 w:val="0"/>
          <w:bCs/>
          <w:sz w:val="32"/>
          <w:szCs w:val="32"/>
        </w:rPr>
        <w:t>加强生物安全管理。</w:t>
      </w:r>
      <w:r>
        <w:rPr>
          <w:rFonts w:ascii="Times New Roman" w:hAnsi="Times New Roman" w:eastAsia="仿宋_GB2312" w:cs="Times New Roman"/>
          <w:color w:val="000000"/>
          <w:sz w:val="32"/>
          <w:szCs w:val="32"/>
        </w:rPr>
        <w:t>加大生物多样性保护力度，加强有害生物防控和预测预警，健全外来入侵物种防控工作机制，开展外来入侵物种普查、监测预警、影响评估。</w:t>
      </w:r>
      <w:r>
        <w:rPr>
          <w:rFonts w:ascii="Times New Roman" w:hAnsi="Times New Roman" w:eastAsia="仿宋_GB2312" w:cs="Times New Roman"/>
          <w:bCs/>
          <w:sz w:val="32"/>
          <w:szCs w:val="32"/>
        </w:rPr>
        <w:t>到2025年，</w:t>
      </w:r>
      <w:r>
        <w:rPr>
          <w:rFonts w:ascii="Times New Roman" w:hAnsi="Times New Roman" w:eastAsia="仿宋_GB2312" w:cs="Times New Roman"/>
          <w:color w:val="000000"/>
          <w:sz w:val="32"/>
          <w:szCs w:val="32"/>
        </w:rPr>
        <w:t>完成生物多样性调查，</w:t>
      </w:r>
      <w:r>
        <w:rPr>
          <w:rFonts w:ascii="Times New Roman" w:hAnsi="Times New Roman" w:eastAsia="仿宋_GB2312" w:cs="Times New Roman"/>
          <w:bCs/>
          <w:sz w:val="32"/>
          <w:szCs w:val="32"/>
        </w:rPr>
        <w:t>绿化病虫害发生率较2020年下降10%。</w:t>
      </w:r>
      <w:bookmarkStart w:id="24" w:name="_Toc167262252"/>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（六）加强环境风险防控</w:t>
      </w:r>
      <w:bookmarkEnd w:id="24"/>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涉危涉重行业企业为重点对象，强化环境隐患排查和风险管控。加强重点环保设备设施安全监管。加强核技术利用安全监管和电磁辐射环境管理，确保废旧放射源100%安全收贮。健全突发环境事件应急管理机制，健全环境应急物资储备和应急响应体系，及时妥善处置突发环境事件。</w:t>
      </w:r>
      <w:bookmarkStart w:id="25" w:name="_Toc167262253"/>
    </w:p>
    <w:p>
      <w:pPr>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color w:val="000000" w:themeColor="text1"/>
          <w:sz w:val="32"/>
          <w:szCs w:val="32"/>
        </w:rPr>
      </w:pPr>
      <w:r>
        <w:rPr>
          <w:rFonts w:hint="eastAsia" w:ascii="楷体" w:hAnsi="楷体" w:eastAsia="楷体" w:cs="楷体"/>
          <w:b w:val="0"/>
          <w:bCs w:val="0"/>
          <w:color w:val="000000" w:themeColor="text1"/>
          <w:sz w:val="32"/>
          <w:szCs w:val="32"/>
        </w:rPr>
        <w:t>（七）积极应对气候变化</w:t>
      </w:r>
      <w:bookmarkEnd w:id="25"/>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color w:val="000000" w:themeColor="text1"/>
          <w:kern w:val="2"/>
          <w:sz w:val="32"/>
          <w:szCs w:val="32"/>
        </w:rPr>
      </w:pPr>
      <w:r>
        <w:rPr>
          <w:rFonts w:ascii="Times New Roman" w:hAnsi="Times New Roman" w:eastAsia="仿宋_GB2312" w:cs="Times New Roman"/>
          <w:color w:val="000000" w:themeColor="text1"/>
          <w:kern w:val="2"/>
          <w:sz w:val="32"/>
          <w:szCs w:val="32"/>
        </w:rPr>
        <w:t>加强韧性安全城市建设，落实适应气候变化行动，加强气候变化影响和风险评估。完善城镇安全韧性空间和基础设施，提升极端天气气候事件下城市各类基础设施的防灾、减灾、抗灾、应急救灾能力。统筹城市防洪和内涝治理，健全排水防涝体系，加强易涝积水点整治，全域推进海绵城市建设。到2025年，建成区50%以上的面积达到海绵城市建设要求。</w:t>
      </w:r>
    </w:p>
    <w:p>
      <w:pPr>
        <w:pStyle w:val="2"/>
        <w:pageBreakBefore w:val="0"/>
        <w:widowControl w:val="0"/>
        <w:kinsoku/>
        <w:wordWrap/>
        <w:topLinePunct w:val="0"/>
        <w:autoSpaceDE/>
        <w:autoSpaceDN/>
        <w:bidi w:val="0"/>
        <w:spacing w:before="0" w:after="0" w:line="560" w:lineRule="exact"/>
        <w:ind w:left="640"/>
        <w:jc w:val="both"/>
        <w:textAlignment w:val="auto"/>
        <w:rPr>
          <w:rFonts w:hint="eastAsia" w:ascii="黑体" w:hAnsi="黑体" w:eastAsia="黑体" w:cs="黑体"/>
          <w:b w:val="0"/>
          <w:bCs w:val="0"/>
          <w:sz w:val="32"/>
          <w:szCs w:val="32"/>
        </w:rPr>
      </w:pPr>
      <w:bookmarkStart w:id="26" w:name="_Toc167262254"/>
      <w:r>
        <w:rPr>
          <w:rFonts w:hint="eastAsia" w:ascii="黑体" w:hAnsi="黑体" w:eastAsia="黑体" w:cs="黑体"/>
          <w:b w:val="0"/>
          <w:bCs w:val="0"/>
          <w:sz w:val="32"/>
          <w:szCs w:val="32"/>
        </w:rPr>
        <w:t>五、以实施城市更新为契机，构建生态人居体系</w:t>
      </w:r>
      <w:bookmarkEnd w:id="26"/>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结合实施城市更新行动，统筹推进高品质生活和高效能治理，实施</w:t>
      </w:r>
      <w:r>
        <w:rPr>
          <w:rFonts w:hint="eastAsia"/>
          <w:sz w:val="32"/>
          <w:szCs w:val="32"/>
          <w:lang w:eastAsia="zh-CN"/>
        </w:rPr>
        <w:t>“</w:t>
      </w:r>
      <w:r>
        <w:rPr>
          <w:color w:val="auto"/>
          <w:sz w:val="32"/>
          <w:szCs w:val="32"/>
        </w:rPr>
        <w:t>居美</w:t>
      </w:r>
      <w:r>
        <w:rPr>
          <w:sz w:val="32"/>
          <w:szCs w:val="32"/>
        </w:rPr>
        <w:t>、颜美、智美、创美</w:t>
      </w:r>
      <w:r>
        <w:rPr>
          <w:rFonts w:hint="eastAsia"/>
          <w:sz w:val="32"/>
          <w:szCs w:val="32"/>
          <w:lang w:eastAsia="zh-CN"/>
        </w:rPr>
        <w:t>”</w:t>
      </w:r>
      <w:r>
        <w:rPr>
          <w:sz w:val="32"/>
          <w:szCs w:val="32"/>
        </w:rPr>
        <w:t>等四项行动，打造更具南开特色辨识度、更加宜居宜业宜游的美丽南开，使老百姓住的安心、干的舒心、玩的开心，持续提升生活幸福感和满意度。</w:t>
      </w:r>
      <w:bookmarkStart w:id="27" w:name="_Toc167262255"/>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（一）实施居美行动</w:t>
      </w:r>
      <w:bookmarkEnd w:id="27"/>
    </w:p>
    <w:p>
      <w:pPr>
        <w:pStyle w:val="24"/>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41"/>
          <w:rFonts w:ascii="Times New Roman" w:hAnsi="Times New Roman" w:eastAsia="仿宋_GB2312"/>
          <w:sz w:val="32"/>
          <w:szCs w:val="32"/>
        </w:rPr>
      </w:pPr>
      <w:r>
        <w:rPr>
          <w:rFonts w:ascii="Times New Roman" w:hAnsi="Times New Roman" w:eastAsia="仿宋_GB2312" w:cs="Times New Roman"/>
          <w:b w:val="0"/>
          <w:bCs/>
          <w:sz w:val="32"/>
          <w:szCs w:val="32"/>
        </w:rPr>
        <w:t>持续提升人居环境品质。</w:t>
      </w:r>
      <w:r>
        <w:rPr>
          <w:rFonts w:ascii="Times New Roman" w:hAnsi="Times New Roman" w:eastAsia="仿宋_GB2312" w:cs="Times New Roman"/>
          <w:sz w:val="32"/>
          <w:szCs w:val="32"/>
        </w:rPr>
        <w:t>推动公共机构强制分类和整街制片区垃圾分类，促进社区垃圾分类源头准确投放，积极打造生活垃圾分类精品示范街区。优化垃圾回收站点布局，提高回收设施覆盖率和便利性。鼓励垃圾回收企业技术创新，逐步将废品回收站数据纳入台账统计。持续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厕所革命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居民百姓如厕环境。实施黑臭水体排查，实现动态清零。到2025年，生活垃圾回收利用率达到35%以上；到2027年，全面形成分类投放、分类收集、分类运输、分类处置的全链条垃圾分类处置体系。加大杨柳飞絮防治力度，通过实施注射抑制药剂等措施减少飞絮对市民日常生活的干扰。</w:t>
      </w:r>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积极破解民生关切难题。</w:t>
      </w:r>
      <w:r>
        <w:rPr>
          <w:sz w:val="32"/>
          <w:szCs w:val="32"/>
        </w:rPr>
        <w:t>聚焦居民所盼，加强与城市更新、民心工程、海绵城市建设等工作的统筹衔接，加快全区易涝积水点治理，实施凌奥花园（三期）、锦园里、金庄花园等积水点改造，加大雨污管网疏通、雨污串接混接点改造。完成燃气、供热等管网改造。推动新能源汽车充电、太阳能光伏等新型基础设施建设，构建新能源充电基础设施体系，打通新能源汽车充电</w:t>
      </w:r>
      <w:r>
        <w:rPr>
          <w:rFonts w:hint="eastAsia"/>
          <w:sz w:val="32"/>
          <w:szCs w:val="32"/>
        </w:rPr>
        <w:t>“</w:t>
      </w:r>
      <w:r>
        <w:rPr>
          <w:sz w:val="32"/>
          <w:szCs w:val="32"/>
        </w:rPr>
        <w:t>堵</w:t>
      </w:r>
      <w:r>
        <w:rPr>
          <w:rFonts w:hint="eastAsia"/>
          <w:sz w:val="32"/>
          <w:szCs w:val="32"/>
        </w:rPr>
        <w:t>”</w:t>
      </w:r>
      <w:r>
        <w:rPr>
          <w:sz w:val="32"/>
          <w:szCs w:val="32"/>
        </w:rPr>
        <w:t>点。优化交通疏导方案，重点缓解商业和文旅区域、校园门前拥堵</w:t>
      </w:r>
      <w:r>
        <w:rPr>
          <w:color w:val="auto"/>
          <w:sz w:val="32"/>
          <w:szCs w:val="32"/>
        </w:rPr>
        <w:t>，推进智慧停车建设，优化区域停车资源配置，提高道路通行效率。</w:t>
      </w:r>
      <w:r>
        <w:rPr>
          <w:color w:val="000000"/>
          <w:sz w:val="32"/>
          <w:szCs w:val="32"/>
        </w:rPr>
        <w:t>着力解决噪声、油烟、恶臭等污染问题，</w:t>
      </w:r>
      <w:r>
        <w:rPr>
          <w:color w:val="000000"/>
          <w:sz w:val="32"/>
          <w:szCs w:val="32"/>
          <w:lang w:val="zh-CN"/>
        </w:rPr>
        <w:t>深度融合社会生活噪声整治与社区网格化管理，对</w:t>
      </w:r>
      <w:r>
        <w:rPr>
          <w:sz w:val="32"/>
          <w:szCs w:val="32"/>
        </w:rPr>
        <w:t>敏感居民集中区夜间施工、社会噪声、交通噪声等实施重点管控，持续开展</w:t>
      </w:r>
      <w:r>
        <w:rPr>
          <w:sz w:val="32"/>
          <w:szCs w:val="32"/>
          <w:lang w:val="zh-CN"/>
        </w:rPr>
        <w:t>安静小区创建</w:t>
      </w:r>
      <w:r>
        <w:rPr>
          <w:sz w:val="32"/>
          <w:szCs w:val="32"/>
        </w:rPr>
        <w:t>，依法查处餐饮服务项目油烟超标排放问题，对新建</w:t>
      </w:r>
      <w:r>
        <w:rPr>
          <w:rFonts w:hint="eastAsia"/>
          <w:sz w:val="32"/>
          <w:szCs w:val="32"/>
          <w:lang w:eastAsia="zh-CN"/>
        </w:rPr>
        <w:t>垃圾</w:t>
      </w:r>
      <w:r>
        <w:rPr>
          <w:sz w:val="32"/>
          <w:szCs w:val="32"/>
        </w:rPr>
        <w:t>中转站配套密闭负压收集和除臭设施，逐步推进居民区底商垃圾中转站搬迁。到2025年，声环境功能区夜间达标率达到85%以上。</w:t>
      </w:r>
      <w:bookmarkStart w:id="28" w:name="_Toc167262256"/>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（二）实施颜美行动</w:t>
      </w:r>
      <w:bookmarkEnd w:id="28"/>
    </w:p>
    <w:p>
      <w:pPr>
        <w:pageBreakBefore w:val="0"/>
        <w:widowControl w:val="0"/>
        <w:kinsoku/>
        <w:wordWrap/>
        <w:topLinePunct w:val="0"/>
        <w:autoSpaceDE/>
        <w:autoSpaceDN/>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val="0"/>
          <w:bCs/>
          <w:sz w:val="32"/>
          <w:szCs w:val="32"/>
        </w:rPr>
        <w:t>开展城市园林绿化提升行动。</w:t>
      </w:r>
      <w:r>
        <w:rPr>
          <w:rFonts w:ascii="Times New Roman" w:hAnsi="Times New Roman" w:eastAsia="仿宋_GB2312" w:cs="Times New Roman"/>
          <w:sz w:val="32"/>
          <w:szCs w:val="32"/>
        </w:rPr>
        <w:t>深挖绿化潜力，充分利用废弃地、边角地等见缝插绿，最大限度增加绿地面积。探索零散地块口袋公园建设的可行性，结合城市更新、老旧小区改造等新建一批口袋公园等群众身边增绿项目，力争人均公园绿地面积持续增长。进一步提升南翠屏公园、水上公园、长虹公园等公园品质，提升改造一批城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口袋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公园，打造推窗见绿、舒适宜人的城市景观。全面推行林长制，实施精细化养护管理。</w:t>
      </w:r>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持续提升特色历史文化景观。</w:t>
      </w:r>
      <w:r>
        <w:rPr>
          <w:sz w:val="32"/>
          <w:szCs w:val="32"/>
        </w:rPr>
        <w:t>以古文化街和鼓楼地区为核心，以打造</w:t>
      </w:r>
      <w:r>
        <w:rPr>
          <w:rFonts w:hint="eastAsia"/>
          <w:sz w:val="32"/>
          <w:szCs w:val="32"/>
        </w:rPr>
        <w:t>“</w:t>
      </w:r>
      <w:r>
        <w:rPr>
          <w:sz w:val="32"/>
          <w:szCs w:val="32"/>
        </w:rPr>
        <w:t>中国北方运河文化旅游休闲区、老城厢开放式博物馆、河海津韵主题沉浸街区</w:t>
      </w:r>
      <w:r>
        <w:rPr>
          <w:rFonts w:hint="eastAsia"/>
          <w:sz w:val="32"/>
          <w:szCs w:val="32"/>
        </w:rPr>
        <w:t>”</w:t>
      </w:r>
      <w:r>
        <w:rPr>
          <w:sz w:val="32"/>
          <w:szCs w:val="32"/>
        </w:rPr>
        <w:t>为目标，增加街区绿化环境，提升沿街店招氛围、增加沿线夜景照明等，推进景观提升、风貌整治、业态升级，以多种方式向游客讲好南开故事，提升城市文化</w:t>
      </w:r>
      <w:r>
        <w:rPr>
          <w:rFonts w:hint="eastAsia"/>
          <w:sz w:val="32"/>
          <w:szCs w:val="32"/>
        </w:rPr>
        <w:t>“</w:t>
      </w:r>
      <w:r>
        <w:rPr>
          <w:sz w:val="32"/>
          <w:szCs w:val="32"/>
        </w:rPr>
        <w:t>颜值</w:t>
      </w:r>
      <w:r>
        <w:rPr>
          <w:rFonts w:hint="eastAsia"/>
          <w:sz w:val="32"/>
          <w:szCs w:val="32"/>
        </w:rPr>
        <w:t>”</w:t>
      </w:r>
      <w:r>
        <w:rPr>
          <w:sz w:val="32"/>
          <w:szCs w:val="32"/>
        </w:rPr>
        <w:t>。以大运河文化传承利用及满足居民休闲娱乐为目标，结合运河独特文化，持续完善沿河文化景观设计、改造提升，打造大运河南开段特色景观空间。以营造喜庆气氛、带动文旅产业及夜间经济发展为目标，打造海河沿线、奥体中心及重要街景的靓丽夜景。</w:t>
      </w:r>
      <w:bookmarkStart w:id="29" w:name="_Toc167262257"/>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（三）实施智美行动</w:t>
      </w:r>
      <w:bookmarkEnd w:id="29"/>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sz w:val="32"/>
          <w:szCs w:val="32"/>
        </w:rPr>
      </w:pPr>
      <w:r>
        <w:rPr>
          <w:sz w:val="32"/>
          <w:szCs w:val="32"/>
        </w:rPr>
        <w:t>推进智慧城市建设。加快新型基础设施建设，积极推进智能制造、智慧交通、智慧医疗、智慧教育、智慧文旅、智慧健身（运动）、智慧平安社区、智慧应急管理，为居民提供更加高效、便捷、安全和舒适的城市生活体验，打造环境宜居、功能完善、活力迸发的智慧绿色城区样板。</w:t>
      </w:r>
      <w:bookmarkStart w:id="30" w:name="_Toc167262258"/>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（四）实施创美行动</w:t>
      </w:r>
      <w:bookmarkEnd w:id="30"/>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sz w:val="32"/>
          <w:szCs w:val="32"/>
        </w:rPr>
      </w:pPr>
      <w:r>
        <w:rPr>
          <w:sz w:val="32"/>
          <w:szCs w:val="32"/>
        </w:rPr>
        <w:t>按照天津市统一部署，积极开展美丽园区、美丽社区、美丽机关、美丽企事业单位、美丽学校等美丽细胞建设行动，推动以基层小美，实现全域大美。充分发挥绿色生活典型引领作用，积极倡导绿色消费理念。到2035年，绿色生活方式广泛形成。</w:t>
      </w:r>
    </w:p>
    <w:p>
      <w:pPr>
        <w:pStyle w:val="2"/>
        <w:pageBreakBefore w:val="0"/>
        <w:widowControl w:val="0"/>
        <w:kinsoku/>
        <w:wordWrap/>
        <w:topLinePunct w:val="0"/>
        <w:autoSpaceDE/>
        <w:autoSpaceDN/>
        <w:bidi w:val="0"/>
        <w:spacing w:before="0" w:after="0" w:line="560" w:lineRule="exact"/>
        <w:ind w:left="640"/>
        <w:jc w:val="both"/>
        <w:textAlignment w:val="auto"/>
        <w:rPr>
          <w:rFonts w:hint="eastAsia" w:ascii="黑体" w:hAnsi="黑体" w:eastAsia="黑体" w:cs="黑体"/>
          <w:b w:val="0"/>
          <w:bCs w:val="0"/>
          <w:sz w:val="32"/>
          <w:szCs w:val="32"/>
        </w:rPr>
      </w:pPr>
      <w:bookmarkStart w:id="31" w:name="_Toc167262259"/>
      <w:r>
        <w:rPr>
          <w:rFonts w:hint="eastAsia" w:ascii="黑体" w:hAnsi="黑体" w:eastAsia="黑体" w:cs="黑体"/>
          <w:b w:val="0"/>
          <w:bCs w:val="0"/>
          <w:sz w:val="32"/>
          <w:szCs w:val="32"/>
        </w:rPr>
        <w:t>六、以做实文化强区为牵引，构建生态文化体系</w:t>
      </w:r>
      <w:bookmarkEnd w:id="31"/>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以做实</w:t>
      </w:r>
      <w:r>
        <w:rPr>
          <w:rFonts w:hint="eastAsia"/>
          <w:sz w:val="32"/>
          <w:szCs w:val="32"/>
          <w:lang w:eastAsia="zh-CN"/>
        </w:rPr>
        <w:t>“</w:t>
      </w:r>
      <w:r>
        <w:rPr>
          <w:sz w:val="32"/>
          <w:szCs w:val="32"/>
        </w:rPr>
        <w:t>文化强区</w:t>
      </w:r>
      <w:r>
        <w:rPr>
          <w:rFonts w:hint="eastAsia"/>
          <w:sz w:val="32"/>
          <w:szCs w:val="32"/>
          <w:lang w:eastAsia="zh-CN"/>
        </w:rPr>
        <w:t>”</w:t>
      </w:r>
      <w:r>
        <w:rPr>
          <w:sz w:val="32"/>
          <w:szCs w:val="32"/>
        </w:rPr>
        <w:t>为牵引，深入挖掘特色传统文化中的生态文明理念和生态文化故事，加强生态文明宣传教育，倡导简约适度、绿色低碳、文明健康的生活方式和消费模式，引导全民参与生态文明建设，建立以生态价值观念为准则的生态文化体系。</w:t>
      </w:r>
      <w:bookmarkStart w:id="32" w:name="_Toc167262260"/>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（一）培育弘扬特色生态文化</w:t>
      </w:r>
      <w:bookmarkEnd w:id="32"/>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深入挖掘生态文化资源。</w:t>
      </w:r>
      <w:r>
        <w:rPr>
          <w:sz w:val="32"/>
          <w:szCs w:val="32"/>
        </w:rPr>
        <w:t>挖掘、继承、弘扬、创新老城文化、妈祖文化、漕运文化等传统文化资源的生态内涵，以老城厢历史文化街区、古文化街历史文化街区、海河历史文化街区(南开部分等)建设及活化利用为载体，以文化传承、文化资源保护及文化产业发展为契机，以鼓楼街</w:t>
      </w:r>
      <w:r>
        <w:rPr>
          <w:rFonts w:hint="eastAsia"/>
          <w:sz w:val="32"/>
          <w:szCs w:val="32"/>
        </w:rPr>
        <w:t>“</w:t>
      </w:r>
      <w:r>
        <w:rPr>
          <w:sz w:val="32"/>
          <w:szCs w:val="32"/>
        </w:rPr>
        <w:t>绿水青山就是金山银山</w:t>
      </w:r>
      <w:r>
        <w:rPr>
          <w:rFonts w:hint="eastAsia"/>
          <w:sz w:val="32"/>
          <w:szCs w:val="32"/>
        </w:rPr>
        <w:t>”</w:t>
      </w:r>
      <w:r>
        <w:rPr>
          <w:sz w:val="32"/>
          <w:szCs w:val="32"/>
        </w:rPr>
        <w:t>实践创新基地创建为引领，将生态文明理念融入优秀传统历史文化根脉，在发展文旅、文创产业中突出生态链与文化产业链的衔接、转化，在弘扬与传承历史文化的同时，逐步形成具有南开特色的生态文化主题。充分发挥</w:t>
      </w:r>
      <w:r>
        <w:rPr>
          <w:rFonts w:hint="eastAsia"/>
          <w:sz w:val="32"/>
          <w:szCs w:val="32"/>
        </w:rPr>
        <w:t>“</w:t>
      </w:r>
      <w:r>
        <w:rPr>
          <w:sz w:val="32"/>
          <w:szCs w:val="32"/>
        </w:rPr>
        <w:t>三岔河口</w:t>
      </w:r>
      <w:r>
        <w:rPr>
          <w:rFonts w:hint="eastAsia"/>
          <w:sz w:val="32"/>
          <w:szCs w:val="32"/>
        </w:rPr>
        <w:t>”</w:t>
      </w:r>
      <w:r>
        <w:rPr>
          <w:sz w:val="32"/>
          <w:szCs w:val="32"/>
        </w:rPr>
        <w:t>资源集聚优势，积极挖掘海河生态附加值，依托科技元素、数字赋能、智慧升级等手段为老城厢注入绿色新动能，培育</w:t>
      </w:r>
      <w:r>
        <w:rPr>
          <w:rFonts w:hint="eastAsia"/>
          <w:sz w:val="32"/>
          <w:szCs w:val="32"/>
        </w:rPr>
        <w:t>“</w:t>
      </w:r>
      <w:r>
        <w:rPr>
          <w:sz w:val="32"/>
          <w:szCs w:val="32"/>
        </w:rPr>
        <w:t>生态+商旅文融合</w:t>
      </w:r>
      <w:r>
        <w:rPr>
          <w:rFonts w:hint="eastAsia"/>
          <w:sz w:val="32"/>
          <w:szCs w:val="32"/>
        </w:rPr>
        <w:t>”</w:t>
      </w:r>
      <w:r>
        <w:rPr>
          <w:sz w:val="32"/>
          <w:szCs w:val="32"/>
        </w:rPr>
        <w:t>的创新型业态，实现自然生态资源向经济效益、社会效益、文化效益的多向转化。</w:t>
      </w:r>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积极打造生态文化品牌。</w:t>
      </w:r>
      <w:r>
        <w:rPr>
          <w:sz w:val="32"/>
          <w:szCs w:val="32"/>
        </w:rPr>
        <w:t>鼓励文艺工作者、非物质文化遗产传承人等积极创作生态文明建设题材的文学作品，通过不同文艺、文化形式展示生态保护建设成果，提升公众生态文明意识，打造南开生态文化品牌。到2027年，至少推出1部生态文学作品。</w:t>
      </w:r>
      <w:bookmarkStart w:id="33" w:name="_Toc167262261"/>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（二）强化生态文明宣传教育</w:t>
      </w:r>
      <w:bookmarkEnd w:id="33"/>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广泛宣传习近平生态文明思想。</w:t>
      </w:r>
      <w:r>
        <w:rPr>
          <w:sz w:val="32"/>
          <w:szCs w:val="32"/>
        </w:rPr>
        <w:t>用好</w:t>
      </w:r>
      <w:r>
        <w:rPr>
          <w:rFonts w:hint="eastAsia"/>
          <w:sz w:val="32"/>
          <w:szCs w:val="32"/>
        </w:rPr>
        <w:t>“</w:t>
      </w:r>
      <w:r>
        <w:rPr>
          <w:sz w:val="32"/>
          <w:szCs w:val="32"/>
        </w:rPr>
        <w:t>两微一端</w:t>
      </w:r>
      <w:r>
        <w:rPr>
          <w:rFonts w:hint="eastAsia"/>
          <w:sz w:val="32"/>
          <w:szCs w:val="32"/>
        </w:rPr>
        <w:t>”</w:t>
      </w:r>
      <w:r>
        <w:rPr>
          <w:sz w:val="32"/>
          <w:szCs w:val="32"/>
        </w:rPr>
        <w:t>、抖音平台等新媒体矩阵，依托</w:t>
      </w:r>
      <w:r>
        <w:rPr>
          <w:rFonts w:hint="eastAsia"/>
          <w:sz w:val="32"/>
          <w:szCs w:val="32"/>
        </w:rPr>
        <w:t>“</w:t>
      </w:r>
      <w:r>
        <w:rPr>
          <w:sz w:val="32"/>
          <w:szCs w:val="32"/>
        </w:rPr>
        <w:t>和美南开</w:t>
      </w:r>
      <w:r>
        <w:rPr>
          <w:rFonts w:hint="eastAsia"/>
          <w:sz w:val="32"/>
          <w:szCs w:val="32"/>
        </w:rPr>
        <w:t>”</w:t>
      </w:r>
      <w:r>
        <w:rPr>
          <w:sz w:val="32"/>
          <w:szCs w:val="32"/>
        </w:rPr>
        <w:t>公众号、新时代文明实践中心、文化馆、图书馆等各类宣传阵地，积极推进习近平生态文明思想大众化传播，积极宣传美丽南开建设。持续开展</w:t>
      </w:r>
      <w:r>
        <w:rPr>
          <w:rFonts w:hint="eastAsia"/>
          <w:sz w:val="32"/>
          <w:szCs w:val="32"/>
        </w:rPr>
        <w:t>“</w:t>
      </w:r>
      <w:r>
        <w:rPr>
          <w:sz w:val="32"/>
          <w:szCs w:val="32"/>
        </w:rPr>
        <w:t>美丽中国，我是行动者</w:t>
      </w:r>
      <w:r>
        <w:rPr>
          <w:rFonts w:hint="eastAsia"/>
          <w:sz w:val="32"/>
          <w:szCs w:val="32"/>
        </w:rPr>
        <w:t>”</w:t>
      </w:r>
      <w:r>
        <w:rPr>
          <w:sz w:val="32"/>
          <w:szCs w:val="32"/>
        </w:rPr>
        <w:t>提升公民生态文明意识行动。围绕世界地球日、世界环境日、世界水日、全国生态日、全国低碳日等重要时间节点大力开展主题宣传，强化生态文明建设知识科普。扩展生态文明宣传的深度和广度，开展形式多样的主题宣传活动和志愿服务，进一步培育生态文明主流价值观，不断提升公众生态文明素养，加快形成全民生态自觉。</w:t>
      </w:r>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加强生态文明科普教育。</w:t>
      </w:r>
      <w:r>
        <w:rPr>
          <w:sz w:val="32"/>
          <w:szCs w:val="32"/>
        </w:rPr>
        <w:t>将生态文明等相关课程纳入区委党校主体班次，以</w:t>
      </w:r>
      <w:r>
        <w:rPr>
          <w:rFonts w:hint="eastAsia"/>
          <w:sz w:val="32"/>
          <w:szCs w:val="32"/>
          <w:lang w:eastAsia="zh-CN"/>
        </w:rPr>
        <w:t>“</w:t>
      </w:r>
      <w:r>
        <w:rPr>
          <w:sz w:val="32"/>
          <w:szCs w:val="32"/>
        </w:rPr>
        <w:t>关键少数</w:t>
      </w:r>
      <w:r>
        <w:rPr>
          <w:rFonts w:hint="eastAsia"/>
          <w:sz w:val="32"/>
          <w:szCs w:val="32"/>
          <w:lang w:eastAsia="zh-CN"/>
        </w:rPr>
        <w:t>”</w:t>
      </w:r>
      <w:r>
        <w:rPr>
          <w:sz w:val="32"/>
          <w:szCs w:val="32"/>
        </w:rPr>
        <w:t>促</w:t>
      </w:r>
      <w:r>
        <w:rPr>
          <w:rFonts w:hint="eastAsia"/>
          <w:sz w:val="32"/>
          <w:szCs w:val="32"/>
          <w:lang w:eastAsia="zh-CN"/>
        </w:rPr>
        <w:t>“</w:t>
      </w:r>
      <w:r>
        <w:rPr>
          <w:sz w:val="32"/>
          <w:szCs w:val="32"/>
        </w:rPr>
        <w:t>绝大多数</w:t>
      </w:r>
      <w:r>
        <w:rPr>
          <w:rFonts w:hint="eastAsia"/>
          <w:sz w:val="32"/>
          <w:szCs w:val="32"/>
          <w:lang w:eastAsia="zh-CN"/>
        </w:rPr>
        <w:t>”</w:t>
      </w:r>
      <w:r>
        <w:rPr>
          <w:sz w:val="32"/>
          <w:szCs w:val="32"/>
        </w:rPr>
        <w:t>，引导全区党员领导干部做习近平生态文明思想的坚定信仰者、积极传播者、模范践行者。将生态文明教育纳入基础教育，开展多种形式的资源环境国情教育。以讲好南开故事、弘扬特色生态文化为着力点，建设一批生态文明教育实践基地，宣传美丽南开建设生动实践。</w:t>
      </w:r>
      <w:bookmarkStart w:id="34" w:name="_Toc167262262"/>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（三）践行绿色低碳生活方式</w:t>
      </w:r>
      <w:bookmarkEnd w:id="34"/>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积极倡导绿色生活。</w:t>
      </w:r>
      <w:r>
        <w:rPr>
          <w:sz w:val="32"/>
          <w:szCs w:val="32"/>
        </w:rPr>
        <w:t>全面推进</w:t>
      </w:r>
      <w:r>
        <w:rPr>
          <w:rFonts w:hint="eastAsia"/>
          <w:sz w:val="32"/>
          <w:szCs w:val="32"/>
        </w:rPr>
        <w:t>“</w:t>
      </w:r>
      <w:r>
        <w:rPr>
          <w:sz w:val="32"/>
          <w:szCs w:val="32"/>
        </w:rPr>
        <w:t>光盘行动</w:t>
      </w:r>
      <w:r>
        <w:rPr>
          <w:rFonts w:hint="eastAsia"/>
          <w:sz w:val="32"/>
          <w:szCs w:val="32"/>
        </w:rPr>
        <w:t>”</w:t>
      </w:r>
      <w:r>
        <w:rPr>
          <w:sz w:val="32"/>
          <w:szCs w:val="32"/>
        </w:rPr>
        <w:t>，杜绝</w:t>
      </w:r>
      <w:r>
        <w:rPr>
          <w:rFonts w:hint="eastAsia"/>
          <w:sz w:val="32"/>
          <w:szCs w:val="32"/>
        </w:rPr>
        <w:t>“</w:t>
      </w:r>
      <w:r>
        <w:rPr>
          <w:sz w:val="32"/>
          <w:szCs w:val="32"/>
        </w:rPr>
        <w:t>舌尖上的浪费</w:t>
      </w:r>
      <w:r>
        <w:rPr>
          <w:rFonts w:hint="eastAsia"/>
          <w:sz w:val="32"/>
          <w:szCs w:val="32"/>
        </w:rPr>
        <w:t>”</w:t>
      </w:r>
      <w:r>
        <w:rPr>
          <w:sz w:val="32"/>
          <w:szCs w:val="32"/>
        </w:rPr>
        <w:t>。深化垃圾分类精品公共机构和居民社区建设。加强塑料污染全链条治理。持续推进绿色低碳办公、绿色旅游。倡导绿色交通和低碳出行，优化地铁站、公交站、医院、学校及居民区周边区域共享单车停车位设置，持续开展绿色出行宣传月主题宣传活动，培养公众文明交通习惯，到2027年，绿色出行比例达到77%左右，2035年力争达到85%以上。</w:t>
      </w:r>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sz w:val="32"/>
          <w:szCs w:val="32"/>
        </w:rPr>
      </w:pPr>
      <w:r>
        <w:rPr>
          <w:b w:val="0"/>
          <w:bCs/>
          <w:sz w:val="32"/>
          <w:szCs w:val="32"/>
        </w:rPr>
        <w:t>持续推进绿色消费。</w:t>
      </w:r>
      <w:r>
        <w:rPr>
          <w:sz w:val="32"/>
          <w:szCs w:val="32"/>
        </w:rPr>
        <w:t>结合全国生态日、节能宣传周等主题活动，加大绿色消费宣传力度，大力营造绿色消费氛围。围绕</w:t>
      </w:r>
      <w:r>
        <w:rPr>
          <w:rFonts w:hint="eastAsia"/>
          <w:sz w:val="32"/>
          <w:szCs w:val="32"/>
        </w:rPr>
        <w:t>“</w:t>
      </w:r>
      <w:r>
        <w:rPr>
          <w:sz w:val="32"/>
          <w:szCs w:val="32"/>
        </w:rPr>
        <w:t>商贸兴区</w:t>
      </w:r>
      <w:r>
        <w:rPr>
          <w:rFonts w:hint="eastAsia"/>
          <w:sz w:val="32"/>
          <w:szCs w:val="32"/>
        </w:rPr>
        <w:t>”</w:t>
      </w:r>
      <w:r>
        <w:rPr>
          <w:sz w:val="32"/>
          <w:szCs w:val="32"/>
        </w:rPr>
        <w:t>，以绿色低碳为引擎，推动消费绿色转型升级，以鲁能城全市</w:t>
      </w:r>
      <w:r>
        <w:rPr>
          <w:rFonts w:hint="eastAsia"/>
          <w:sz w:val="32"/>
          <w:szCs w:val="32"/>
        </w:rPr>
        <w:t>“</w:t>
      </w:r>
      <w:r>
        <w:rPr>
          <w:sz w:val="32"/>
          <w:szCs w:val="32"/>
        </w:rPr>
        <w:t>首批低碳应用场景</w:t>
      </w:r>
      <w:r>
        <w:rPr>
          <w:rFonts w:hint="eastAsia"/>
          <w:sz w:val="32"/>
          <w:szCs w:val="32"/>
        </w:rPr>
        <w:t>”</w:t>
      </w:r>
      <w:r>
        <w:rPr>
          <w:sz w:val="32"/>
          <w:szCs w:val="32"/>
        </w:rPr>
        <w:t>为示范，聚焦重点消费领域，加大绿色产品供给，打造绿色消费新模式。积极发展二手商品流通市场，推动绿色产品认证。</w:t>
      </w:r>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color w:val="auto"/>
          <w:sz w:val="32"/>
          <w:szCs w:val="32"/>
        </w:rPr>
      </w:pPr>
      <w:r>
        <w:rPr>
          <w:b w:val="0"/>
          <w:bCs/>
          <w:sz w:val="32"/>
          <w:szCs w:val="32"/>
        </w:rPr>
        <w:t>加快发展绿色建筑。</w:t>
      </w:r>
      <w:r>
        <w:rPr>
          <w:sz w:val="32"/>
          <w:szCs w:val="32"/>
        </w:rPr>
        <w:t>大力发展低碳建筑，加快推进超低能耗、低碳建筑规模化发展，重点开展超低能耗、近零能耗、零能耗、零碳建筑试点，率先在政府投资项目、高星级绿色建筑等项目中应用。新建民用建筑全部执行绿色建筑标准。持续推动星级绿色建筑建设，鼓励政府投资的保障性住房、公益性公共建筑、2万平方米（含）以上的大型公共建筑以及10万平方米（含）以上的住宅小区率先执行绿色建筑二星级及以上标准。持续推动既有居住建筑、公共建筑低碳改造，鼓励医院、学校、办公楼等公共建筑优先采用钢结构建筑，率先在政府投资工程、重点工程、市政公用工程、绿色建筑、装配式建筑等项目中推广绿色建材应用，力争创建绿色建材应用试点。到2025年，城镇新建绿色建筑比例保持100%</w:t>
      </w:r>
      <w:r>
        <w:rPr>
          <w:color w:val="auto"/>
          <w:sz w:val="32"/>
          <w:szCs w:val="32"/>
        </w:rPr>
        <w:t>。</w:t>
      </w:r>
      <w:bookmarkStart w:id="35" w:name="_Toc167262263"/>
    </w:p>
    <w:p>
      <w:pPr>
        <w:pStyle w:val="43"/>
        <w:pageBreakBefore w:val="0"/>
        <w:widowControl w:val="0"/>
        <w:kinsoku/>
        <w:wordWrap/>
        <w:topLinePunct w:val="0"/>
        <w:autoSpaceDE/>
        <w:autoSpaceDN/>
        <w:bidi w:val="0"/>
        <w:adjustRightInd w:val="0"/>
        <w:snapToGrid w:val="0"/>
        <w:spacing w:line="560" w:lineRule="exact"/>
        <w:ind w:firstLine="643"/>
        <w:jc w:val="both"/>
        <w:textAlignment w:val="auto"/>
        <w:rPr>
          <w:rFonts w:ascii="Times New Roman" w:hAnsi="Times New Roman" w:eastAsia="黑体" w:cs="Times New Roman"/>
          <w:b w:val="0"/>
          <w:bCs w:val="0"/>
          <w:color w:val="000000" w:themeColor="text1"/>
          <w:sz w:val="32"/>
          <w:szCs w:val="32"/>
        </w:rPr>
      </w:pPr>
      <w:r>
        <w:rPr>
          <w:rFonts w:hint="eastAsia" w:ascii="楷体" w:hAnsi="楷体" w:eastAsia="楷体" w:cs="楷体"/>
          <w:b w:val="0"/>
          <w:bCs w:val="0"/>
          <w:color w:val="000000" w:themeColor="text1"/>
          <w:sz w:val="32"/>
          <w:szCs w:val="32"/>
        </w:rPr>
        <w:t>（四）引导生态文明建设全民参与</w:t>
      </w:r>
      <w:bookmarkEnd w:id="35"/>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深化环保设施向公众开放，保障公众知情权、参与权和监督权。鼓励并充分发挥工会、共青团、妇联等群团组织积极作用，动员广大职工、青年、妇女参与生态文明建设和生态环境保护。锚定</w:t>
      </w:r>
      <w:r>
        <w:rPr>
          <w:rFonts w:hint="eastAsia"/>
          <w:sz w:val="32"/>
          <w:szCs w:val="32"/>
        </w:rPr>
        <w:t>“</w:t>
      </w:r>
      <w:r>
        <w:rPr>
          <w:sz w:val="32"/>
          <w:szCs w:val="32"/>
        </w:rPr>
        <w:t>创新南开</w:t>
      </w:r>
      <w:r>
        <w:rPr>
          <w:rFonts w:hint="eastAsia"/>
          <w:sz w:val="32"/>
          <w:szCs w:val="32"/>
        </w:rPr>
        <w:t>”</w:t>
      </w:r>
      <w:r>
        <w:rPr>
          <w:sz w:val="32"/>
          <w:szCs w:val="32"/>
        </w:rPr>
        <w:t>定位，积极引导企业主动适应绿色低碳发展要求，提升绿色创新水平，培育绿色新质生产力。充分发挥行业协会等社会团体作用，督促企业自觉履行社会责任。积极探索运用碳普惠等模式，引导公众践行绿色低碳生活方式。按照生态文明建设示范区建设要求，每年开展</w:t>
      </w:r>
      <w:r>
        <w:rPr>
          <w:rFonts w:hint="eastAsia"/>
          <w:sz w:val="32"/>
          <w:szCs w:val="32"/>
        </w:rPr>
        <w:t>“</w:t>
      </w:r>
      <w:r>
        <w:rPr>
          <w:sz w:val="32"/>
          <w:szCs w:val="32"/>
        </w:rPr>
        <w:t>公众对生态环境质量满意程度</w:t>
      </w:r>
      <w:r>
        <w:rPr>
          <w:rFonts w:hint="eastAsia"/>
          <w:sz w:val="32"/>
          <w:szCs w:val="32"/>
        </w:rPr>
        <w:t>”</w:t>
      </w:r>
      <w:r>
        <w:rPr>
          <w:sz w:val="32"/>
          <w:szCs w:val="32"/>
        </w:rPr>
        <w:t>问卷调查，到2025年达到90%以上；到2035年，公众生态环境获得感、幸福感、满意度持续增强。</w:t>
      </w:r>
    </w:p>
    <w:p>
      <w:pPr>
        <w:pStyle w:val="2"/>
        <w:pageBreakBefore w:val="0"/>
        <w:widowControl w:val="0"/>
        <w:kinsoku/>
        <w:wordWrap/>
        <w:topLinePunct w:val="0"/>
        <w:autoSpaceDE/>
        <w:autoSpaceDN/>
        <w:bidi w:val="0"/>
        <w:spacing w:before="0" w:after="0" w:line="560" w:lineRule="exact"/>
        <w:ind w:firstLine="659" w:firstLineChars="206"/>
        <w:jc w:val="both"/>
        <w:textAlignment w:val="auto"/>
        <w:rPr>
          <w:rFonts w:ascii="Times New Roman" w:hAnsi="Times New Roman" w:cs="Times New Roman"/>
          <w:sz w:val="32"/>
          <w:szCs w:val="32"/>
        </w:rPr>
      </w:pPr>
      <w:bookmarkStart w:id="36" w:name="_Toc167262264"/>
      <w:r>
        <w:rPr>
          <w:rFonts w:hint="eastAsia" w:ascii="黑体" w:hAnsi="黑体" w:eastAsia="黑体" w:cs="黑体"/>
          <w:b w:val="0"/>
          <w:bCs w:val="0"/>
          <w:sz w:val="32"/>
          <w:szCs w:val="32"/>
        </w:rPr>
        <w:t>七、提升治理体系和治理能力现代化水平，构建生态制度体系</w:t>
      </w:r>
      <w:bookmarkEnd w:id="36"/>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以生态文明体制改革为牵引，压实党政领导干部目标责任，综合运用监管、法治、政策、市场、科技等手段，健全现代环境治理体系、提高生态环境治理能力，努力提升人民群众</w:t>
      </w:r>
      <w:r>
        <w:rPr>
          <w:rFonts w:hint="eastAsia"/>
          <w:sz w:val="32"/>
          <w:szCs w:val="32"/>
          <w:lang w:eastAsia="zh-CN"/>
        </w:rPr>
        <w:t>对</w:t>
      </w:r>
      <w:r>
        <w:rPr>
          <w:sz w:val="32"/>
          <w:szCs w:val="32"/>
        </w:rPr>
        <w:t>生态环境</w:t>
      </w:r>
      <w:r>
        <w:rPr>
          <w:rFonts w:hint="eastAsia"/>
          <w:sz w:val="32"/>
          <w:szCs w:val="32"/>
          <w:lang w:eastAsia="zh-CN"/>
        </w:rPr>
        <w:t>的</w:t>
      </w:r>
      <w:r>
        <w:rPr>
          <w:sz w:val="32"/>
          <w:szCs w:val="32"/>
        </w:rPr>
        <w:t>幸福感、获得感。</w:t>
      </w:r>
      <w:bookmarkStart w:id="37" w:name="_Toc23990"/>
      <w:bookmarkStart w:id="38" w:name="_Toc1219"/>
      <w:bookmarkStart w:id="39" w:name="_Toc100911403"/>
      <w:bookmarkStart w:id="40" w:name="_Toc167262265"/>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（一）健全党政领导干部目标责任</w:t>
      </w:r>
      <w:bookmarkEnd w:id="37"/>
      <w:bookmarkEnd w:id="38"/>
      <w:bookmarkEnd w:id="39"/>
      <w:r>
        <w:rPr>
          <w:rFonts w:hint="eastAsia" w:ascii="楷体" w:hAnsi="楷体" w:eastAsia="楷体" w:cs="楷体"/>
          <w:b w:val="0"/>
          <w:bCs w:val="0"/>
          <w:color w:val="000000" w:themeColor="text1"/>
          <w:sz w:val="32"/>
          <w:szCs w:val="32"/>
        </w:rPr>
        <w:t>体系</w:t>
      </w:r>
      <w:bookmarkEnd w:id="40"/>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严格落实生态文明建设</w:t>
      </w:r>
      <w:r>
        <w:rPr>
          <w:rFonts w:hint="eastAsia"/>
          <w:sz w:val="32"/>
          <w:szCs w:val="32"/>
        </w:rPr>
        <w:t>“</w:t>
      </w:r>
      <w:r>
        <w:rPr>
          <w:sz w:val="32"/>
          <w:szCs w:val="32"/>
        </w:rPr>
        <w:t>党政同责、一岗双责</w:t>
      </w:r>
      <w:r>
        <w:rPr>
          <w:rFonts w:hint="eastAsia"/>
          <w:sz w:val="32"/>
          <w:szCs w:val="32"/>
        </w:rPr>
        <w:t>”</w:t>
      </w:r>
      <w:r>
        <w:rPr>
          <w:sz w:val="32"/>
          <w:szCs w:val="32"/>
        </w:rPr>
        <w:t>。健全体现生态文明建设引领的考核体系，考核结果作为领导班子和领导干部综合考核评价、奖惩任免的重要依据。持续开展领导干部自然资源资产离任审计，在区、街道主要领导干部离任时，及时对领导干部任职期间履行自然资源资产管理和生态环境保护责任情况进行审计。严格落实天津市生态环境损害责任追究制度，对违背科学发展要求、在生态环境和资源保护等方面造成严重破坏负有责任的相关党委、政府有关领导成员实施严格追责，终身追责。全面落实中央及市级生态环境保护督察制度，针对督察发现问题，严肃追责问责，做好督</w:t>
      </w:r>
      <w:r>
        <w:rPr>
          <w:rFonts w:hint="eastAsia"/>
          <w:sz w:val="32"/>
          <w:szCs w:val="32"/>
          <w:lang w:eastAsia="zh-CN"/>
        </w:rPr>
        <w:t>察</w:t>
      </w:r>
      <w:r>
        <w:rPr>
          <w:sz w:val="32"/>
          <w:szCs w:val="32"/>
        </w:rPr>
        <w:t>反馈意见整改，按计划完成整改任务。</w:t>
      </w:r>
      <w:bookmarkStart w:id="41" w:name="_Toc167262266"/>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（二）健全生态文明建设监管体系</w:t>
      </w:r>
      <w:bookmarkEnd w:id="41"/>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sz w:val="32"/>
          <w:szCs w:val="32"/>
          <w:lang w:val="en-US"/>
        </w:rPr>
      </w:pPr>
      <w:r>
        <w:rPr>
          <w:sz w:val="32"/>
          <w:szCs w:val="32"/>
        </w:rPr>
        <w:t>健全国土空间开发保护制度，统筹生产、生活、生态空间，持续优化生产力布局。强化生态环境分区管控成果应用</w:t>
      </w:r>
      <w:r>
        <w:rPr>
          <w:rFonts w:hint="eastAsia"/>
          <w:sz w:val="32"/>
          <w:szCs w:val="32"/>
          <w:lang w:eastAsia="zh-CN"/>
        </w:rPr>
        <w:t>，</w:t>
      </w:r>
      <w:r>
        <w:rPr>
          <w:sz w:val="32"/>
          <w:szCs w:val="32"/>
        </w:rPr>
        <w:t>加强与国土空间规划等相关规划的衔接</w:t>
      </w:r>
      <w:r>
        <w:rPr>
          <w:rFonts w:hint="eastAsia"/>
          <w:sz w:val="32"/>
          <w:szCs w:val="32"/>
          <w:lang w:eastAsia="zh-CN"/>
        </w:rPr>
        <w:t>，</w:t>
      </w:r>
      <w:r>
        <w:rPr>
          <w:sz w:val="32"/>
          <w:szCs w:val="32"/>
        </w:rPr>
        <w:t>将生态环境分区管控要求作为资源开发、产业布局、结构调整、城镇建设、重大项目选址等的重要依据，严格落实以区域环境质量改善和碳达峰目标为导向的产业准入及退出清单制度，对不符合产业政策、生态环境分区管控要求、污染物总量控制等相关要求的，依法不予审批。严格落实生态环境损害赔偿制度，立足中心城区区情，创新南开工作模式，将环境执法与损害赔偿有机结合，探索多样化赔偿方式。严格落实信息公开相关法律法规，政府主动公开生态环境信息和企业依法披露环境信息的比例始终保持在100%。</w:t>
      </w:r>
      <w:bookmarkStart w:id="42" w:name="_Toc167262267"/>
      <w:r>
        <w:rPr>
          <w:rFonts w:hint="default"/>
          <w:sz w:val="32"/>
          <w:szCs w:val="32"/>
          <w:lang w:val="en-US"/>
        </w:rPr>
        <w:t xml:space="preserve">          </w:t>
      </w:r>
    </w:p>
    <w:p>
      <w:pPr>
        <w:pStyle w:val="43"/>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（三）强化法治保障</w:t>
      </w:r>
      <w:bookmarkEnd w:id="42"/>
    </w:p>
    <w:p>
      <w:pPr>
        <w:pStyle w:val="43"/>
        <w:pageBreakBefore w:val="0"/>
        <w:widowControl w:val="0"/>
        <w:kinsoku/>
        <w:wordWrap/>
        <w:overflowPunct/>
        <w:topLinePunct w:val="0"/>
        <w:autoSpaceDE/>
        <w:autoSpaceDN/>
        <w:bidi w:val="0"/>
        <w:adjustRightInd w:val="0"/>
        <w:snapToGrid w:val="0"/>
        <w:spacing w:line="560" w:lineRule="exact"/>
        <w:ind w:firstLine="640"/>
        <w:jc w:val="both"/>
        <w:textAlignment w:val="auto"/>
        <w:rPr>
          <w:sz w:val="32"/>
          <w:szCs w:val="32"/>
        </w:rPr>
      </w:pPr>
      <w:r>
        <w:rPr>
          <w:sz w:val="32"/>
          <w:szCs w:val="32"/>
        </w:rPr>
        <w:t>加强生态环境部门与司法、公安、检察、审判机关的沟通协作，继续设立公安驻生态环境部门工作组联合查处侦办生态环境违法犯罪行为。完善生态环境、公安、检察、法院、司法等部门信息共享、案情通报、案件移送机制。鼓励检察机关提前介入案件侦办。强化环境执法监督管理，把严查严治贯穿生态文明建设的全过程，杜绝执法不严、惩处不到位。深入实施蓝天、碧水、净土保卫战等专项执法，聚焦扬尘污染、油烟异味、噪声扰民等群众急难愁盼问题，加大执法及专项整治力度。</w:t>
      </w:r>
      <w:bookmarkStart w:id="43" w:name="_Toc167262268"/>
    </w:p>
    <w:p>
      <w:pPr>
        <w:pStyle w:val="43"/>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（四）强化政策引领</w:t>
      </w:r>
      <w:bookmarkEnd w:id="43"/>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加强财政资源统筹，积极争取中央资金支持，加大地方资金筹措力度，支持生态文明建设相关技术研发推广、基础能力建设和重点工程实施。贯彻落实政府绿色采购政策，积极采购环保产品，节能、节水产品。优先安排相关资金用于区域绿色低碳发展。落实资源环境财税政策，不断扩大绿色税收规模。立足区情，适时建立生态保护补偿制度。大力发展绿色金融，聚焦天开园企业绿色低碳发展，推动驻区银行研发推广绿色金融产品和服务，鼓励设立绿色专营机构，持续深化绿色信贷等绿色金融产品和服务模式创新，助力培育新质生产力。聚焦南部</w:t>
      </w:r>
      <w:r>
        <w:rPr>
          <w:rFonts w:hint="eastAsia"/>
          <w:sz w:val="32"/>
          <w:szCs w:val="32"/>
        </w:rPr>
        <w:t>“</w:t>
      </w:r>
      <w:r>
        <w:rPr>
          <w:sz w:val="32"/>
          <w:szCs w:val="32"/>
        </w:rPr>
        <w:t>山</w:t>
      </w:r>
      <w:r>
        <w:rPr>
          <w:rFonts w:hint="eastAsia"/>
          <w:sz w:val="32"/>
          <w:szCs w:val="32"/>
        </w:rPr>
        <w:t>”“</w:t>
      </w:r>
      <w:r>
        <w:rPr>
          <w:sz w:val="32"/>
          <w:szCs w:val="32"/>
        </w:rPr>
        <w:t>水</w:t>
      </w:r>
      <w:r>
        <w:rPr>
          <w:rFonts w:hint="eastAsia"/>
          <w:sz w:val="32"/>
          <w:szCs w:val="32"/>
        </w:rPr>
        <w:t>”</w:t>
      </w:r>
      <w:r>
        <w:rPr>
          <w:sz w:val="32"/>
          <w:szCs w:val="32"/>
        </w:rPr>
        <w:t>优势，积极拓展绿色金融渠道，谋划EOD等生态工程项目。</w:t>
      </w:r>
      <w:bookmarkStart w:id="44" w:name="_Toc167262269"/>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（五）强化市场配置</w:t>
      </w:r>
      <w:bookmarkEnd w:id="44"/>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立足区位优势、资源优势，拓宽绿水青山转化为金山银山路径，聚焦历史文化街区、都市产业园区绿色发展，积极探索生态产品价值实现新路径、新模式、新机制，积极引导社会资本支持生态环境建设及探索</w:t>
      </w:r>
      <w:r>
        <w:rPr>
          <w:rFonts w:hint="eastAsia"/>
          <w:sz w:val="32"/>
          <w:szCs w:val="32"/>
        </w:rPr>
        <w:t>“</w:t>
      </w:r>
      <w:r>
        <w:rPr>
          <w:sz w:val="32"/>
          <w:szCs w:val="32"/>
        </w:rPr>
        <w:t>两山</w:t>
      </w:r>
      <w:r>
        <w:rPr>
          <w:rFonts w:hint="eastAsia"/>
          <w:sz w:val="32"/>
          <w:szCs w:val="32"/>
        </w:rPr>
        <w:t>”</w:t>
      </w:r>
      <w:r>
        <w:rPr>
          <w:sz w:val="32"/>
          <w:szCs w:val="32"/>
        </w:rPr>
        <w:t>转化路径。以鼓楼街为载体，探索一条文化传承与绿色发展相得益彰、生态改善与经济发展良性互动的高质量发展之路。</w:t>
      </w:r>
      <w:bookmarkStart w:id="45" w:name="_Toc167262270"/>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（六）强化科技支撑</w:t>
      </w:r>
      <w:bookmarkEnd w:id="45"/>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highlight w:val="yellow"/>
        </w:rPr>
      </w:pPr>
      <w:r>
        <w:rPr>
          <w:sz w:val="32"/>
          <w:szCs w:val="32"/>
        </w:rPr>
        <w:t>立足</w:t>
      </w:r>
      <w:r>
        <w:rPr>
          <w:rFonts w:hint="eastAsia"/>
          <w:sz w:val="32"/>
          <w:szCs w:val="32"/>
        </w:rPr>
        <w:t>“</w:t>
      </w:r>
      <w:r>
        <w:rPr>
          <w:sz w:val="32"/>
          <w:szCs w:val="32"/>
        </w:rPr>
        <w:t>创新南开</w:t>
      </w:r>
      <w:r>
        <w:rPr>
          <w:rFonts w:hint="eastAsia"/>
          <w:sz w:val="32"/>
          <w:szCs w:val="32"/>
        </w:rPr>
        <w:t>”</w:t>
      </w:r>
      <w:r>
        <w:rPr>
          <w:sz w:val="32"/>
          <w:szCs w:val="32"/>
        </w:rPr>
        <w:t>建设，做实</w:t>
      </w:r>
      <w:r>
        <w:rPr>
          <w:rFonts w:hint="eastAsia"/>
          <w:sz w:val="32"/>
          <w:szCs w:val="32"/>
        </w:rPr>
        <w:t>“</w:t>
      </w:r>
      <w:r>
        <w:rPr>
          <w:sz w:val="32"/>
          <w:szCs w:val="32"/>
        </w:rPr>
        <w:t>科教立区</w:t>
      </w:r>
      <w:r>
        <w:rPr>
          <w:rFonts w:hint="eastAsia"/>
          <w:sz w:val="32"/>
          <w:szCs w:val="32"/>
        </w:rPr>
        <w:t>”</w:t>
      </w:r>
      <w:r>
        <w:rPr>
          <w:sz w:val="32"/>
          <w:szCs w:val="32"/>
        </w:rPr>
        <w:t>文章，发挥天南大及科研院所驻区优势，以天开高教</w:t>
      </w:r>
      <w:r>
        <w:rPr>
          <w:rFonts w:hint="eastAsia"/>
          <w:sz w:val="32"/>
          <w:szCs w:val="32"/>
          <w:lang w:eastAsia="zh-CN"/>
        </w:rPr>
        <w:t>科创</w:t>
      </w:r>
      <w:r>
        <w:rPr>
          <w:sz w:val="32"/>
          <w:szCs w:val="32"/>
        </w:rPr>
        <w:t>园建设为契机，鼓励产教融合、校企合作、协同育人，研发、示范、推广一批节能减排降碳等绿色技术，转化一批绿色科技成果，培养一批绿色科技人才，培育一批绿色新质生产力，以绿色科技创新助力产业焕新、城市更新。利用大学科技园、</w:t>
      </w:r>
      <w:r>
        <w:rPr>
          <w:rFonts w:hint="eastAsia"/>
          <w:sz w:val="32"/>
          <w:szCs w:val="32"/>
        </w:rPr>
        <w:t>“</w:t>
      </w:r>
      <w:r>
        <w:rPr>
          <w:sz w:val="32"/>
          <w:szCs w:val="32"/>
        </w:rPr>
        <w:t>物质绿色制造与创造</w:t>
      </w:r>
      <w:r>
        <w:rPr>
          <w:rFonts w:hint="eastAsia"/>
          <w:sz w:val="32"/>
          <w:szCs w:val="32"/>
        </w:rPr>
        <w:t>”</w:t>
      </w:r>
      <w:r>
        <w:rPr>
          <w:sz w:val="32"/>
          <w:szCs w:val="32"/>
        </w:rPr>
        <w:t>海河实验室、新能源电池人才创新创业联盟等区内平台串联双碳领域校企资源，推动校企开展双碳技术联合攻关。积极推动海河实验室与中石化北化院、南开大学、天津大学科技园等单位或园区合作设立联合攻关项目，积极引导聚焦新能源新材料等前沿开展基础研究和创新攻关。推动数字技术赋能产业转型、城市管理、环境治理、科技创新。</w:t>
      </w:r>
    </w:p>
    <w:p>
      <w:pPr>
        <w:pStyle w:val="2"/>
        <w:pageBreakBefore w:val="0"/>
        <w:widowControl w:val="0"/>
        <w:kinsoku/>
        <w:wordWrap/>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sz w:val="32"/>
          <w:szCs w:val="32"/>
        </w:rPr>
      </w:pPr>
      <w:bookmarkStart w:id="46" w:name="_Toc167262271"/>
      <w:r>
        <w:rPr>
          <w:rFonts w:hint="eastAsia" w:ascii="黑体" w:hAnsi="黑体" w:eastAsia="黑体" w:cs="黑体"/>
          <w:b w:val="0"/>
          <w:bCs w:val="0"/>
          <w:sz w:val="32"/>
          <w:szCs w:val="32"/>
        </w:rPr>
        <w:t>八、重点工程</w:t>
      </w:r>
      <w:bookmarkEnd w:id="46"/>
    </w:p>
    <w:p>
      <w:pPr>
        <w:pStyle w:val="43"/>
        <w:pageBreakBefore w:val="0"/>
        <w:widowControl w:val="0"/>
        <w:kinsoku/>
        <w:wordWrap/>
        <w:topLinePunct w:val="0"/>
        <w:autoSpaceDE/>
        <w:autoSpaceDN/>
        <w:bidi w:val="0"/>
        <w:adjustRightInd w:val="0"/>
        <w:snapToGrid w:val="0"/>
        <w:spacing w:line="560" w:lineRule="exact"/>
        <w:ind w:firstLine="640"/>
        <w:jc w:val="both"/>
        <w:textAlignment w:val="auto"/>
        <w:rPr>
          <w:sz w:val="32"/>
          <w:szCs w:val="32"/>
        </w:rPr>
      </w:pPr>
      <w:r>
        <w:rPr>
          <w:sz w:val="32"/>
          <w:szCs w:val="32"/>
        </w:rPr>
        <w:t>根据生态文明建设示范区建设目标任务，立足南开实际，充分衔接今后一段时期</w:t>
      </w:r>
      <w:r>
        <w:rPr>
          <w:rFonts w:hint="eastAsia"/>
          <w:sz w:val="32"/>
          <w:szCs w:val="32"/>
          <w:lang w:eastAsia="zh-CN"/>
        </w:rPr>
        <w:t>“</w:t>
      </w:r>
      <w:r>
        <w:rPr>
          <w:sz w:val="32"/>
          <w:szCs w:val="32"/>
        </w:rPr>
        <w:t>美丽南开</w:t>
      </w:r>
      <w:r>
        <w:rPr>
          <w:rFonts w:hint="eastAsia"/>
          <w:sz w:val="32"/>
          <w:szCs w:val="32"/>
          <w:lang w:eastAsia="zh-CN"/>
        </w:rPr>
        <w:t>”</w:t>
      </w:r>
      <w:r>
        <w:rPr>
          <w:sz w:val="32"/>
          <w:szCs w:val="32"/>
        </w:rPr>
        <w:t>建设方向，共规划了8项生态文明建设重点工程，预计投资金额217.9亿元，资金主要来源于区级财政、银行贷款、社会资本等，并积极争取中央资金。</w:t>
      </w:r>
    </w:p>
    <w:p>
      <w:pPr>
        <w:pStyle w:val="43"/>
        <w:pageBreakBefore w:val="0"/>
        <w:widowControl w:val="0"/>
        <w:kinsoku/>
        <w:wordWrap/>
        <w:topLinePunct w:val="0"/>
        <w:autoSpaceDE/>
        <w:autoSpaceDN/>
        <w:bidi w:val="0"/>
        <w:spacing w:line="560" w:lineRule="exact"/>
        <w:ind w:firstLine="640"/>
        <w:jc w:val="both"/>
        <w:textAlignment w:val="auto"/>
        <w:rPr>
          <w:sz w:val="32"/>
          <w:szCs w:val="32"/>
        </w:rPr>
      </w:pPr>
      <w:r>
        <w:rPr>
          <w:sz w:val="32"/>
          <w:szCs w:val="32"/>
        </w:rPr>
        <w:t>其中，城市更新项目共2项，投资</w:t>
      </w:r>
      <w:r>
        <w:rPr>
          <w:rFonts w:hint="eastAsia"/>
          <w:sz w:val="32"/>
          <w:szCs w:val="32"/>
          <w:lang w:eastAsia="zh-CN"/>
        </w:rPr>
        <w:t>额</w:t>
      </w:r>
      <w:r>
        <w:rPr>
          <w:sz w:val="32"/>
          <w:szCs w:val="32"/>
        </w:rPr>
        <w:t>预计209.54亿元，占总投资96%，重点涉及老旧房屋老旧小区更新、存量楼宇改造、老旧工业转型升级、历史文化资源活化利用及补齐公服配套等，通过全方位的城市更新，以片带面，实现区域生态文明建设水平的整体提升。</w:t>
      </w:r>
      <w:r>
        <w:rPr>
          <w:rFonts w:hint="eastAsia"/>
          <w:sz w:val="32"/>
          <w:szCs w:val="32"/>
          <w:lang w:eastAsia="zh-CN"/>
        </w:rPr>
        <w:t>（</w:t>
      </w:r>
      <w:r>
        <w:rPr>
          <w:sz w:val="32"/>
          <w:szCs w:val="32"/>
        </w:rPr>
        <w:t>详见附表</w:t>
      </w:r>
      <w:r>
        <w:rPr>
          <w:rFonts w:hint="eastAsia"/>
          <w:sz w:val="32"/>
          <w:szCs w:val="32"/>
          <w:lang w:eastAsia="zh-CN"/>
        </w:rPr>
        <w:t>）</w:t>
      </w:r>
    </w:p>
    <w:p>
      <w:pPr>
        <w:pStyle w:val="2"/>
        <w:pageBreakBefore w:val="0"/>
        <w:widowControl w:val="0"/>
        <w:numPr>
          <w:ilvl w:val="0"/>
          <w:numId w:val="2"/>
        </w:numPr>
        <w:kinsoku/>
        <w:wordWrap/>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sz w:val="32"/>
          <w:szCs w:val="32"/>
        </w:rPr>
      </w:pPr>
      <w:bookmarkStart w:id="47" w:name="_Toc167262272"/>
      <w:r>
        <w:rPr>
          <w:rFonts w:hint="eastAsia" w:ascii="黑体" w:hAnsi="黑体" w:eastAsia="黑体" w:cs="黑体"/>
          <w:b w:val="0"/>
          <w:bCs w:val="0"/>
          <w:sz w:val="32"/>
          <w:szCs w:val="32"/>
        </w:rPr>
        <w:t>实施保障</w:t>
      </w:r>
      <w:bookmarkEnd w:id="47"/>
      <w:bookmarkStart w:id="48" w:name="_Toc167262273"/>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（一）强化组织领导</w:t>
      </w:r>
      <w:bookmarkEnd w:id="48"/>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eastAsia="仿宋_GB2312"/>
          <w:color w:val="000000" w:themeColor="text1"/>
          <w:szCs w:val="32"/>
        </w:rPr>
      </w:pPr>
      <w:r>
        <w:rPr>
          <w:rFonts w:eastAsia="仿宋_GB2312"/>
          <w:color w:val="000000" w:themeColor="text1"/>
          <w:szCs w:val="32"/>
        </w:rPr>
        <w:t>南开区生态环境保护委员会负责对生态文明建设示范区建设工作进行整体部署和系统推进，统筹实施生态文明建设示范区规划，</w:t>
      </w:r>
      <w:r>
        <w:rPr>
          <w:rFonts w:eastAsia="仿宋_GB2312"/>
          <w:szCs w:val="32"/>
        </w:rPr>
        <w:t>协调解决重点问题</w:t>
      </w:r>
      <w:r>
        <w:rPr>
          <w:rFonts w:eastAsia="仿宋_GB2312"/>
          <w:color w:val="000000" w:themeColor="text1"/>
          <w:szCs w:val="32"/>
        </w:rPr>
        <w:t>。生态环境保护委员会办公室做好组织协调、任务分解、监督评估等工作。各部门、街道</w:t>
      </w:r>
      <w:r>
        <w:rPr>
          <w:rFonts w:eastAsia="仿宋_GB2312"/>
          <w:szCs w:val="32"/>
        </w:rPr>
        <w:t>形成工作合力，</w:t>
      </w:r>
      <w:r>
        <w:rPr>
          <w:rFonts w:eastAsia="仿宋_GB2312"/>
          <w:color w:val="000000" w:themeColor="text1"/>
          <w:szCs w:val="32"/>
        </w:rPr>
        <w:t>落实各项具体工作任务、建设指标，形成生态文明建设示范区建设的良性推进机制。</w:t>
      </w:r>
      <w:bookmarkStart w:id="49" w:name="_Toc167262274"/>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hint="eastAsia" w:ascii="楷体" w:hAnsi="楷体" w:eastAsia="楷体" w:cs="楷体"/>
          <w:b w:val="0"/>
          <w:bCs w:val="0"/>
          <w:color w:val="000000" w:themeColor="text1"/>
        </w:rPr>
      </w:pPr>
      <w:r>
        <w:rPr>
          <w:rFonts w:hint="eastAsia" w:ascii="楷体" w:hAnsi="楷体" w:eastAsia="楷体" w:cs="楷体"/>
          <w:b w:val="0"/>
          <w:bCs w:val="0"/>
          <w:color w:val="000000" w:themeColor="text1"/>
        </w:rPr>
        <w:t>（二）强化任务落实</w:t>
      </w:r>
      <w:bookmarkEnd w:id="49"/>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eastAsia="仿宋_GB2312"/>
          <w:color w:val="000000" w:themeColor="text1"/>
          <w:szCs w:val="32"/>
        </w:rPr>
      </w:pPr>
      <w:r>
        <w:rPr>
          <w:rFonts w:eastAsia="仿宋_GB2312"/>
          <w:color w:val="000000" w:themeColor="text1"/>
          <w:szCs w:val="32"/>
        </w:rPr>
        <w:t>围绕生态文明建设规划目标任务、工程项目，编制生态文明建设目标清单、责任清单、任务清单，并分年度制定工作计划，将规划确定的目标指标、重点任务等分解落实到各相关部门、各街道，确保生态文明建设目标任务落地。</w:t>
      </w:r>
      <w:bookmarkStart w:id="50" w:name="_Toc167262275"/>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（三）强化监督评估</w:t>
      </w:r>
      <w:bookmarkEnd w:id="50"/>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eastAsia="仿宋_GB2312"/>
          <w:color w:val="000000" w:themeColor="text1"/>
          <w:szCs w:val="32"/>
        </w:rPr>
      </w:pPr>
      <w:r>
        <w:rPr>
          <w:rFonts w:eastAsia="仿宋_GB2312"/>
          <w:color w:val="000000" w:themeColor="text1"/>
          <w:szCs w:val="32"/>
        </w:rPr>
        <w:t>每年3月中旬前各部门根据职责自评上一年度规划重点任务、重点工程及建设指标完成情况，编制建设指标</w:t>
      </w:r>
      <w:r>
        <w:rPr>
          <w:rFonts w:hint="eastAsia" w:eastAsia="仿宋_GB2312"/>
          <w:color w:val="000000" w:themeColor="text1"/>
          <w:szCs w:val="32"/>
        </w:rPr>
        <w:t>“</w:t>
      </w:r>
      <w:r>
        <w:rPr>
          <w:rFonts w:eastAsia="仿宋_GB2312"/>
          <w:color w:val="000000" w:themeColor="text1"/>
          <w:szCs w:val="32"/>
        </w:rPr>
        <w:t>一标一档</w:t>
      </w:r>
      <w:r>
        <w:rPr>
          <w:rFonts w:hint="eastAsia" w:eastAsia="仿宋_GB2312"/>
          <w:color w:val="000000" w:themeColor="text1"/>
          <w:szCs w:val="32"/>
        </w:rPr>
        <w:t>”</w:t>
      </w:r>
      <w:r>
        <w:rPr>
          <w:rFonts w:eastAsia="仿宋_GB2312"/>
          <w:color w:val="000000" w:themeColor="text1"/>
          <w:szCs w:val="32"/>
        </w:rPr>
        <w:t>，并报送至生态环保委办公室。生态环境保护委员会负责生态文明建设示范区建设年度评估工作，根据评估结果对生态文明建设成绩突出的及出现指标未完成等问题的，视情况给予通报表扬或批评。</w:t>
      </w:r>
      <w:bookmarkStart w:id="51" w:name="_Toc167262276"/>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（四）强化资金保障</w:t>
      </w:r>
      <w:bookmarkEnd w:id="51"/>
    </w:p>
    <w:p>
      <w:pPr>
        <w:pStyle w:val="46"/>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pPr>
      <w:r>
        <w:rPr>
          <w:rFonts w:eastAsia="仿宋_GB2312"/>
          <w:color w:val="000000" w:themeColor="text1"/>
          <w:szCs w:val="32"/>
        </w:rPr>
        <w:t>加大财政投入力度，鼓励社会资金投入，完善政府引导、市场运作、社会参与的多元投入机制。鼓励和支持社会资金、企业资金投入生态文明建设领域。积极争取中央和天津市财政转移支付资金和项目支持，强化绿色金融支持。</w:t>
      </w:r>
      <w:r>
        <w:rPr>
          <w:rFonts w:hint="eastAsia" w:eastAsia="仿宋_GB2312"/>
          <w:color w:val="000000" w:themeColor="text1"/>
          <w:szCs w:val="32"/>
        </w:rPr>
        <w:t>将生态文明建设示范区申请验收资金纳入财政预算，全力做好2025年申请示范区验收的资金保障。</w:t>
      </w:r>
    </w:p>
    <w:p>
      <w:pPr>
        <w:ind w:firstLine="880"/>
        <w:sectPr>
          <w:pgSz w:w="11906" w:h="16838"/>
          <w:pgMar w:top="2098" w:right="1474" w:bottom="1984" w:left="1587" w:header="850" w:footer="1417" w:gutter="0"/>
          <w:pgNumType w:fmt="decimal"/>
          <w:cols w:space="708" w:num="1"/>
          <w:docGrid w:linePitch="360" w:charSpace="0"/>
        </w:sectPr>
      </w:pPr>
    </w:p>
    <w:p>
      <w:pPr>
        <w:pStyle w:val="2"/>
        <w:spacing w:before="0" w:after="0" w:line="360" w:lineRule="auto"/>
        <w:ind w:firstLine="643" w:firstLineChars="200"/>
        <w:jc w:val="center"/>
        <w:rPr>
          <w:rFonts w:ascii="Times New Roman" w:hAnsi="Times New Roman" w:eastAsia="仿宋_GB2312" w:cs="Times New Roman"/>
          <w:sz w:val="32"/>
          <w:szCs w:val="32"/>
        </w:rPr>
      </w:pPr>
      <w:bookmarkStart w:id="52" w:name="_Toc167262277"/>
      <w:r>
        <w:rPr>
          <w:rFonts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rPr>
        <w:t>南开区生态文明建设重大工程项目表</w:t>
      </w:r>
      <w:bookmarkEnd w:id="52"/>
    </w:p>
    <w:tbl>
      <w:tblPr>
        <w:tblStyle w:val="27"/>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62"/>
        <w:gridCol w:w="3829"/>
        <w:gridCol w:w="1112"/>
        <w:gridCol w:w="882"/>
        <w:gridCol w:w="806"/>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blHeader/>
          <w:jc w:val="center"/>
        </w:trPr>
        <w:tc>
          <w:tcPr>
            <w:tcW w:w="255"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序号</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项目名称</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项目内容</w:t>
            </w:r>
          </w:p>
        </w:tc>
        <w:tc>
          <w:tcPr>
            <w:tcW w:w="620"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实施年限</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投资概算</w:t>
            </w:r>
          </w:p>
          <w:p>
            <w:pPr>
              <w:pStyle w:val="56"/>
              <w:adjustRightInd w:val="0"/>
              <w:rPr>
                <w:rFonts w:eastAsia="仿宋_GB2312"/>
                <w:b/>
                <w:kern w:val="2"/>
                <w:szCs w:val="28"/>
              </w:rPr>
            </w:pPr>
            <w:r>
              <w:rPr>
                <w:rFonts w:eastAsia="仿宋_GB2312"/>
                <w:b/>
                <w:kern w:val="2"/>
                <w:szCs w:val="28"/>
              </w:rPr>
              <w:t>（万元）</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资金来源</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b/>
                <w:kern w:val="2"/>
                <w:szCs w:val="28"/>
              </w:rPr>
            </w:pPr>
            <w:r>
              <w:rPr>
                <w:rFonts w:eastAsia="仿宋_GB2312"/>
                <w:b/>
                <w:kern w:val="2"/>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tblHeader/>
          <w:jc w:val="center"/>
        </w:trPr>
        <w:tc>
          <w:tcPr>
            <w:tcW w:w="255" w:type="pct"/>
            <w:tcBorders>
              <w:top w:val="single" w:color="auto" w:sz="4" w:space="0"/>
              <w:left w:val="single" w:color="auto" w:sz="4" w:space="0"/>
              <w:right w:val="single" w:color="auto" w:sz="4" w:space="0"/>
            </w:tcBorders>
            <w:vAlign w:val="center"/>
          </w:tcPr>
          <w:p>
            <w:pPr>
              <w:pStyle w:val="56"/>
              <w:adjustRightInd w:val="0"/>
              <w:rPr>
                <w:rFonts w:eastAsia="仿宋_GB2312"/>
                <w:kern w:val="2"/>
                <w:sz w:val="24"/>
                <w:szCs w:val="24"/>
              </w:rPr>
            </w:pPr>
            <w:r>
              <w:rPr>
                <w:rFonts w:eastAsia="仿宋_GB2312"/>
                <w:kern w:val="2"/>
                <w:sz w:val="24"/>
                <w:szCs w:val="24"/>
              </w:rPr>
              <w:t>1</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sz w:val="24"/>
                <w:szCs w:val="24"/>
              </w:rPr>
              <w:t>西营门片区城市更新项目</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sz w:val="24"/>
                <w:szCs w:val="24"/>
              </w:rPr>
              <w:t>涉及民生改善、产业转型升级、公共配套补足、海绵城市及基础设施完善等，规划总人口5.4万人，总建筑面积约189.6万平方米。</w:t>
            </w:r>
            <w:r>
              <w:rPr>
                <w:rFonts w:hint="eastAsia"/>
                <w:sz w:val="24"/>
                <w:szCs w:val="24"/>
              </w:rPr>
              <w:t>采用“以心焕新+”理念，形成“基础强、交通畅、环境美、服务全、技术优、文化亮”六大城市更新亮点</w:t>
            </w:r>
            <w:r>
              <w:rPr>
                <w:rFonts w:eastAsia="仿宋_GB2312"/>
                <w:sz w:val="24"/>
                <w:szCs w:val="24"/>
              </w:rPr>
              <w:t>，着力打造基础设施完备、停车功能完善、优美环境营造、公服配套齐全、智慧城市建设、文明城区创建的新社区。</w:t>
            </w:r>
          </w:p>
        </w:tc>
        <w:tc>
          <w:tcPr>
            <w:tcW w:w="620"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zh-CN"/>
              </w:rPr>
              <w:t>2023-2025年</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sz w:val="24"/>
                <w:szCs w:val="24"/>
              </w:rPr>
              <w:t>1177047</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sz w:val="24"/>
                <w:szCs w:val="24"/>
              </w:rPr>
              <w:t>资本金、银行贷款</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hint="eastAsia" w:eastAsia="仿宋_GB2312"/>
                <w:sz w:val="24"/>
                <w:szCs w:val="24"/>
                <w:lang w:eastAsia="zh-CN"/>
              </w:rPr>
            </w:pPr>
            <w:r>
              <w:rPr>
                <w:rFonts w:eastAsia="仿宋_GB2312"/>
                <w:kern w:val="2"/>
                <w:sz w:val="24"/>
                <w:szCs w:val="24"/>
              </w:rPr>
              <w:t>区</w:t>
            </w:r>
            <w:r>
              <w:rPr>
                <w:rFonts w:hint="eastAsia" w:eastAsia="仿宋_GB2312"/>
                <w:kern w:val="2"/>
                <w:sz w:val="24"/>
                <w:szCs w:val="24"/>
                <w:lang w:eastAsia="zh-CN"/>
              </w:rPr>
              <w:t>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0" w:hRule="atLeast"/>
          <w:tblHeader/>
          <w:jc w:val="center"/>
        </w:trPr>
        <w:tc>
          <w:tcPr>
            <w:tcW w:w="255" w:type="pct"/>
            <w:tcBorders>
              <w:top w:val="single" w:color="auto" w:sz="4" w:space="0"/>
              <w:left w:val="single" w:color="auto" w:sz="4" w:space="0"/>
              <w:right w:val="single" w:color="auto" w:sz="4" w:space="0"/>
            </w:tcBorders>
            <w:vAlign w:val="center"/>
          </w:tcPr>
          <w:p>
            <w:pPr>
              <w:pStyle w:val="56"/>
              <w:adjustRightInd w:val="0"/>
              <w:rPr>
                <w:rFonts w:eastAsia="仿宋_GB2312"/>
                <w:kern w:val="2"/>
                <w:sz w:val="24"/>
                <w:szCs w:val="24"/>
              </w:rPr>
            </w:pPr>
            <w:r>
              <w:rPr>
                <w:rFonts w:eastAsia="仿宋_GB2312"/>
                <w:kern w:val="2"/>
                <w:sz w:val="24"/>
                <w:szCs w:val="24"/>
              </w:rPr>
              <w:t>2</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sz w:val="24"/>
                <w:szCs w:val="24"/>
              </w:rPr>
              <w:t>天拖片区城市更新项目</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jc w:val="both"/>
              <w:rPr>
                <w:rFonts w:eastAsia="仿宋_GB2312"/>
                <w:sz w:val="24"/>
                <w:szCs w:val="24"/>
              </w:rPr>
            </w:pPr>
            <w:r>
              <w:rPr>
                <w:rFonts w:eastAsia="仿宋_GB2312"/>
                <w:sz w:val="24"/>
                <w:szCs w:val="24"/>
              </w:rPr>
              <w:t>民生改善和产业导入双向切入，围绕宜居城市提升、生态建设提升、安全韧性提升、城市品质提升、城市功能提升五大更新板块，开展完整社区提升、老旧房屋改造、公共服务补短板、蓝绿空间提升、建筑领域双碳、交通出行改善、基础设施提升、市容环境提升、传统商圈复兴、科创学圈培育等更新行动，建成人居环境与产业升级双轮驱动，以民生改善为根本、以产业导入为抓手、以配套完善为基础 、打造生活便利，生态宜居，服务完善，产业繁荣的创新创业融合发展区。</w:t>
            </w:r>
          </w:p>
        </w:tc>
        <w:tc>
          <w:tcPr>
            <w:tcW w:w="620"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bCs/>
                <w:color w:val="000000"/>
                <w:sz w:val="24"/>
                <w:szCs w:val="24"/>
                <w:lang w:val="zh-CN"/>
              </w:rPr>
            </w:pPr>
            <w:r>
              <w:rPr>
                <w:rFonts w:ascii="Times New Roman" w:hAnsi="Times New Roman" w:eastAsia="仿宋_GB2312" w:cs="Times New Roman"/>
                <w:bCs/>
                <w:color w:val="000000"/>
                <w:sz w:val="24"/>
                <w:szCs w:val="24"/>
                <w:lang w:val="zh-CN"/>
              </w:rPr>
              <w:t>2023-2027年</w:t>
            </w:r>
          </w:p>
          <w:p>
            <w:pPr>
              <w:spacing w:after="0"/>
              <w:jc w:val="center"/>
              <w:rPr>
                <w:rFonts w:ascii="Times New Roman" w:hAnsi="Times New Roman" w:eastAsia="仿宋_GB2312" w:cs="Times New Roman"/>
                <w:bCs/>
                <w:color w:val="000000"/>
                <w:sz w:val="24"/>
                <w:szCs w:val="24"/>
                <w:lang w:val="zh-CN"/>
              </w:rPr>
            </w:pP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sz w:val="24"/>
                <w:szCs w:val="24"/>
              </w:rPr>
              <w:t>918400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sz w:val="24"/>
                <w:szCs w:val="24"/>
              </w:rPr>
              <w:t>资本金、银行贷款</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hint="eastAsia" w:eastAsia="仿宋_GB2312"/>
                <w:kern w:val="2"/>
                <w:sz w:val="24"/>
                <w:szCs w:val="24"/>
                <w:lang w:eastAsia="zh-CN"/>
              </w:rPr>
            </w:pPr>
            <w:r>
              <w:rPr>
                <w:rFonts w:eastAsia="仿宋_GB2312"/>
                <w:kern w:val="2"/>
                <w:sz w:val="24"/>
                <w:szCs w:val="24"/>
              </w:rPr>
              <w:t>区</w:t>
            </w:r>
            <w:r>
              <w:rPr>
                <w:rFonts w:hint="eastAsia" w:eastAsia="仿宋_GB2312"/>
                <w:kern w:val="2"/>
                <w:sz w:val="24"/>
                <w:szCs w:val="24"/>
                <w:lang w:eastAsia="zh-CN"/>
              </w:rPr>
              <w:t>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blHeader/>
          <w:jc w:val="center"/>
        </w:trPr>
        <w:tc>
          <w:tcPr>
            <w:tcW w:w="255" w:type="pct"/>
            <w:tcBorders>
              <w:top w:val="single" w:color="auto" w:sz="4" w:space="0"/>
              <w:left w:val="single" w:color="auto" w:sz="4" w:space="0"/>
              <w:right w:val="single" w:color="auto" w:sz="4" w:space="0"/>
            </w:tcBorders>
            <w:vAlign w:val="center"/>
          </w:tcPr>
          <w:p>
            <w:pPr>
              <w:pStyle w:val="56"/>
              <w:adjustRightInd w:val="0"/>
              <w:rPr>
                <w:rFonts w:eastAsia="仿宋_GB2312"/>
                <w:kern w:val="2"/>
                <w:sz w:val="24"/>
                <w:szCs w:val="24"/>
              </w:rPr>
            </w:pPr>
            <w:r>
              <w:rPr>
                <w:rFonts w:eastAsia="仿宋_GB2312"/>
                <w:kern w:val="2"/>
                <w:sz w:val="24"/>
                <w:szCs w:val="24"/>
              </w:rPr>
              <w:t>3</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天津市南开区低碳智慧供热节能改造一期工程</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供热系统优化改造、热网智能监控平台建设、室温采集远传系统建设、配套老旧小区热力管网改造及部分锅炉燃烧器低氮改造五部分。</w:t>
            </w:r>
          </w:p>
        </w:tc>
        <w:tc>
          <w:tcPr>
            <w:tcW w:w="620"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bCs/>
                <w:color w:val="000000"/>
                <w:sz w:val="24"/>
                <w:szCs w:val="24"/>
                <w:lang w:val="zh-CN"/>
              </w:rPr>
            </w:pPr>
            <w:r>
              <w:rPr>
                <w:rFonts w:ascii="Times New Roman" w:hAnsi="Times New Roman" w:eastAsia="仿宋_GB2312" w:cs="Times New Roman"/>
                <w:bCs/>
                <w:color w:val="000000"/>
                <w:kern w:val="2"/>
                <w:sz w:val="24"/>
                <w:szCs w:val="24"/>
                <w:lang w:val="zh-CN"/>
              </w:rPr>
              <w:t>2023-2025年</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kern w:val="2"/>
                <w:sz w:val="24"/>
                <w:szCs w:val="24"/>
              </w:rPr>
              <w:t>12657</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政府专项债</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highlight w:val="yellow"/>
              </w:rPr>
            </w:pPr>
            <w:r>
              <w:rPr>
                <w:rFonts w:eastAsia="仿宋_GB2312"/>
                <w:kern w:val="2"/>
                <w:sz w:val="24"/>
                <w:szCs w:val="24"/>
              </w:rPr>
              <w:t>区城管委牵头，天津市宏源热力工程有限责任公司具体实施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blHeader/>
          <w:jc w:val="center"/>
        </w:trPr>
        <w:tc>
          <w:tcPr>
            <w:tcW w:w="255" w:type="pct"/>
            <w:tcBorders>
              <w:left w:val="single" w:color="auto" w:sz="4" w:space="0"/>
              <w:bottom w:val="single" w:color="auto" w:sz="4" w:space="0"/>
              <w:right w:val="single" w:color="auto" w:sz="4" w:space="0"/>
            </w:tcBorders>
            <w:vAlign w:val="center"/>
          </w:tcPr>
          <w:p>
            <w:pPr>
              <w:pStyle w:val="56"/>
              <w:adjustRightInd w:val="0"/>
              <w:rPr>
                <w:rFonts w:eastAsia="仿宋_GB2312"/>
                <w:bCs w:val="0"/>
                <w:kern w:val="2"/>
                <w:sz w:val="24"/>
                <w:szCs w:val="24"/>
              </w:rPr>
            </w:pPr>
            <w:r>
              <w:rPr>
                <w:rFonts w:eastAsia="仿宋_GB2312"/>
                <w:bCs w:val="0"/>
                <w:kern w:val="2"/>
                <w:sz w:val="24"/>
                <w:szCs w:val="24"/>
              </w:rPr>
              <w:t>4</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highlight w:val="red"/>
              </w:rPr>
            </w:pPr>
            <w:r>
              <w:rPr>
                <w:rFonts w:eastAsia="仿宋_GB2312"/>
                <w:kern w:val="2"/>
                <w:sz w:val="24"/>
                <w:szCs w:val="24"/>
              </w:rPr>
              <w:t>天津市津房热能有限公司（西湖村供热站）热泵余热回收项目</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highlight w:val="yellow"/>
              </w:rPr>
            </w:pPr>
            <w:r>
              <w:rPr>
                <w:rFonts w:eastAsia="仿宋_GB2312"/>
                <w:kern w:val="2"/>
                <w:sz w:val="24"/>
                <w:szCs w:val="24"/>
              </w:rPr>
              <w:t>通过工艺改造，使得原燃气热水锅炉可产生高温热水，驱动热泵机组的运行，吸收烟气中的余热，使得排烟温度降低至30°C以下，节省天然气的同时降低区域污染排放。</w:t>
            </w:r>
          </w:p>
        </w:tc>
        <w:tc>
          <w:tcPr>
            <w:tcW w:w="620"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sz w:val="24"/>
                <w:szCs w:val="24"/>
                <w:lang w:val="zh-CN"/>
              </w:rPr>
            </w:pPr>
            <w:r>
              <w:rPr>
                <w:rFonts w:ascii="Times New Roman" w:hAnsi="Times New Roman" w:eastAsia="仿宋_GB2312" w:cs="Times New Roman"/>
                <w:bCs/>
                <w:color w:val="000000"/>
                <w:sz w:val="24"/>
                <w:szCs w:val="24"/>
                <w:lang w:val="zh-CN"/>
              </w:rPr>
              <w:t>202</w:t>
            </w:r>
            <w:r>
              <w:rPr>
                <w:rFonts w:ascii="Times New Roman" w:hAnsi="Times New Roman" w:eastAsia="仿宋_GB2312" w:cs="Times New Roman"/>
                <w:bCs/>
                <w:color w:val="000000"/>
                <w:sz w:val="24"/>
                <w:szCs w:val="24"/>
              </w:rPr>
              <w:t>4</w:t>
            </w:r>
            <w:r>
              <w:rPr>
                <w:rFonts w:ascii="Times New Roman" w:hAnsi="Times New Roman" w:eastAsia="仿宋_GB2312" w:cs="Times New Roman"/>
                <w:bCs/>
                <w:color w:val="000000"/>
                <w:sz w:val="24"/>
                <w:szCs w:val="24"/>
                <w:lang w:val="zh-CN"/>
              </w:rPr>
              <w:t>-2025年</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kern w:val="2"/>
                <w:sz w:val="24"/>
                <w:szCs w:val="24"/>
              </w:rPr>
              <w:t>2000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企业自筹</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bCs w:val="0"/>
                <w:sz w:val="24"/>
                <w:szCs w:val="24"/>
              </w:rPr>
              <w:t>天津市津房热能有限公司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blHeader/>
          <w:jc w:val="center"/>
        </w:trPr>
        <w:tc>
          <w:tcPr>
            <w:tcW w:w="255" w:type="pct"/>
            <w:tcBorders>
              <w:left w:val="single" w:color="auto" w:sz="4" w:space="0"/>
              <w:bottom w:val="single" w:color="auto" w:sz="4" w:space="0"/>
              <w:right w:val="single" w:color="auto" w:sz="4" w:space="0"/>
            </w:tcBorders>
            <w:vAlign w:val="center"/>
          </w:tcPr>
          <w:p>
            <w:pPr>
              <w:pStyle w:val="56"/>
              <w:adjustRightInd w:val="0"/>
              <w:rPr>
                <w:rFonts w:eastAsia="仿宋_GB2312"/>
                <w:bCs w:val="0"/>
                <w:kern w:val="2"/>
                <w:sz w:val="24"/>
                <w:szCs w:val="24"/>
              </w:rPr>
            </w:pPr>
            <w:r>
              <w:rPr>
                <w:rFonts w:eastAsia="仿宋_GB2312"/>
                <w:bCs w:val="0"/>
                <w:kern w:val="2"/>
                <w:sz w:val="24"/>
                <w:szCs w:val="24"/>
              </w:rPr>
              <w:t>5</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bCs w:val="0"/>
                <w:kern w:val="2"/>
                <w:sz w:val="24"/>
                <w:szCs w:val="24"/>
              </w:rPr>
              <w:t>南开区河道综合生态修复工程</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bCs w:val="0"/>
                <w:kern w:val="2"/>
                <w:sz w:val="24"/>
                <w:szCs w:val="24"/>
              </w:rPr>
              <w:t>津河旁路生态湿地系统、卫津河盲肠段活水循环系统、河道本体自净系统工程、入河面源污染截留系统、区域水环境及生态多样性智慧监控系统</w:t>
            </w:r>
          </w:p>
        </w:tc>
        <w:tc>
          <w:tcPr>
            <w:tcW w:w="620" w:type="pc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cs="Times New Roman"/>
                <w:kern w:val="2"/>
                <w:sz w:val="24"/>
                <w:szCs w:val="24"/>
              </w:rPr>
            </w:pPr>
            <w:r>
              <w:rPr>
                <w:rFonts w:ascii="Times New Roman" w:hAnsi="Times New Roman" w:eastAsia="仿宋_GB2312" w:cs="Times New Roman"/>
                <w:color w:val="000000"/>
                <w:kern w:val="2"/>
                <w:sz w:val="24"/>
                <w:szCs w:val="24"/>
                <w:lang w:val="zh-CN"/>
              </w:rPr>
              <w:t>中央资金落实后启动实施</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kern w:val="2"/>
                <w:sz w:val="24"/>
                <w:szCs w:val="24"/>
              </w:rPr>
            </w:pPr>
            <w:r>
              <w:rPr>
                <w:rFonts w:eastAsia="仿宋_GB2312"/>
                <w:bCs w:val="0"/>
                <w:kern w:val="2"/>
                <w:sz w:val="24"/>
                <w:szCs w:val="24"/>
                <w:lang w:val="en-US"/>
              </w:rPr>
              <w:t>14000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bCs w:val="0"/>
                <w:kern w:val="2"/>
                <w:sz w:val="24"/>
                <w:szCs w:val="24"/>
              </w:rPr>
              <w:t>中央环保专项资金、区配套资金</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bCs w:val="0"/>
                <w:kern w:val="2"/>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blHeader/>
          <w:jc w:val="center"/>
        </w:trPr>
        <w:tc>
          <w:tcPr>
            <w:tcW w:w="255" w:type="pct"/>
            <w:tcBorders>
              <w:left w:val="single" w:color="auto" w:sz="4" w:space="0"/>
              <w:bottom w:val="single" w:color="auto" w:sz="4" w:space="0"/>
              <w:right w:val="single" w:color="auto" w:sz="4" w:space="0"/>
            </w:tcBorders>
            <w:vAlign w:val="center"/>
          </w:tcPr>
          <w:p>
            <w:pPr>
              <w:pStyle w:val="56"/>
              <w:adjustRightInd w:val="0"/>
              <w:rPr>
                <w:rFonts w:eastAsia="仿宋_GB2312"/>
                <w:bCs w:val="0"/>
                <w:kern w:val="2"/>
                <w:sz w:val="24"/>
                <w:szCs w:val="24"/>
              </w:rPr>
            </w:pPr>
            <w:r>
              <w:rPr>
                <w:rFonts w:eastAsia="仿宋_GB2312"/>
                <w:bCs w:val="0"/>
                <w:kern w:val="2"/>
                <w:sz w:val="24"/>
                <w:szCs w:val="24"/>
              </w:rPr>
              <w:t>6</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kern w:val="2"/>
                <w:sz w:val="24"/>
                <w:szCs w:val="24"/>
              </w:rPr>
              <w:t>南开区排水排涝能力提升工程</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bCs w:val="0"/>
                <w:kern w:val="2"/>
                <w:sz w:val="24"/>
                <w:szCs w:val="24"/>
              </w:rPr>
            </w:pPr>
            <w:r>
              <w:rPr>
                <w:rFonts w:eastAsia="仿宋_GB2312"/>
                <w:kern w:val="2"/>
                <w:sz w:val="24"/>
                <w:szCs w:val="24"/>
              </w:rPr>
              <w:t>排水混接点改造 429 处，积水点改造 892处，新建地道涵洞防汛监测及应急调度平台，仁爱河清淤、循环泵站河底水管设施维修。</w:t>
            </w:r>
          </w:p>
        </w:tc>
        <w:tc>
          <w:tcPr>
            <w:tcW w:w="620"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kern w:val="2"/>
                <w:sz w:val="24"/>
                <w:szCs w:val="24"/>
              </w:rPr>
            </w:pPr>
            <w:r>
              <w:rPr>
                <w:rFonts w:eastAsia="仿宋_GB2312"/>
                <w:sz w:val="24"/>
                <w:szCs w:val="24"/>
                <w:lang w:val="en-US"/>
              </w:rPr>
              <w:t>2024年起</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kern w:val="2"/>
                <w:sz w:val="24"/>
                <w:szCs w:val="24"/>
              </w:rPr>
            </w:pPr>
            <w:r>
              <w:rPr>
                <w:rFonts w:eastAsia="仿宋_GB2312"/>
                <w:kern w:val="2"/>
                <w:sz w:val="24"/>
                <w:szCs w:val="24"/>
              </w:rPr>
              <w:t>34966</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kern w:val="2"/>
                <w:sz w:val="24"/>
                <w:szCs w:val="24"/>
              </w:rPr>
              <w:t>区财政资金</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kern w:val="2"/>
                <w:sz w:val="24"/>
                <w:szCs w:val="24"/>
              </w:rPr>
              <w:t>区住房和市政工程建设服务中心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0" w:hRule="atLeast"/>
          <w:tblHeader/>
          <w:jc w:val="center"/>
        </w:trPr>
        <w:tc>
          <w:tcPr>
            <w:tcW w:w="255" w:type="pct"/>
            <w:tcBorders>
              <w:left w:val="single" w:color="auto" w:sz="4" w:space="0"/>
              <w:bottom w:val="single" w:color="auto" w:sz="4" w:space="0"/>
              <w:right w:val="single" w:color="auto" w:sz="4" w:space="0"/>
            </w:tcBorders>
            <w:vAlign w:val="center"/>
          </w:tcPr>
          <w:p>
            <w:pPr>
              <w:pStyle w:val="56"/>
              <w:adjustRightInd w:val="0"/>
              <w:rPr>
                <w:rFonts w:eastAsia="仿宋_GB2312"/>
                <w:kern w:val="2"/>
                <w:sz w:val="24"/>
                <w:szCs w:val="24"/>
              </w:rPr>
            </w:pPr>
            <w:r>
              <w:rPr>
                <w:rFonts w:eastAsia="仿宋_GB2312"/>
                <w:kern w:val="2"/>
                <w:sz w:val="24"/>
                <w:szCs w:val="24"/>
              </w:rPr>
              <w:t>7</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sz w:val="24"/>
                <w:szCs w:val="24"/>
              </w:rPr>
              <w:t>碳普惠废旧物资智能化回收项目</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sz w:val="24"/>
                <w:szCs w:val="24"/>
              </w:rPr>
              <w:t>以社区、商业区、厂区、景区等场所为主要场景，合理布局标准化、规范化的废旧物资智能回收箱，形成多领域、广覆盖的废旧物资回收基础网络，便利生活源废旧物资源头交投。智能回收箱具备智能化回收、监测称重和碳币奖励功能，居民投放废旧物资可获得碳币作为奖励，碳币既可以在配置投放的智能饮用水兑换机、洗衣液兑换机进行兑换，与已达成协议周边社区商圈内商户消费使用，激励居民参与交投的主动性和积极性。此外，项目可应用</w:t>
            </w:r>
            <w:r>
              <w:rPr>
                <w:rFonts w:hint="eastAsia" w:eastAsia="仿宋_GB2312"/>
                <w:sz w:val="24"/>
                <w:szCs w:val="24"/>
              </w:rPr>
              <w:t>“</w:t>
            </w:r>
            <w:r>
              <w:rPr>
                <w:rFonts w:eastAsia="仿宋_GB2312"/>
                <w:sz w:val="24"/>
                <w:szCs w:val="24"/>
              </w:rPr>
              <w:t>互联网+回收</w:t>
            </w:r>
            <w:r>
              <w:rPr>
                <w:rFonts w:hint="eastAsia" w:eastAsia="仿宋_GB2312"/>
                <w:sz w:val="24"/>
                <w:szCs w:val="24"/>
              </w:rPr>
              <w:t>”</w:t>
            </w:r>
            <w:r>
              <w:rPr>
                <w:rFonts w:eastAsia="仿宋_GB2312"/>
                <w:sz w:val="24"/>
                <w:szCs w:val="24"/>
              </w:rPr>
              <w:t>模式，发展废旧物资网络回收平台，运用手机APP、微信小程序等移动互联网媒介，实现网上预约、上门回收，推动线上线下协同发展。</w:t>
            </w:r>
          </w:p>
        </w:tc>
        <w:tc>
          <w:tcPr>
            <w:tcW w:w="620"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kern w:val="2"/>
                <w:sz w:val="24"/>
                <w:szCs w:val="24"/>
                <w:lang w:val="en-US"/>
              </w:rPr>
            </w:pPr>
            <w:r>
              <w:rPr>
                <w:rFonts w:eastAsia="仿宋_GB2312"/>
                <w:sz w:val="24"/>
                <w:szCs w:val="24"/>
              </w:rPr>
              <w:t>2022</w:t>
            </w:r>
            <w:r>
              <w:rPr>
                <w:rFonts w:ascii="Times New Roman" w:hAnsi="Times New Roman" w:eastAsia="仿宋_GB2312" w:cs="Times New Roman"/>
                <w:bCs/>
                <w:color w:val="000000"/>
                <w:sz w:val="24"/>
                <w:szCs w:val="24"/>
                <w:lang w:val="zh-CN"/>
              </w:rPr>
              <w:t>-</w:t>
            </w:r>
            <w:r>
              <w:rPr>
                <w:rFonts w:eastAsia="仿宋_GB2312"/>
                <w:sz w:val="24"/>
                <w:szCs w:val="24"/>
              </w:rPr>
              <w:t>2025年</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kern w:val="2"/>
                <w:sz w:val="24"/>
                <w:szCs w:val="24"/>
              </w:rPr>
            </w:pPr>
            <w:r>
              <w:rPr>
                <w:rFonts w:eastAsia="仿宋_GB2312"/>
                <w:sz w:val="24"/>
                <w:szCs w:val="24"/>
              </w:rPr>
              <w:t>20000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kern w:val="2"/>
                <w:sz w:val="24"/>
                <w:szCs w:val="24"/>
              </w:rPr>
            </w:pPr>
            <w:r>
              <w:rPr>
                <w:rFonts w:eastAsia="仿宋_GB2312"/>
                <w:kern w:val="2"/>
                <w:sz w:val="24"/>
                <w:szCs w:val="24"/>
              </w:rPr>
              <w:t>企业自筹</w:t>
            </w:r>
          </w:p>
        </w:tc>
        <w:tc>
          <w:tcPr>
            <w:tcW w:w="452" w:type="pct"/>
            <w:tcBorders>
              <w:top w:val="single" w:color="auto" w:sz="4" w:space="0"/>
              <w:left w:val="single" w:color="auto" w:sz="4" w:space="0"/>
              <w:bottom w:val="single" w:color="auto" w:sz="4" w:space="0"/>
              <w:right w:val="single" w:color="auto" w:sz="4" w:space="0"/>
            </w:tcBorders>
            <w:vAlign w:val="center"/>
          </w:tcPr>
          <w:p>
            <w:pPr>
              <w:spacing w:after="0"/>
              <w:jc w:val="both"/>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天津易物享环保科技有限公司</w:t>
            </w:r>
          </w:p>
          <w:p>
            <w:pPr>
              <w:spacing w:after="0"/>
              <w:jc w:val="both"/>
              <w:rPr>
                <w:rFonts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blHeader/>
          <w:jc w:val="center"/>
        </w:trPr>
        <w:tc>
          <w:tcPr>
            <w:tcW w:w="255"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r>
              <w:rPr>
                <w:rFonts w:eastAsia="仿宋_GB2312"/>
                <w:sz w:val="24"/>
                <w:szCs w:val="24"/>
              </w:rPr>
              <w:t>8</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绿色消费项目</w:t>
            </w: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推广大悦城</w:t>
            </w:r>
            <w:r>
              <w:rPr>
                <w:rFonts w:hint="eastAsia" w:eastAsia="仿宋_GB2312"/>
                <w:kern w:val="2"/>
                <w:sz w:val="24"/>
                <w:szCs w:val="24"/>
              </w:rPr>
              <w:t>“</w:t>
            </w:r>
            <w:r>
              <w:rPr>
                <w:rFonts w:eastAsia="仿宋_GB2312"/>
                <w:kern w:val="2"/>
                <w:sz w:val="24"/>
                <w:szCs w:val="24"/>
              </w:rPr>
              <w:t>赶海市集</w:t>
            </w:r>
            <w:r>
              <w:rPr>
                <w:rFonts w:hint="eastAsia" w:eastAsia="仿宋_GB2312"/>
                <w:kern w:val="2"/>
                <w:sz w:val="24"/>
                <w:szCs w:val="24"/>
              </w:rPr>
              <w:t>”</w:t>
            </w:r>
            <w:r>
              <w:rPr>
                <w:rFonts w:eastAsia="仿宋_GB2312"/>
                <w:kern w:val="2"/>
                <w:sz w:val="24"/>
                <w:szCs w:val="24"/>
              </w:rPr>
              <w:t>、鲁能城</w:t>
            </w:r>
            <w:r>
              <w:rPr>
                <w:rFonts w:hint="eastAsia" w:eastAsia="仿宋_GB2312"/>
                <w:kern w:val="2"/>
                <w:sz w:val="24"/>
                <w:szCs w:val="24"/>
              </w:rPr>
              <w:t>“</w:t>
            </w:r>
            <w:r>
              <w:rPr>
                <w:rFonts w:eastAsia="仿宋_GB2312"/>
                <w:kern w:val="2"/>
                <w:sz w:val="24"/>
                <w:szCs w:val="24"/>
              </w:rPr>
              <w:t>循环造物节</w:t>
            </w:r>
            <w:r>
              <w:rPr>
                <w:rFonts w:hint="eastAsia" w:eastAsia="仿宋_GB2312"/>
                <w:kern w:val="2"/>
                <w:sz w:val="24"/>
                <w:szCs w:val="24"/>
              </w:rPr>
              <w:t>”</w:t>
            </w:r>
            <w:r>
              <w:rPr>
                <w:rFonts w:eastAsia="仿宋_GB2312"/>
                <w:kern w:val="2"/>
                <w:sz w:val="24"/>
                <w:szCs w:val="24"/>
              </w:rPr>
              <w:t>等绿色消费特色活动经验，组织辖区内具备条件的商业综合体先行先试，打造绿色商场，增加节能家电、新能源汽车等绿色产品供给，推行</w:t>
            </w:r>
            <w:r>
              <w:rPr>
                <w:rFonts w:hint="eastAsia" w:eastAsia="仿宋_GB2312"/>
                <w:kern w:val="2"/>
                <w:sz w:val="24"/>
                <w:szCs w:val="24"/>
              </w:rPr>
              <w:t>“</w:t>
            </w:r>
            <w:r>
              <w:rPr>
                <w:rFonts w:eastAsia="仿宋_GB2312"/>
                <w:kern w:val="2"/>
                <w:sz w:val="24"/>
                <w:szCs w:val="24"/>
              </w:rPr>
              <w:t>光盘行动</w:t>
            </w:r>
            <w:r>
              <w:rPr>
                <w:rFonts w:hint="eastAsia" w:eastAsia="仿宋_GB2312"/>
                <w:kern w:val="2"/>
                <w:sz w:val="24"/>
                <w:szCs w:val="24"/>
              </w:rPr>
              <w:t>”</w:t>
            </w:r>
            <w:r>
              <w:rPr>
                <w:rFonts w:eastAsia="仿宋_GB2312"/>
                <w:kern w:val="2"/>
                <w:sz w:val="24"/>
                <w:szCs w:val="24"/>
              </w:rPr>
              <w:t>，增加绿电使用，引领绿色消费低碳转型升级。</w:t>
            </w:r>
          </w:p>
        </w:tc>
        <w:tc>
          <w:tcPr>
            <w:tcW w:w="620"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kern w:val="2"/>
                <w:sz w:val="24"/>
                <w:szCs w:val="24"/>
              </w:rPr>
              <w:t>2024</w:t>
            </w:r>
            <w:r>
              <w:rPr>
                <w:rFonts w:ascii="Times New Roman" w:hAnsi="Times New Roman" w:eastAsia="仿宋_GB2312" w:cs="Times New Roman"/>
                <w:bCs/>
                <w:color w:val="000000"/>
                <w:sz w:val="24"/>
                <w:szCs w:val="24"/>
                <w:lang w:val="zh-CN"/>
              </w:rPr>
              <w:t>-</w:t>
            </w:r>
            <w:r>
              <w:rPr>
                <w:rFonts w:eastAsia="仿宋_GB2312"/>
                <w:kern w:val="2"/>
                <w:sz w:val="24"/>
                <w:szCs w:val="24"/>
              </w:rPr>
              <w:t>2030年</w:t>
            </w: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jc w:val="center"/>
              <w:rPr>
                <w:rFonts w:eastAsia="仿宋_GB2312"/>
                <w:sz w:val="24"/>
                <w:szCs w:val="24"/>
              </w:rPr>
            </w:pPr>
            <w:r>
              <w:rPr>
                <w:rFonts w:eastAsia="仿宋_GB2312"/>
                <w:kern w:val="2"/>
                <w:sz w:val="24"/>
                <w:szCs w:val="24"/>
              </w:rPr>
              <w:t>50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企业自筹</w:t>
            </w: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jc w:val="both"/>
              <w:rPr>
                <w:rFonts w:eastAsia="仿宋_GB2312"/>
                <w:sz w:val="24"/>
                <w:szCs w:val="24"/>
              </w:rPr>
            </w:pPr>
            <w:r>
              <w:rPr>
                <w:rFonts w:eastAsia="仿宋_GB2312"/>
                <w:kern w:val="2"/>
                <w:sz w:val="24"/>
                <w:szCs w:val="24"/>
              </w:rPr>
              <w:t>区商务局牵头各商业综合体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blHeader/>
          <w:jc w:val="center"/>
        </w:trPr>
        <w:tc>
          <w:tcPr>
            <w:tcW w:w="255"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r>
              <w:rPr>
                <w:rFonts w:eastAsia="仿宋_GB2312"/>
                <w:kern w:val="2"/>
                <w:sz w:val="24"/>
                <w:szCs w:val="24"/>
              </w:rPr>
              <w:t>合计</w:t>
            </w:r>
          </w:p>
        </w:tc>
        <w:tc>
          <w:tcPr>
            <w:tcW w:w="59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kern w:val="2"/>
                <w:sz w:val="24"/>
                <w:szCs w:val="24"/>
              </w:rPr>
            </w:pPr>
          </w:p>
        </w:tc>
        <w:tc>
          <w:tcPr>
            <w:tcW w:w="2136"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p>
        </w:tc>
        <w:tc>
          <w:tcPr>
            <w:tcW w:w="49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lang w:val="en-US"/>
              </w:rPr>
            </w:pPr>
            <w:r>
              <w:rPr>
                <w:rFonts w:eastAsia="仿宋_GB2312"/>
                <w:kern w:val="2"/>
                <w:sz w:val="24"/>
                <w:szCs w:val="24"/>
              </w:rPr>
              <w:t>2</w:t>
            </w:r>
            <w:r>
              <w:rPr>
                <w:rFonts w:eastAsia="仿宋_GB2312"/>
                <w:kern w:val="2"/>
                <w:sz w:val="24"/>
                <w:szCs w:val="24"/>
                <w:lang w:val="en-US"/>
              </w:rPr>
              <w:t>179120</w:t>
            </w:r>
          </w:p>
        </w:tc>
        <w:tc>
          <w:tcPr>
            <w:tcW w:w="449"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p>
        </w:tc>
        <w:tc>
          <w:tcPr>
            <w:tcW w:w="452" w:type="pct"/>
            <w:tcBorders>
              <w:top w:val="single" w:color="auto" w:sz="4" w:space="0"/>
              <w:left w:val="single" w:color="auto" w:sz="4" w:space="0"/>
              <w:bottom w:val="single" w:color="auto" w:sz="4" w:space="0"/>
              <w:right w:val="single" w:color="auto" w:sz="4" w:space="0"/>
            </w:tcBorders>
            <w:vAlign w:val="center"/>
          </w:tcPr>
          <w:p>
            <w:pPr>
              <w:pStyle w:val="56"/>
              <w:adjustRightInd w:val="0"/>
              <w:rPr>
                <w:rFonts w:eastAsia="仿宋_GB2312"/>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exact"/>
        <w:ind w:right="220" w:rightChars="100"/>
        <w:textAlignment w:val="auto"/>
        <w:rPr>
          <w:rFonts w:hint="eastAsia" w:ascii="Times New Roman" w:hAnsi="Times New Roman" w:eastAsia="仿宋_GB2312" w:cs="Times New Roman"/>
          <w:sz w:val="32"/>
          <w:szCs w:val="32"/>
          <w:lang w:val="zh-CN"/>
        </w:rPr>
      </w:pPr>
      <w:bookmarkStart w:id="53" w:name="_GoBack"/>
      <w:bookmarkEnd w:id="53"/>
    </w:p>
    <w:sectPr>
      <w:pgSz w:w="11906" w:h="16838"/>
      <w:pgMar w:top="2098" w:right="1474" w:bottom="1984" w:left="1587" w:header="850" w:footer="1417"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79D33"/>
    <w:multiLevelType w:val="singleLevel"/>
    <w:tmpl w:val="DDB79D33"/>
    <w:lvl w:ilvl="0" w:tentative="0">
      <w:start w:val="1"/>
      <w:numFmt w:val="chineseCounting"/>
      <w:suff w:val="nothing"/>
      <w:lvlText w:val="%1、"/>
      <w:lvlJc w:val="left"/>
      <w:rPr>
        <w:rFonts w:hint="eastAsia"/>
      </w:rPr>
    </w:lvl>
  </w:abstractNum>
  <w:abstractNum w:abstractNumId="1">
    <w:nsid w:val="3FEE4EF4"/>
    <w:multiLevelType w:val="singleLevel"/>
    <w:tmpl w:val="3FEE4EF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noPunctuationKerning w:val="1"/>
  <w:characterSpacingControl w:val="doNotCompress"/>
  <w:hdrShapeDefaults>
    <o:shapelayout v:ext="edit">
      <o:idmap v:ext="edit" data="3"/>
    </o:shapelayout>
  </w:hdrShapeDefaults>
  <w:footnotePr>
    <w:footnote w:id="0"/>
    <w:footnote w:id="1"/>
  </w:footnotePr>
  <w:compat>
    <w:doNotExpandShiftReturn/>
    <w:useFELayout/>
    <w:compatSetting w:name="compatibilityMode" w:uri="http://schemas.microsoft.com/office/word" w:val="12"/>
  </w:compat>
  <w:docVars>
    <w:docVar w:name="commondata" w:val="eyJoZGlkIjoiMjI3YmYwZGYxZTljODFlZWNjMjljZGQxM2Y2YmQ5NzcifQ=="/>
  </w:docVars>
  <w:rsids>
    <w:rsidRoot w:val="00D31D50"/>
    <w:rsid w:val="000027EB"/>
    <w:rsid w:val="00003661"/>
    <w:rsid w:val="00006EBC"/>
    <w:rsid w:val="0000794E"/>
    <w:rsid w:val="00007A0D"/>
    <w:rsid w:val="00012E71"/>
    <w:rsid w:val="00012EA8"/>
    <w:rsid w:val="0001565F"/>
    <w:rsid w:val="000163E0"/>
    <w:rsid w:val="00016C40"/>
    <w:rsid w:val="00017CB1"/>
    <w:rsid w:val="000216B5"/>
    <w:rsid w:val="000264F7"/>
    <w:rsid w:val="0003047A"/>
    <w:rsid w:val="000340B2"/>
    <w:rsid w:val="00034B35"/>
    <w:rsid w:val="00035020"/>
    <w:rsid w:val="00035353"/>
    <w:rsid w:val="00035651"/>
    <w:rsid w:val="00037710"/>
    <w:rsid w:val="00037B69"/>
    <w:rsid w:val="00041867"/>
    <w:rsid w:val="00044882"/>
    <w:rsid w:val="000512A6"/>
    <w:rsid w:val="00051850"/>
    <w:rsid w:val="00052105"/>
    <w:rsid w:val="0005440F"/>
    <w:rsid w:val="0005600E"/>
    <w:rsid w:val="00057DFC"/>
    <w:rsid w:val="0006148A"/>
    <w:rsid w:val="00062556"/>
    <w:rsid w:val="00064416"/>
    <w:rsid w:val="000653DD"/>
    <w:rsid w:val="00067416"/>
    <w:rsid w:val="00071526"/>
    <w:rsid w:val="00071716"/>
    <w:rsid w:val="000730B8"/>
    <w:rsid w:val="00074643"/>
    <w:rsid w:val="00075105"/>
    <w:rsid w:val="00076143"/>
    <w:rsid w:val="0007616D"/>
    <w:rsid w:val="00076516"/>
    <w:rsid w:val="000779CD"/>
    <w:rsid w:val="0008064B"/>
    <w:rsid w:val="00080EB6"/>
    <w:rsid w:val="000819FA"/>
    <w:rsid w:val="00082315"/>
    <w:rsid w:val="000825F7"/>
    <w:rsid w:val="0008400E"/>
    <w:rsid w:val="00084036"/>
    <w:rsid w:val="00086BB1"/>
    <w:rsid w:val="0008726F"/>
    <w:rsid w:val="00087755"/>
    <w:rsid w:val="000914FD"/>
    <w:rsid w:val="00092E37"/>
    <w:rsid w:val="000935F3"/>
    <w:rsid w:val="000971A6"/>
    <w:rsid w:val="000A074F"/>
    <w:rsid w:val="000A19D0"/>
    <w:rsid w:val="000A64BF"/>
    <w:rsid w:val="000A789F"/>
    <w:rsid w:val="000B21B9"/>
    <w:rsid w:val="000B2CD3"/>
    <w:rsid w:val="000B5CDA"/>
    <w:rsid w:val="000B746F"/>
    <w:rsid w:val="000C0AFB"/>
    <w:rsid w:val="000C2436"/>
    <w:rsid w:val="000C2D25"/>
    <w:rsid w:val="000C2EDC"/>
    <w:rsid w:val="000C2F87"/>
    <w:rsid w:val="000C5263"/>
    <w:rsid w:val="000D0EE5"/>
    <w:rsid w:val="000D34B4"/>
    <w:rsid w:val="000D4ECA"/>
    <w:rsid w:val="000E18CB"/>
    <w:rsid w:val="000E3F51"/>
    <w:rsid w:val="000E6E6B"/>
    <w:rsid w:val="000E7A57"/>
    <w:rsid w:val="000E7C59"/>
    <w:rsid w:val="000E7F95"/>
    <w:rsid w:val="000F02FE"/>
    <w:rsid w:val="000F3505"/>
    <w:rsid w:val="000F5EFE"/>
    <w:rsid w:val="000F72E6"/>
    <w:rsid w:val="00102553"/>
    <w:rsid w:val="00102ABA"/>
    <w:rsid w:val="00102E2C"/>
    <w:rsid w:val="001049C1"/>
    <w:rsid w:val="00105D34"/>
    <w:rsid w:val="00106248"/>
    <w:rsid w:val="0010657B"/>
    <w:rsid w:val="00106633"/>
    <w:rsid w:val="00106A71"/>
    <w:rsid w:val="00106CB7"/>
    <w:rsid w:val="001074A1"/>
    <w:rsid w:val="00107599"/>
    <w:rsid w:val="00112D81"/>
    <w:rsid w:val="00113065"/>
    <w:rsid w:val="00113ECA"/>
    <w:rsid w:val="0011563B"/>
    <w:rsid w:val="00115F21"/>
    <w:rsid w:val="00116288"/>
    <w:rsid w:val="00120A4D"/>
    <w:rsid w:val="001212F3"/>
    <w:rsid w:val="00121785"/>
    <w:rsid w:val="00121A84"/>
    <w:rsid w:val="00121E48"/>
    <w:rsid w:val="00122826"/>
    <w:rsid w:val="00122AEB"/>
    <w:rsid w:val="001246BA"/>
    <w:rsid w:val="00125879"/>
    <w:rsid w:val="00125E56"/>
    <w:rsid w:val="00130510"/>
    <w:rsid w:val="00132AF6"/>
    <w:rsid w:val="00133C0D"/>
    <w:rsid w:val="00134DBF"/>
    <w:rsid w:val="00134F89"/>
    <w:rsid w:val="00136050"/>
    <w:rsid w:val="00136F16"/>
    <w:rsid w:val="00140430"/>
    <w:rsid w:val="00140A72"/>
    <w:rsid w:val="0014268B"/>
    <w:rsid w:val="00142B18"/>
    <w:rsid w:val="001433D8"/>
    <w:rsid w:val="00143D61"/>
    <w:rsid w:val="0014466D"/>
    <w:rsid w:val="001457A3"/>
    <w:rsid w:val="001504CE"/>
    <w:rsid w:val="00150CB9"/>
    <w:rsid w:val="00150E47"/>
    <w:rsid w:val="0015123D"/>
    <w:rsid w:val="001528D0"/>
    <w:rsid w:val="00154237"/>
    <w:rsid w:val="00155054"/>
    <w:rsid w:val="00157154"/>
    <w:rsid w:val="00160F13"/>
    <w:rsid w:val="001627D9"/>
    <w:rsid w:val="0016395A"/>
    <w:rsid w:val="00166BB8"/>
    <w:rsid w:val="0016752F"/>
    <w:rsid w:val="0017085A"/>
    <w:rsid w:val="00171C5B"/>
    <w:rsid w:val="00171ECA"/>
    <w:rsid w:val="0017248F"/>
    <w:rsid w:val="00174D33"/>
    <w:rsid w:val="00175215"/>
    <w:rsid w:val="00176B0E"/>
    <w:rsid w:val="001869F0"/>
    <w:rsid w:val="00186BFA"/>
    <w:rsid w:val="00190DA4"/>
    <w:rsid w:val="001914F6"/>
    <w:rsid w:val="00191FD9"/>
    <w:rsid w:val="00193C17"/>
    <w:rsid w:val="00194F63"/>
    <w:rsid w:val="00195988"/>
    <w:rsid w:val="00196E85"/>
    <w:rsid w:val="001A1719"/>
    <w:rsid w:val="001A2611"/>
    <w:rsid w:val="001A2D08"/>
    <w:rsid w:val="001A4F12"/>
    <w:rsid w:val="001A76FC"/>
    <w:rsid w:val="001B0D8D"/>
    <w:rsid w:val="001B10A2"/>
    <w:rsid w:val="001B299A"/>
    <w:rsid w:val="001B2B27"/>
    <w:rsid w:val="001B3F96"/>
    <w:rsid w:val="001B4517"/>
    <w:rsid w:val="001B5E48"/>
    <w:rsid w:val="001B767F"/>
    <w:rsid w:val="001C0999"/>
    <w:rsid w:val="001C2344"/>
    <w:rsid w:val="001C3337"/>
    <w:rsid w:val="001C3C25"/>
    <w:rsid w:val="001C52BA"/>
    <w:rsid w:val="001C58BB"/>
    <w:rsid w:val="001C7513"/>
    <w:rsid w:val="001C775E"/>
    <w:rsid w:val="001D0482"/>
    <w:rsid w:val="001D40A5"/>
    <w:rsid w:val="001D4641"/>
    <w:rsid w:val="001D619D"/>
    <w:rsid w:val="001D6600"/>
    <w:rsid w:val="001E27B3"/>
    <w:rsid w:val="001E404A"/>
    <w:rsid w:val="001E45AD"/>
    <w:rsid w:val="001F1868"/>
    <w:rsid w:val="001F1B40"/>
    <w:rsid w:val="001F4665"/>
    <w:rsid w:val="001F4DFE"/>
    <w:rsid w:val="001F7E15"/>
    <w:rsid w:val="00204473"/>
    <w:rsid w:val="002047CC"/>
    <w:rsid w:val="00205B5E"/>
    <w:rsid w:val="002143E1"/>
    <w:rsid w:val="00215BC0"/>
    <w:rsid w:val="002166F7"/>
    <w:rsid w:val="00220106"/>
    <w:rsid w:val="00220D59"/>
    <w:rsid w:val="00222619"/>
    <w:rsid w:val="00222D91"/>
    <w:rsid w:val="00225590"/>
    <w:rsid w:val="00230EE5"/>
    <w:rsid w:val="002322B1"/>
    <w:rsid w:val="00232405"/>
    <w:rsid w:val="0023415A"/>
    <w:rsid w:val="00234353"/>
    <w:rsid w:val="00235294"/>
    <w:rsid w:val="0023592F"/>
    <w:rsid w:val="00235EE9"/>
    <w:rsid w:val="00240A8A"/>
    <w:rsid w:val="0024141A"/>
    <w:rsid w:val="0024389B"/>
    <w:rsid w:val="00245C5D"/>
    <w:rsid w:val="00246197"/>
    <w:rsid w:val="00246ABA"/>
    <w:rsid w:val="00247E49"/>
    <w:rsid w:val="002510A1"/>
    <w:rsid w:val="00251AA9"/>
    <w:rsid w:val="002524FB"/>
    <w:rsid w:val="00252EC7"/>
    <w:rsid w:val="00253011"/>
    <w:rsid w:val="00254AFD"/>
    <w:rsid w:val="00255DF0"/>
    <w:rsid w:val="00256687"/>
    <w:rsid w:val="00256DBD"/>
    <w:rsid w:val="00257CDC"/>
    <w:rsid w:val="00257EF7"/>
    <w:rsid w:val="0026027F"/>
    <w:rsid w:val="00261072"/>
    <w:rsid w:val="00261182"/>
    <w:rsid w:val="00262772"/>
    <w:rsid w:val="00270169"/>
    <w:rsid w:val="00271C18"/>
    <w:rsid w:val="002745CB"/>
    <w:rsid w:val="00275FAE"/>
    <w:rsid w:val="00276BBA"/>
    <w:rsid w:val="002770CE"/>
    <w:rsid w:val="0028169D"/>
    <w:rsid w:val="0028187D"/>
    <w:rsid w:val="00293497"/>
    <w:rsid w:val="00294FE3"/>
    <w:rsid w:val="00295F68"/>
    <w:rsid w:val="00296E3F"/>
    <w:rsid w:val="00296FA9"/>
    <w:rsid w:val="002A01B0"/>
    <w:rsid w:val="002A1661"/>
    <w:rsid w:val="002A3292"/>
    <w:rsid w:val="002A42FE"/>
    <w:rsid w:val="002A4459"/>
    <w:rsid w:val="002A5C10"/>
    <w:rsid w:val="002B134D"/>
    <w:rsid w:val="002B1F80"/>
    <w:rsid w:val="002B3C9A"/>
    <w:rsid w:val="002B472B"/>
    <w:rsid w:val="002B4D32"/>
    <w:rsid w:val="002B5381"/>
    <w:rsid w:val="002B683B"/>
    <w:rsid w:val="002B71B8"/>
    <w:rsid w:val="002B7BA4"/>
    <w:rsid w:val="002C14FC"/>
    <w:rsid w:val="002C3572"/>
    <w:rsid w:val="002C4ED3"/>
    <w:rsid w:val="002C6172"/>
    <w:rsid w:val="002C64F3"/>
    <w:rsid w:val="002C6539"/>
    <w:rsid w:val="002C6578"/>
    <w:rsid w:val="002C7E67"/>
    <w:rsid w:val="002D0542"/>
    <w:rsid w:val="002D3714"/>
    <w:rsid w:val="002D4647"/>
    <w:rsid w:val="002D5BA7"/>
    <w:rsid w:val="002D6AC3"/>
    <w:rsid w:val="002E3022"/>
    <w:rsid w:val="002E30CF"/>
    <w:rsid w:val="002E33E4"/>
    <w:rsid w:val="002E5F10"/>
    <w:rsid w:val="002F15CF"/>
    <w:rsid w:val="002F34AA"/>
    <w:rsid w:val="002F3C0C"/>
    <w:rsid w:val="002F3DC6"/>
    <w:rsid w:val="002F4549"/>
    <w:rsid w:val="002F61AA"/>
    <w:rsid w:val="002F7ECA"/>
    <w:rsid w:val="00302C12"/>
    <w:rsid w:val="00304340"/>
    <w:rsid w:val="00304359"/>
    <w:rsid w:val="00307EC5"/>
    <w:rsid w:val="00307F52"/>
    <w:rsid w:val="00311E2B"/>
    <w:rsid w:val="00316543"/>
    <w:rsid w:val="0032200E"/>
    <w:rsid w:val="00323129"/>
    <w:rsid w:val="003233CA"/>
    <w:rsid w:val="00323B43"/>
    <w:rsid w:val="00324B6D"/>
    <w:rsid w:val="00334B39"/>
    <w:rsid w:val="0033511F"/>
    <w:rsid w:val="00337A50"/>
    <w:rsid w:val="00337C88"/>
    <w:rsid w:val="00337E43"/>
    <w:rsid w:val="00340E9E"/>
    <w:rsid w:val="003420DE"/>
    <w:rsid w:val="00342A57"/>
    <w:rsid w:val="00342D00"/>
    <w:rsid w:val="00346E7E"/>
    <w:rsid w:val="0035257F"/>
    <w:rsid w:val="003563FC"/>
    <w:rsid w:val="00361CF2"/>
    <w:rsid w:val="00362FA7"/>
    <w:rsid w:val="00363D46"/>
    <w:rsid w:val="00364CC5"/>
    <w:rsid w:val="00364DB5"/>
    <w:rsid w:val="00365750"/>
    <w:rsid w:val="00366763"/>
    <w:rsid w:val="003670C5"/>
    <w:rsid w:val="003673D1"/>
    <w:rsid w:val="00373562"/>
    <w:rsid w:val="00374F01"/>
    <w:rsid w:val="003765E9"/>
    <w:rsid w:val="003804B5"/>
    <w:rsid w:val="00381B22"/>
    <w:rsid w:val="0038304F"/>
    <w:rsid w:val="00384630"/>
    <w:rsid w:val="00384947"/>
    <w:rsid w:val="00386AEE"/>
    <w:rsid w:val="003901EF"/>
    <w:rsid w:val="00390532"/>
    <w:rsid w:val="003905D2"/>
    <w:rsid w:val="00391D56"/>
    <w:rsid w:val="00395C46"/>
    <w:rsid w:val="003966F3"/>
    <w:rsid w:val="00397F01"/>
    <w:rsid w:val="003A0C99"/>
    <w:rsid w:val="003A1856"/>
    <w:rsid w:val="003A1BA8"/>
    <w:rsid w:val="003A36B6"/>
    <w:rsid w:val="003A744E"/>
    <w:rsid w:val="003A7E8B"/>
    <w:rsid w:val="003B0077"/>
    <w:rsid w:val="003B1070"/>
    <w:rsid w:val="003B114E"/>
    <w:rsid w:val="003B12B4"/>
    <w:rsid w:val="003B1C33"/>
    <w:rsid w:val="003B2639"/>
    <w:rsid w:val="003B2E43"/>
    <w:rsid w:val="003B326F"/>
    <w:rsid w:val="003B53D4"/>
    <w:rsid w:val="003B699F"/>
    <w:rsid w:val="003B6F3E"/>
    <w:rsid w:val="003B7C04"/>
    <w:rsid w:val="003C0822"/>
    <w:rsid w:val="003C0C0A"/>
    <w:rsid w:val="003C29F5"/>
    <w:rsid w:val="003C2ABC"/>
    <w:rsid w:val="003C3B90"/>
    <w:rsid w:val="003D0496"/>
    <w:rsid w:val="003D06B8"/>
    <w:rsid w:val="003D1478"/>
    <w:rsid w:val="003D22B0"/>
    <w:rsid w:val="003D2BFD"/>
    <w:rsid w:val="003D37D8"/>
    <w:rsid w:val="003D3B86"/>
    <w:rsid w:val="003D4E57"/>
    <w:rsid w:val="003D754E"/>
    <w:rsid w:val="003E06FB"/>
    <w:rsid w:val="003E1881"/>
    <w:rsid w:val="003E347C"/>
    <w:rsid w:val="003E575A"/>
    <w:rsid w:val="003E5901"/>
    <w:rsid w:val="003E59A1"/>
    <w:rsid w:val="003E726B"/>
    <w:rsid w:val="003E7D10"/>
    <w:rsid w:val="003F02EC"/>
    <w:rsid w:val="003F0405"/>
    <w:rsid w:val="003F0588"/>
    <w:rsid w:val="003F116A"/>
    <w:rsid w:val="003F2951"/>
    <w:rsid w:val="003F6890"/>
    <w:rsid w:val="003F7E3D"/>
    <w:rsid w:val="00400E04"/>
    <w:rsid w:val="00401B64"/>
    <w:rsid w:val="00402124"/>
    <w:rsid w:val="00404DF4"/>
    <w:rsid w:val="0040513B"/>
    <w:rsid w:val="00406758"/>
    <w:rsid w:val="00406A6C"/>
    <w:rsid w:val="00407297"/>
    <w:rsid w:val="0041156D"/>
    <w:rsid w:val="00412C86"/>
    <w:rsid w:val="0041665A"/>
    <w:rsid w:val="00416EAC"/>
    <w:rsid w:val="0041734C"/>
    <w:rsid w:val="00421E49"/>
    <w:rsid w:val="004222C0"/>
    <w:rsid w:val="00422CA1"/>
    <w:rsid w:val="00423A49"/>
    <w:rsid w:val="004251C0"/>
    <w:rsid w:val="00425489"/>
    <w:rsid w:val="00426133"/>
    <w:rsid w:val="0042651D"/>
    <w:rsid w:val="00430AE6"/>
    <w:rsid w:val="004319FC"/>
    <w:rsid w:val="00432C7F"/>
    <w:rsid w:val="00433394"/>
    <w:rsid w:val="00433BED"/>
    <w:rsid w:val="004358AB"/>
    <w:rsid w:val="00435ABE"/>
    <w:rsid w:val="00435AE4"/>
    <w:rsid w:val="004366F8"/>
    <w:rsid w:val="00437CE9"/>
    <w:rsid w:val="004400EB"/>
    <w:rsid w:val="0044129F"/>
    <w:rsid w:val="00442F48"/>
    <w:rsid w:val="004434C6"/>
    <w:rsid w:val="004434D9"/>
    <w:rsid w:val="004460B1"/>
    <w:rsid w:val="00446738"/>
    <w:rsid w:val="004501C5"/>
    <w:rsid w:val="0045022B"/>
    <w:rsid w:val="00450637"/>
    <w:rsid w:val="00451588"/>
    <w:rsid w:val="00451782"/>
    <w:rsid w:val="00451F68"/>
    <w:rsid w:val="00452502"/>
    <w:rsid w:val="00452A28"/>
    <w:rsid w:val="004547AC"/>
    <w:rsid w:val="00454CCF"/>
    <w:rsid w:val="00455655"/>
    <w:rsid w:val="00461CCA"/>
    <w:rsid w:val="0046208B"/>
    <w:rsid w:val="004648DA"/>
    <w:rsid w:val="00464907"/>
    <w:rsid w:val="004650BD"/>
    <w:rsid w:val="004662A8"/>
    <w:rsid w:val="00467838"/>
    <w:rsid w:val="00470B5A"/>
    <w:rsid w:val="00470C4A"/>
    <w:rsid w:val="004723EA"/>
    <w:rsid w:val="00473BA5"/>
    <w:rsid w:val="00475A08"/>
    <w:rsid w:val="00476FFC"/>
    <w:rsid w:val="00477019"/>
    <w:rsid w:val="00477C40"/>
    <w:rsid w:val="004809D2"/>
    <w:rsid w:val="00480B7A"/>
    <w:rsid w:val="00480CB7"/>
    <w:rsid w:val="0048243F"/>
    <w:rsid w:val="004837CC"/>
    <w:rsid w:val="00484D86"/>
    <w:rsid w:val="00485A94"/>
    <w:rsid w:val="004862BF"/>
    <w:rsid w:val="004905FA"/>
    <w:rsid w:val="004931B5"/>
    <w:rsid w:val="0049792B"/>
    <w:rsid w:val="004A0913"/>
    <w:rsid w:val="004A11E4"/>
    <w:rsid w:val="004A2A8A"/>
    <w:rsid w:val="004A33BB"/>
    <w:rsid w:val="004A3809"/>
    <w:rsid w:val="004A52D0"/>
    <w:rsid w:val="004A558A"/>
    <w:rsid w:val="004A61B7"/>
    <w:rsid w:val="004A7852"/>
    <w:rsid w:val="004B136D"/>
    <w:rsid w:val="004B31D2"/>
    <w:rsid w:val="004B7505"/>
    <w:rsid w:val="004C1D51"/>
    <w:rsid w:val="004C1EFC"/>
    <w:rsid w:val="004C2F92"/>
    <w:rsid w:val="004C362B"/>
    <w:rsid w:val="004C3727"/>
    <w:rsid w:val="004C4E04"/>
    <w:rsid w:val="004C79E0"/>
    <w:rsid w:val="004C7BF0"/>
    <w:rsid w:val="004D091A"/>
    <w:rsid w:val="004D0A97"/>
    <w:rsid w:val="004D248A"/>
    <w:rsid w:val="004D26EF"/>
    <w:rsid w:val="004D28B7"/>
    <w:rsid w:val="004D2F67"/>
    <w:rsid w:val="004D3492"/>
    <w:rsid w:val="004D40BA"/>
    <w:rsid w:val="004D67BB"/>
    <w:rsid w:val="004E0E4B"/>
    <w:rsid w:val="004E4995"/>
    <w:rsid w:val="004E55B0"/>
    <w:rsid w:val="004E741C"/>
    <w:rsid w:val="004F2837"/>
    <w:rsid w:val="004F4C1E"/>
    <w:rsid w:val="004F554A"/>
    <w:rsid w:val="004F5E24"/>
    <w:rsid w:val="004F7A25"/>
    <w:rsid w:val="005001AE"/>
    <w:rsid w:val="00504190"/>
    <w:rsid w:val="00505B43"/>
    <w:rsid w:val="00507416"/>
    <w:rsid w:val="0050741A"/>
    <w:rsid w:val="00516891"/>
    <w:rsid w:val="00517DDC"/>
    <w:rsid w:val="00522917"/>
    <w:rsid w:val="005256D6"/>
    <w:rsid w:val="005261C7"/>
    <w:rsid w:val="00526C23"/>
    <w:rsid w:val="005275E5"/>
    <w:rsid w:val="00530005"/>
    <w:rsid w:val="00530DE9"/>
    <w:rsid w:val="005319F5"/>
    <w:rsid w:val="00531A70"/>
    <w:rsid w:val="0053200C"/>
    <w:rsid w:val="00532AD5"/>
    <w:rsid w:val="005339AE"/>
    <w:rsid w:val="00533A9A"/>
    <w:rsid w:val="00533F6C"/>
    <w:rsid w:val="00536494"/>
    <w:rsid w:val="005403B7"/>
    <w:rsid w:val="0054491F"/>
    <w:rsid w:val="0056165D"/>
    <w:rsid w:val="005618B2"/>
    <w:rsid w:val="00561EF1"/>
    <w:rsid w:val="0056249E"/>
    <w:rsid w:val="00562CC9"/>
    <w:rsid w:val="00564E58"/>
    <w:rsid w:val="0056526B"/>
    <w:rsid w:val="00570179"/>
    <w:rsid w:val="005727EC"/>
    <w:rsid w:val="00573586"/>
    <w:rsid w:val="00573F77"/>
    <w:rsid w:val="0057676F"/>
    <w:rsid w:val="00576F48"/>
    <w:rsid w:val="0058146E"/>
    <w:rsid w:val="00582FA1"/>
    <w:rsid w:val="00584358"/>
    <w:rsid w:val="0058691B"/>
    <w:rsid w:val="0059011F"/>
    <w:rsid w:val="00591070"/>
    <w:rsid w:val="0059674C"/>
    <w:rsid w:val="005976E0"/>
    <w:rsid w:val="005A01E6"/>
    <w:rsid w:val="005A0698"/>
    <w:rsid w:val="005A267E"/>
    <w:rsid w:val="005A2C32"/>
    <w:rsid w:val="005A309F"/>
    <w:rsid w:val="005A383D"/>
    <w:rsid w:val="005A3DE5"/>
    <w:rsid w:val="005A4402"/>
    <w:rsid w:val="005A5CAD"/>
    <w:rsid w:val="005A618C"/>
    <w:rsid w:val="005A6452"/>
    <w:rsid w:val="005A68A2"/>
    <w:rsid w:val="005B02F7"/>
    <w:rsid w:val="005B15DB"/>
    <w:rsid w:val="005B18D1"/>
    <w:rsid w:val="005B3A96"/>
    <w:rsid w:val="005B4A07"/>
    <w:rsid w:val="005B4EC1"/>
    <w:rsid w:val="005B4EE1"/>
    <w:rsid w:val="005B6A6C"/>
    <w:rsid w:val="005B7546"/>
    <w:rsid w:val="005B7615"/>
    <w:rsid w:val="005B7FC8"/>
    <w:rsid w:val="005C0D78"/>
    <w:rsid w:val="005C135C"/>
    <w:rsid w:val="005C14F4"/>
    <w:rsid w:val="005C3203"/>
    <w:rsid w:val="005C3BB0"/>
    <w:rsid w:val="005C42A2"/>
    <w:rsid w:val="005C5A28"/>
    <w:rsid w:val="005D08F6"/>
    <w:rsid w:val="005D172D"/>
    <w:rsid w:val="005D43D2"/>
    <w:rsid w:val="005D520D"/>
    <w:rsid w:val="005E0875"/>
    <w:rsid w:val="005E0F27"/>
    <w:rsid w:val="005E15FA"/>
    <w:rsid w:val="005E3B8A"/>
    <w:rsid w:val="005E539A"/>
    <w:rsid w:val="005E699A"/>
    <w:rsid w:val="005E6DC1"/>
    <w:rsid w:val="005E7A3A"/>
    <w:rsid w:val="005F00F9"/>
    <w:rsid w:val="005F0A80"/>
    <w:rsid w:val="005F60AC"/>
    <w:rsid w:val="005F62F2"/>
    <w:rsid w:val="005F7090"/>
    <w:rsid w:val="005F7827"/>
    <w:rsid w:val="005F791E"/>
    <w:rsid w:val="00600864"/>
    <w:rsid w:val="00601A03"/>
    <w:rsid w:val="00601C18"/>
    <w:rsid w:val="006033FB"/>
    <w:rsid w:val="00603C88"/>
    <w:rsid w:val="00604830"/>
    <w:rsid w:val="00604863"/>
    <w:rsid w:val="00604D00"/>
    <w:rsid w:val="006061E3"/>
    <w:rsid w:val="00607A7A"/>
    <w:rsid w:val="00607C8A"/>
    <w:rsid w:val="00613364"/>
    <w:rsid w:val="00613C9F"/>
    <w:rsid w:val="0061472C"/>
    <w:rsid w:val="00614CB1"/>
    <w:rsid w:val="00615487"/>
    <w:rsid w:val="00620EDC"/>
    <w:rsid w:val="00622231"/>
    <w:rsid w:val="00622A43"/>
    <w:rsid w:val="00623A34"/>
    <w:rsid w:val="00623CA4"/>
    <w:rsid w:val="00623DF0"/>
    <w:rsid w:val="006273A5"/>
    <w:rsid w:val="006279D4"/>
    <w:rsid w:val="006316C8"/>
    <w:rsid w:val="0063239F"/>
    <w:rsid w:val="0063248F"/>
    <w:rsid w:val="006327DC"/>
    <w:rsid w:val="00632FAD"/>
    <w:rsid w:val="00634C51"/>
    <w:rsid w:val="00635026"/>
    <w:rsid w:val="006350CD"/>
    <w:rsid w:val="00636489"/>
    <w:rsid w:val="006372C5"/>
    <w:rsid w:val="00637600"/>
    <w:rsid w:val="006406E8"/>
    <w:rsid w:val="00640EEA"/>
    <w:rsid w:val="00642DD8"/>
    <w:rsid w:val="00645B8F"/>
    <w:rsid w:val="006464AA"/>
    <w:rsid w:val="00646C8E"/>
    <w:rsid w:val="00651770"/>
    <w:rsid w:val="006518AD"/>
    <w:rsid w:val="006521E1"/>
    <w:rsid w:val="00653B94"/>
    <w:rsid w:val="00654CAE"/>
    <w:rsid w:val="00661522"/>
    <w:rsid w:val="00662C44"/>
    <w:rsid w:val="00662FE0"/>
    <w:rsid w:val="0066448A"/>
    <w:rsid w:val="0066492C"/>
    <w:rsid w:val="00665E49"/>
    <w:rsid w:val="0066621E"/>
    <w:rsid w:val="00666D20"/>
    <w:rsid w:val="006724F9"/>
    <w:rsid w:val="00672763"/>
    <w:rsid w:val="006776A8"/>
    <w:rsid w:val="00677991"/>
    <w:rsid w:val="00677F26"/>
    <w:rsid w:val="00680E0E"/>
    <w:rsid w:val="0068175E"/>
    <w:rsid w:val="00681896"/>
    <w:rsid w:val="006822C6"/>
    <w:rsid w:val="00684462"/>
    <w:rsid w:val="00685C06"/>
    <w:rsid w:val="00686CF7"/>
    <w:rsid w:val="00690DD0"/>
    <w:rsid w:val="00692423"/>
    <w:rsid w:val="006931DB"/>
    <w:rsid w:val="00694D3F"/>
    <w:rsid w:val="00697729"/>
    <w:rsid w:val="006A45B6"/>
    <w:rsid w:val="006A55DD"/>
    <w:rsid w:val="006A6F4C"/>
    <w:rsid w:val="006B095F"/>
    <w:rsid w:val="006B10E3"/>
    <w:rsid w:val="006B11D9"/>
    <w:rsid w:val="006B12CE"/>
    <w:rsid w:val="006B3742"/>
    <w:rsid w:val="006B44C7"/>
    <w:rsid w:val="006B4AAD"/>
    <w:rsid w:val="006B5175"/>
    <w:rsid w:val="006B7622"/>
    <w:rsid w:val="006C18E4"/>
    <w:rsid w:val="006C44B5"/>
    <w:rsid w:val="006C469D"/>
    <w:rsid w:val="006C48CA"/>
    <w:rsid w:val="006D14A0"/>
    <w:rsid w:val="006D16E2"/>
    <w:rsid w:val="006D1F2F"/>
    <w:rsid w:val="006D22F7"/>
    <w:rsid w:val="006D36DC"/>
    <w:rsid w:val="006D4357"/>
    <w:rsid w:val="006D48F4"/>
    <w:rsid w:val="006D4BB6"/>
    <w:rsid w:val="006E0763"/>
    <w:rsid w:val="006E31A3"/>
    <w:rsid w:val="006E4F3F"/>
    <w:rsid w:val="006E73DC"/>
    <w:rsid w:val="006F030F"/>
    <w:rsid w:val="006F0BD5"/>
    <w:rsid w:val="006F10B1"/>
    <w:rsid w:val="006F133E"/>
    <w:rsid w:val="006F13C2"/>
    <w:rsid w:val="006F3BD4"/>
    <w:rsid w:val="006F43DF"/>
    <w:rsid w:val="006F4CE6"/>
    <w:rsid w:val="006F6532"/>
    <w:rsid w:val="006F6873"/>
    <w:rsid w:val="00701B97"/>
    <w:rsid w:val="007055FD"/>
    <w:rsid w:val="00705927"/>
    <w:rsid w:val="0071109C"/>
    <w:rsid w:val="00712097"/>
    <w:rsid w:val="00712BC8"/>
    <w:rsid w:val="007177A3"/>
    <w:rsid w:val="00720CD6"/>
    <w:rsid w:val="00722B3A"/>
    <w:rsid w:val="00734BD0"/>
    <w:rsid w:val="00734FC9"/>
    <w:rsid w:val="0073667F"/>
    <w:rsid w:val="00737BC5"/>
    <w:rsid w:val="007411A3"/>
    <w:rsid w:val="00742E41"/>
    <w:rsid w:val="007526D8"/>
    <w:rsid w:val="00752C51"/>
    <w:rsid w:val="0075302E"/>
    <w:rsid w:val="00754CEC"/>
    <w:rsid w:val="00755B43"/>
    <w:rsid w:val="007603F4"/>
    <w:rsid w:val="007605F9"/>
    <w:rsid w:val="00760615"/>
    <w:rsid w:val="007643D1"/>
    <w:rsid w:val="00767250"/>
    <w:rsid w:val="00770264"/>
    <w:rsid w:val="00771C02"/>
    <w:rsid w:val="00774021"/>
    <w:rsid w:val="00775370"/>
    <w:rsid w:val="00776931"/>
    <w:rsid w:val="00782BE6"/>
    <w:rsid w:val="00783D17"/>
    <w:rsid w:val="00784168"/>
    <w:rsid w:val="00784446"/>
    <w:rsid w:val="00784865"/>
    <w:rsid w:val="007859F8"/>
    <w:rsid w:val="00786412"/>
    <w:rsid w:val="007921DA"/>
    <w:rsid w:val="00792C07"/>
    <w:rsid w:val="00794F1B"/>
    <w:rsid w:val="007A0090"/>
    <w:rsid w:val="007A07AE"/>
    <w:rsid w:val="007A242E"/>
    <w:rsid w:val="007A2C39"/>
    <w:rsid w:val="007A4B00"/>
    <w:rsid w:val="007A5E44"/>
    <w:rsid w:val="007B22F5"/>
    <w:rsid w:val="007B534F"/>
    <w:rsid w:val="007B5BB4"/>
    <w:rsid w:val="007B6E40"/>
    <w:rsid w:val="007C026D"/>
    <w:rsid w:val="007C1560"/>
    <w:rsid w:val="007C1CE3"/>
    <w:rsid w:val="007C63D1"/>
    <w:rsid w:val="007C66D1"/>
    <w:rsid w:val="007D12CC"/>
    <w:rsid w:val="007D18B9"/>
    <w:rsid w:val="007D762B"/>
    <w:rsid w:val="007E51C9"/>
    <w:rsid w:val="007E5425"/>
    <w:rsid w:val="007E5AE2"/>
    <w:rsid w:val="007E6DB7"/>
    <w:rsid w:val="007F03C9"/>
    <w:rsid w:val="007F042B"/>
    <w:rsid w:val="007F04BB"/>
    <w:rsid w:val="007F215C"/>
    <w:rsid w:val="007F37E4"/>
    <w:rsid w:val="007F493E"/>
    <w:rsid w:val="007F7B79"/>
    <w:rsid w:val="007F7C46"/>
    <w:rsid w:val="00801CA3"/>
    <w:rsid w:val="00801DF4"/>
    <w:rsid w:val="008020DE"/>
    <w:rsid w:val="00802C18"/>
    <w:rsid w:val="00803B25"/>
    <w:rsid w:val="008040A5"/>
    <w:rsid w:val="00804414"/>
    <w:rsid w:val="00806C11"/>
    <w:rsid w:val="00810138"/>
    <w:rsid w:val="00810291"/>
    <w:rsid w:val="00810BF2"/>
    <w:rsid w:val="008154B0"/>
    <w:rsid w:val="00816C40"/>
    <w:rsid w:val="00817260"/>
    <w:rsid w:val="00825C9C"/>
    <w:rsid w:val="00825F89"/>
    <w:rsid w:val="008267DA"/>
    <w:rsid w:val="0083045A"/>
    <w:rsid w:val="0083054E"/>
    <w:rsid w:val="00832717"/>
    <w:rsid w:val="0083794B"/>
    <w:rsid w:val="00840143"/>
    <w:rsid w:val="008427B5"/>
    <w:rsid w:val="00844D58"/>
    <w:rsid w:val="00847A27"/>
    <w:rsid w:val="00851A6A"/>
    <w:rsid w:val="00852CE8"/>
    <w:rsid w:val="008532EF"/>
    <w:rsid w:val="008564D2"/>
    <w:rsid w:val="00856AD7"/>
    <w:rsid w:val="00857E33"/>
    <w:rsid w:val="0086163A"/>
    <w:rsid w:val="0086240B"/>
    <w:rsid w:val="00863702"/>
    <w:rsid w:val="00863FC4"/>
    <w:rsid w:val="008640D9"/>
    <w:rsid w:val="008643CF"/>
    <w:rsid w:val="0086606F"/>
    <w:rsid w:val="00872278"/>
    <w:rsid w:val="00872335"/>
    <w:rsid w:val="00872FDA"/>
    <w:rsid w:val="008746BA"/>
    <w:rsid w:val="00874AFB"/>
    <w:rsid w:val="00875006"/>
    <w:rsid w:val="0087533A"/>
    <w:rsid w:val="00875D09"/>
    <w:rsid w:val="00882287"/>
    <w:rsid w:val="008837D6"/>
    <w:rsid w:val="00883FA7"/>
    <w:rsid w:val="0088512B"/>
    <w:rsid w:val="00892421"/>
    <w:rsid w:val="00892F07"/>
    <w:rsid w:val="00895E84"/>
    <w:rsid w:val="00897C15"/>
    <w:rsid w:val="008A0C73"/>
    <w:rsid w:val="008A2446"/>
    <w:rsid w:val="008A2803"/>
    <w:rsid w:val="008A38D6"/>
    <w:rsid w:val="008A4E23"/>
    <w:rsid w:val="008A6941"/>
    <w:rsid w:val="008A6BFB"/>
    <w:rsid w:val="008A6D90"/>
    <w:rsid w:val="008A6E24"/>
    <w:rsid w:val="008B1489"/>
    <w:rsid w:val="008B2739"/>
    <w:rsid w:val="008B4B0D"/>
    <w:rsid w:val="008B504C"/>
    <w:rsid w:val="008B5AC4"/>
    <w:rsid w:val="008B7726"/>
    <w:rsid w:val="008C2AED"/>
    <w:rsid w:val="008C3095"/>
    <w:rsid w:val="008C500E"/>
    <w:rsid w:val="008C517F"/>
    <w:rsid w:val="008C7F19"/>
    <w:rsid w:val="008D08E4"/>
    <w:rsid w:val="008D1872"/>
    <w:rsid w:val="008D4568"/>
    <w:rsid w:val="008D6B45"/>
    <w:rsid w:val="008E1C36"/>
    <w:rsid w:val="008E4864"/>
    <w:rsid w:val="008E595E"/>
    <w:rsid w:val="008E69B1"/>
    <w:rsid w:val="008E6B49"/>
    <w:rsid w:val="008F2CFB"/>
    <w:rsid w:val="008F3989"/>
    <w:rsid w:val="008F536D"/>
    <w:rsid w:val="008F71D2"/>
    <w:rsid w:val="00901982"/>
    <w:rsid w:val="009025AD"/>
    <w:rsid w:val="00903461"/>
    <w:rsid w:val="009049A9"/>
    <w:rsid w:val="00906906"/>
    <w:rsid w:val="009070D9"/>
    <w:rsid w:val="009107FD"/>
    <w:rsid w:val="00910A29"/>
    <w:rsid w:val="00910B0B"/>
    <w:rsid w:val="00911810"/>
    <w:rsid w:val="00911F34"/>
    <w:rsid w:val="00913E9B"/>
    <w:rsid w:val="00913FE3"/>
    <w:rsid w:val="0091542F"/>
    <w:rsid w:val="00916E9A"/>
    <w:rsid w:val="009207BD"/>
    <w:rsid w:val="00921114"/>
    <w:rsid w:val="00921360"/>
    <w:rsid w:val="009216B2"/>
    <w:rsid w:val="00921A45"/>
    <w:rsid w:val="00923E05"/>
    <w:rsid w:val="0092457F"/>
    <w:rsid w:val="00925070"/>
    <w:rsid w:val="009252DD"/>
    <w:rsid w:val="00927B9A"/>
    <w:rsid w:val="00932335"/>
    <w:rsid w:val="0093278C"/>
    <w:rsid w:val="009332D9"/>
    <w:rsid w:val="00933481"/>
    <w:rsid w:val="00934A4D"/>
    <w:rsid w:val="0093560D"/>
    <w:rsid w:val="00935C7B"/>
    <w:rsid w:val="0093717C"/>
    <w:rsid w:val="00937188"/>
    <w:rsid w:val="00940EEF"/>
    <w:rsid w:val="00941225"/>
    <w:rsid w:val="009415BF"/>
    <w:rsid w:val="009429CE"/>
    <w:rsid w:val="009431E1"/>
    <w:rsid w:val="00943CC6"/>
    <w:rsid w:val="00943DD9"/>
    <w:rsid w:val="00947AA3"/>
    <w:rsid w:val="0095015E"/>
    <w:rsid w:val="009501F6"/>
    <w:rsid w:val="009502D2"/>
    <w:rsid w:val="00950DD4"/>
    <w:rsid w:val="009525DF"/>
    <w:rsid w:val="0095361E"/>
    <w:rsid w:val="00954BE3"/>
    <w:rsid w:val="00954D93"/>
    <w:rsid w:val="00956DE4"/>
    <w:rsid w:val="00961610"/>
    <w:rsid w:val="00962E7D"/>
    <w:rsid w:val="00963703"/>
    <w:rsid w:val="0096562C"/>
    <w:rsid w:val="00965FF5"/>
    <w:rsid w:val="00966A50"/>
    <w:rsid w:val="0096721B"/>
    <w:rsid w:val="0096789F"/>
    <w:rsid w:val="009701C0"/>
    <w:rsid w:val="009703A7"/>
    <w:rsid w:val="00971264"/>
    <w:rsid w:val="00974037"/>
    <w:rsid w:val="009746CB"/>
    <w:rsid w:val="00975698"/>
    <w:rsid w:val="00976DE2"/>
    <w:rsid w:val="009804A7"/>
    <w:rsid w:val="009804DD"/>
    <w:rsid w:val="00983C62"/>
    <w:rsid w:val="00985D89"/>
    <w:rsid w:val="0099163F"/>
    <w:rsid w:val="0099260B"/>
    <w:rsid w:val="00992A98"/>
    <w:rsid w:val="009937D6"/>
    <w:rsid w:val="0099399A"/>
    <w:rsid w:val="009948B6"/>
    <w:rsid w:val="0099506E"/>
    <w:rsid w:val="00995767"/>
    <w:rsid w:val="009965C2"/>
    <w:rsid w:val="009977FE"/>
    <w:rsid w:val="00997E13"/>
    <w:rsid w:val="009A0043"/>
    <w:rsid w:val="009A03BD"/>
    <w:rsid w:val="009A14A8"/>
    <w:rsid w:val="009A4605"/>
    <w:rsid w:val="009B13C1"/>
    <w:rsid w:val="009B2063"/>
    <w:rsid w:val="009C01F9"/>
    <w:rsid w:val="009C2103"/>
    <w:rsid w:val="009C3FA0"/>
    <w:rsid w:val="009C4AED"/>
    <w:rsid w:val="009D0190"/>
    <w:rsid w:val="009D04B1"/>
    <w:rsid w:val="009D1F7E"/>
    <w:rsid w:val="009D3D16"/>
    <w:rsid w:val="009D57E7"/>
    <w:rsid w:val="009D65AD"/>
    <w:rsid w:val="009D748F"/>
    <w:rsid w:val="009E022C"/>
    <w:rsid w:val="009E02A9"/>
    <w:rsid w:val="009E105D"/>
    <w:rsid w:val="009E38FE"/>
    <w:rsid w:val="009E6E7F"/>
    <w:rsid w:val="009F28C2"/>
    <w:rsid w:val="009F3BE4"/>
    <w:rsid w:val="009F3F9C"/>
    <w:rsid w:val="009F5AC8"/>
    <w:rsid w:val="00A00300"/>
    <w:rsid w:val="00A00A19"/>
    <w:rsid w:val="00A06514"/>
    <w:rsid w:val="00A116FD"/>
    <w:rsid w:val="00A11EB1"/>
    <w:rsid w:val="00A1261B"/>
    <w:rsid w:val="00A143E8"/>
    <w:rsid w:val="00A15F8A"/>
    <w:rsid w:val="00A16BCF"/>
    <w:rsid w:val="00A17409"/>
    <w:rsid w:val="00A205E3"/>
    <w:rsid w:val="00A237D2"/>
    <w:rsid w:val="00A24BD9"/>
    <w:rsid w:val="00A254A5"/>
    <w:rsid w:val="00A26ABA"/>
    <w:rsid w:val="00A2715D"/>
    <w:rsid w:val="00A272CE"/>
    <w:rsid w:val="00A272FF"/>
    <w:rsid w:val="00A31129"/>
    <w:rsid w:val="00A31716"/>
    <w:rsid w:val="00A3318F"/>
    <w:rsid w:val="00A3375C"/>
    <w:rsid w:val="00A33A8D"/>
    <w:rsid w:val="00A33D5B"/>
    <w:rsid w:val="00A36024"/>
    <w:rsid w:val="00A36D27"/>
    <w:rsid w:val="00A4037B"/>
    <w:rsid w:val="00A42F4D"/>
    <w:rsid w:val="00A43279"/>
    <w:rsid w:val="00A43798"/>
    <w:rsid w:val="00A43AD7"/>
    <w:rsid w:val="00A44C64"/>
    <w:rsid w:val="00A45D9F"/>
    <w:rsid w:val="00A4609A"/>
    <w:rsid w:val="00A462C0"/>
    <w:rsid w:val="00A51C7B"/>
    <w:rsid w:val="00A52BC3"/>
    <w:rsid w:val="00A544E2"/>
    <w:rsid w:val="00A6109B"/>
    <w:rsid w:val="00A66FDE"/>
    <w:rsid w:val="00A67BA8"/>
    <w:rsid w:val="00A703E9"/>
    <w:rsid w:val="00A71264"/>
    <w:rsid w:val="00A7158C"/>
    <w:rsid w:val="00A72534"/>
    <w:rsid w:val="00A72AD8"/>
    <w:rsid w:val="00A72C69"/>
    <w:rsid w:val="00A73C70"/>
    <w:rsid w:val="00A74EC1"/>
    <w:rsid w:val="00A77881"/>
    <w:rsid w:val="00A77E92"/>
    <w:rsid w:val="00A819C5"/>
    <w:rsid w:val="00A90F87"/>
    <w:rsid w:val="00A91460"/>
    <w:rsid w:val="00A914B4"/>
    <w:rsid w:val="00A93E49"/>
    <w:rsid w:val="00A969E7"/>
    <w:rsid w:val="00AA0411"/>
    <w:rsid w:val="00AA04B4"/>
    <w:rsid w:val="00AA204E"/>
    <w:rsid w:val="00AA569E"/>
    <w:rsid w:val="00AB00BB"/>
    <w:rsid w:val="00AB1148"/>
    <w:rsid w:val="00AB1A85"/>
    <w:rsid w:val="00AB21DF"/>
    <w:rsid w:val="00AB64A8"/>
    <w:rsid w:val="00AB70C2"/>
    <w:rsid w:val="00AB74E6"/>
    <w:rsid w:val="00AB7D99"/>
    <w:rsid w:val="00AC091B"/>
    <w:rsid w:val="00AC27C2"/>
    <w:rsid w:val="00AC2850"/>
    <w:rsid w:val="00AC307B"/>
    <w:rsid w:val="00AC3A25"/>
    <w:rsid w:val="00AC418F"/>
    <w:rsid w:val="00AC4C83"/>
    <w:rsid w:val="00AC5DE8"/>
    <w:rsid w:val="00AC64CF"/>
    <w:rsid w:val="00AC6C2A"/>
    <w:rsid w:val="00AD3C08"/>
    <w:rsid w:val="00AD44FE"/>
    <w:rsid w:val="00AD46BC"/>
    <w:rsid w:val="00AE1BDF"/>
    <w:rsid w:val="00AE3F93"/>
    <w:rsid w:val="00AE53E5"/>
    <w:rsid w:val="00AE6391"/>
    <w:rsid w:val="00AE684E"/>
    <w:rsid w:val="00AE74B5"/>
    <w:rsid w:val="00AF3B4B"/>
    <w:rsid w:val="00AF5416"/>
    <w:rsid w:val="00B00648"/>
    <w:rsid w:val="00B00D13"/>
    <w:rsid w:val="00B01607"/>
    <w:rsid w:val="00B01EB7"/>
    <w:rsid w:val="00B038DF"/>
    <w:rsid w:val="00B049C1"/>
    <w:rsid w:val="00B052CE"/>
    <w:rsid w:val="00B06D3D"/>
    <w:rsid w:val="00B11DE5"/>
    <w:rsid w:val="00B13AF6"/>
    <w:rsid w:val="00B14975"/>
    <w:rsid w:val="00B15A49"/>
    <w:rsid w:val="00B16B36"/>
    <w:rsid w:val="00B1708D"/>
    <w:rsid w:val="00B21A0F"/>
    <w:rsid w:val="00B223D1"/>
    <w:rsid w:val="00B2415D"/>
    <w:rsid w:val="00B247A1"/>
    <w:rsid w:val="00B249AA"/>
    <w:rsid w:val="00B24EC1"/>
    <w:rsid w:val="00B25DC8"/>
    <w:rsid w:val="00B27ADD"/>
    <w:rsid w:val="00B31607"/>
    <w:rsid w:val="00B328C1"/>
    <w:rsid w:val="00B32F07"/>
    <w:rsid w:val="00B336CB"/>
    <w:rsid w:val="00B34EBA"/>
    <w:rsid w:val="00B351BC"/>
    <w:rsid w:val="00B35682"/>
    <w:rsid w:val="00B35776"/>
    <w:rsid w:val="00B357ED"/>
    <w:rsid w:val="00B362A6"/>
    <w:rsid w:val="00B36441"/>
    <w:rsid w:val="00B407B5"/>
    <w:rsid w:val="00B4170C"/>
    <w:rsid w:val="00B421B0"/>
    <w:rsid w:val="00B42648"/>
    <w:rsid w:val="00B42FDD"/>
    <w:rsid w:val="00B43A10"/>
    <w:rsid w:val="00B44AE6"/>
    <w:rsid w:val="00B47870"/>
    <w:rsid w:val="00B47B30"/>
    <w:rsid w:val="00B47F85"/>
    <w:rsid w:val="00B500F9"/>
    <w:rsid w:val="00B50F6C"/>
    <w:rsid w:val="00B525D2"/>
    <w:rsid w:val="00B5276F"/>
    <w:rsid w:val="00B53AF2"/>
    <w:rsid w:val="00B56C8F"/>
    <w:rsid w:val="00B61238"/>
    <w:rsid w:val="00B62DF0"/>
    <w:rsid w:val="00B6331C"/>
    <w:rsid w:val="00B65DF9"/>
    <w:rsid w:val="00B6646C"/>
    <w:rsid w:val="00B67386"/>
    <w:rsid w:val="00B702B9"/>
    <w:rsid w:val="00B710A3"/>
    <w:rsid w:val="00B732DD"/>
    <w:rsid w:val="00B74084"/>
    <w:rsid w:val="00B74320"/>
    <w:rsid w:val="00B74F4D"/>
    <w:rsid w:val="00B766AB"/>
    <w:rsid w:val="00B7690A"/>
    <w:rsid w:val="00B76F0D"/>
    <w:rsid w:val="00B80219"/>
    <w:rsid w:val="00B80C14"/>
    <w:rsid w:val="00B810F2"/>
    <w:rsid w:val="00B81FD6"/>
    <w:rsid w:val="00B829FA"/>
    <w:rsid w:val="00B84880"/>
    <w:rsid w:val="00B84D85"/>
    <w:rsid w:val="00B858D6"/>
    <w:rsid w:val="00B9063E"/>
    <w:rsid w:val="00B9571D"/>
    <w:rsid w:val="00B96014"/>
    <w:rsid w:val="00B96626"/>
    <w:rsid w:val="00B97593"/>
    <w:rsid w:val="00B9797C"/>
    <w:rsid w:val="00BA09A5"/>
    <w:rsid w:val="00BA2082"/>
    <w:rsid w:val="00BA293D"/>
    <w:rsid w:val="00BA2E72"/>
    <w:rsid w:val="00BA554C"/>
    <w:rsid w:val="00BA6B26"/>
    <w:rsid w:val="00BA7AC7"/>
    <w:rsid w:val="00BB21B3"/>
    <w:rsid w:val="00BB7820"/>
    <w:rsid w:val="00BB79B3"/>
    <w:rsid w:val="00BC4CF1"/>
    <w:rsid w:val="00BC5FDE"/>
    <w:rsid w:val="00BC6458"/>
    <w:rsid w:val="00BC7284"/>
    <w:rsid w:val="00BD04EE"/>
    <w:rsid w:val="00BD1415"/>
    <w:rsid w:val="00BD1E80"/>
    <w:rsid w:val="00BD2056"/>
    <w:rsid w:val="00BD6E26"/>
    <w:rsid w:val="00BD6EBE"/>
    <w:rsid w:val="00BD7333"/>
    <w:rsid w:val="00BD78CB"/>
    <w:rsid w:val="00BD7F47"/>
    <w:rsid w:val="00BE0283"/>
    <w:rsid w:val="00BE22DE"/>
    <w:rsid w:val="00BE2595"/>
    <w:rsid w:val="00BE4543"/>
    <w:rsid w:val="00BE5049"/>
    <w:rsid w:val="00BE7484"/>
    <w:rsid w:val="00BE7B14"/>
    <w:rsid w:val="00BE7C45"/>
    <w:rsid w:val="00C00876"/>
    <w:rsid w:val="00C01679"/>
    <w:rsid w:val="00C01C43"/>
    <w:rsid w:val="00C05F42"/>
    <w:rsid w:val="00C071B9"/>
    <w:rsid w:val="00C07FD8"/>
    <w:rsid w:val="00C11124"/>
    <w:rsid w:val="00C12C1E"/>
    <w:rsid w:val="00C12D87"/>
    <w:rsid w:val="00C156C3"/>
    <w:rsid w:val="00C16F40"/>
    <w:rsid w:val="00C16F80"/>
    <w:rsid w:val="00C17D3D"/>
    <w:rsid w:val="00C25DB0"/>
    <w:rsid w:val="00C27E21"/>
    <w:rsid w:val="00C314B5"/>
    <w:rsid w:val="00C318E3"/>
    <w:rsid w:val="00C33066"/>
    <w:rsid w:val="00C3559B"/>
    <w:rsid w:val="00C4292A"/>
    <w:rsid w:val="00C456F1"/>
    <w:rsid w:val="00C45975"/>
    <w:rsid w:val="00C473BD"/>
    <w:rsid w:val="00C51B28"/>
    <w:rsid w:val="00C52C5C"/>
    <w:rsid w:val="00C5304B"/>
    <w:rsid w:val="00C53C1F"/>
    <w:rsid w:val="00C53E73"/>
    <w:rsid w:val="00C55717"/>
    <w:rsid w:val="00C565E2"/>
    <w:rsid w:val="00C612AF"/>
    <w:rsid w:val="00C6432B"/>
    <w:rsid w:val="00C66503"/>
    <w:rsid w:val="00C665E9"/>
    <w:rsid w:val="00C670AD"/>
    <w:rsid w:val="00C670CA"/>
    <w:rsid w:val="00C67CE6"/>
    <w:rsid w:val="00C70CE3"/>
    <w:rsid w:val="00C735E7"/>
    <w:rsid w:val="00C74112"/>
    <w:rsid w:val="00C745E0"/>
    <w:rsid w:val="00C83C4B"/>
    <w:rsid w:val="00C843A8"/>
    <w:rsid w:val="00C86835"/>
    <w:rsid w:val="00C90B5A"/>
    <w:rsid w:val="00C90F4B"/>
    <w:rsid w:val="00C915A8"/>
    <w:rsid w:val="00C91F32"/>
    <w:rsid w:val="00C93074"/>
    <w:rsid w:val="00C94371"/>
    <w:rsid w:val="00C9461B"/>
    <w:rsid w:val="00C952FF"/>
    <w:rsid w:val="00C9560B"/>
    <w:rsid w:val="00CA1040"/>
    <w:rsid w:val="00CA2377"/>
    <w:rsid w:val="00CA35A3"/>
    <w:rsid w:val="00CA476C"/>
    <w:rsid w:val="00CB2084"/>
    <w:rsid w:val="00CB2ECA"/>
    <w:rsid w:val="00CB4E44"/>
    <w:rsid w:val="00CB5D3A"/>
    <w:rsid w:val="00CB6B03"/>
    <w:rsid w:val="00CC1032"/>
    <w:rsid w:val="00CC4F7F"/>
    <w:rsid w:val="00CC7C2D"/>
    <w:rsid w:val="00CD0E75"/>
    <w:rsid w:val="00CD32E2"/>
    <w:rsid w:val="00CE0E8D"/>
    <w:rsid w:val="00CE1D52"/>
    <w:rsid w:val="00CE3E8C"/>
    <w:rsid w:val="00CE4717"/>
    <w:rsid w:val="00CE4AA2"/>
    <w:rsid w:val="00CE5190"/>
    <w:rsid w:val="00CE5DAC"/>
    <w:rsid w:val="00CE5FF4"/>
    <w:rsid w:val="00CE7CCB"/>
    <w:rsid w:val="00CF1B1B"/>
    <w:rsid w:val="00CF26AD"/>
    <w:rsid w:val="00CF3326"/>
    <w:rsid w:val="00CF3365"/>
    <w:rsid w:val="00CF346F"/>
    <w:rsid w:val="00CF4431"/>
    <w:rsid w:val="00CF4E76"/>
    <w:rsid w:val="00CF5C5F"/>
    <w:rsid w:val="00CF5EB0"/>
    <w:rsid w:val="00D04023"/>
    <w:rsid w:val="00D05ABE"/>
    <w:rsid w:val="00D07F8F"/>
    <w:rsid w:val="00D10078"/>
    <w:rsid w:val="00D107C2"/>
    <w:rsid w:val="00D10861"/>
    <w:rsid w:val="00D10947"/>
    <w:rsid w:val="00D10C2D"/>
    <w:rsid w:val="00D11D3C"/>
    <w:rsid w:val="00D13481"/>
    <w:rsid w:val="00D14B9E"/>
    <w:rsid w:val="00D224F8"/>
    <w:rsid w:val="00D24434"/>
    <w:rsid w:val="00D31D50"/>
    <w:rsid w:val="00D340FE"/>
    <w:rsid w:val="00D36554"/>
    <w:rsid w:val="00D37166"/>
    <w:rsid w:val="00D43645"/>
    <w:rsid w:val="00D44118"/>
    <w:rsid w:val="00D45C7B"/>
    <w:rsid w:val="00D45CC8"/>
    <w:rsid w:val="00D46623"/>
    <w:rsid w:val="00D47248"/>
    <w:rsid w:val="00D51D21"/>
    <w:rsid w:val="00D52933"/>
    <w:rsid w:val="00D5400B"/>
    <w:rsid w:val="00D54E55"/>
    <w:rsid w:val="00D61E4C"/>
    <w:rsid w:val="00D62587"/>
    <w:rsid w:val="00D648AB"/>
    <w:rsid w:val="00D64FD0"/>
    <w:rsid w:val="00D66466"/>
    <w:rsid w:val="00D70207"/>
    <w:rsid w:val="00D71087"/>
    <w:rsid w:val="00D72597"/>
    <w:rsid w:val="00D742C0"/>
    <w:rsid w:val="00D74340"/>
    <w:rsid w:val="00D77309"/>
    <w:rsid w:val="00D82155"/>
    <w:rsid w:val="00D821D1"/>
    <w:rsid w:val="00D85CE8"/>
    <w:rsid w:val="00D86C3E"/>
    <w:rsid w:val="00D87777"/>
    <w:rsid w:val="00D900BF"/>
    <w:rsid w:val="00D90E63"/>
    <w:rsid w:val="00D91623"/>
    <w:rsid w:val="00D938FE"/>
    <w:rsid w:val="00D96C3B"/>
    <w:rsid w:val="00D97478"/>
    <w:rsid w:val="00DA1894"/>
    <w:rsid w:val="00DA2C01"/>
    <w:rsid w:val="00DA382D"/>
    <w:rsid w:val="00DA3972"/>
    <w:rsid w:val="00DB1F8D"/>
    <w:rsid w:val="00DB2DC5"/>
    <w:rsid w:val="00DB4C0A"/>
    <w:rsid w:val="00DB5813"/>
    <w:rsid w:val="00DB674A"/>
    <w:rsid w:val="00DB6762"/>
    <w:rsid w:val="00DB6C66"/>
    <w:rsid w:val="00DB6C8A"/>
    <w:rsid w:val="00DC0E58"/>
    <w:rsid w:val="00DC3068"/>
    <w:rsid w:val="00DC3F01"/>
    <w:rsid w:val="00DD2579"/>
    <w:rsid w:val="00DD37C9"/>
    <w:rsid w:val="00DD4FFA"/>
    <w:rsid w:val="00DD65B3"/>
    <w:rsid w:val="00DE0187"/>
    <w:rsid w:val="00DE0F0C"/>
    <w:rsid w:val="00DE2736"/>
    <w:rsid w:val="00DE3D45"/>
    <w:rsid w:val="00DE42E7"/>
    <w:rsid w:val="00DE7A76"/>
    <w:rsid w:val="00DF0136"/>
    <w:rsid w:val="00DF1EE8"/>
    <w:rsid w:val="00DF63C5"/>
    <w:rsid w:val="00E00012"/>
    <w:rsid w:val="00E01202"/>
    <w:rsid w:val="00E013AE"/>
    <w:rsid w:val="00E01651"/>
    <w:rsid w:val="00E04849"/>
    <w:rsid w:val="00E061CC"/>
    <w:rsid w:val="00E07AE2"/>
    <w:rsid w:val="00E12555"/>
    <w:rsid w:val="00E1280C"/>
    <w:rsid w:val="00E130AD"/>
    <w:rsid w:val="00E1351C"/>
    <w:rsid w:val="00E15973"/>
    <w:rsid w:val="00E17BB1"/>
    <w:rsid w:val="00E2058E"/>
    <w:rsid w:val="00E245BE"/>
    <w:rsid w:val="00E24A1A"/>
    <w:rsid w:val="00E255DC"/>
    <w:rsid w:val="00E26091"/>
    <w:rsid w:val="00E27D84"/>
    <w:rsid w:val="00E30AD5"/>
    <w:rsid w:val="00E36164"/>
    <w:rsid w:val="00E37F0B"/>
    <w:rsid w:val="00E40A63"/>
    <w:rsid w:val="00E422EE"/>
    <w:rsid w:val="00E43AEA"/>
    <w:rsid w:val="00E43C49"/>
    <w:rsid w:val="00E45990"/>
    <w:rsid w:val="00E45B48"/>
    <w:rsid w:val="00E47F5A"/>
    <w:rsid w:val="00E51FE7"/>
    <w:rsid w:val="00E5280E"/>
    <w:rsid w:val="00E537C8"/>
    <w:rsid w:val="00E55726"/>
    <w:rsid w:val="00E55E73"/>
    <w:rsid w:val="00E625CE"/>
    <w:rsid w:val="00E70025"/>
    <w:rsid w:val="00E73632"/>
    <w:rsid w:val="00E75AD3"/>
    <w:rsid w:val="00E8023D"/>
    <w:rsid w:val="00E8043D"/>
    <w:rsid w:val="00E8197A"/>
    <w:rsid w:val="00E81D52"/>
    <w:rsid w:val="00E834F7"/>
    <w:rsid w:val="00E840FE"/>
    <w:rsid w:val="00E84A4C"/>
    <w:rsid w:val="00E84FE8"/>
    <w:rsid w:val="00E86E92"/>
    <w:rsid w:val="00E93439"/>
    <w:rsid w:val="00E94217"/>
    <w:rsid w:val="00E95036"/>
    <w:rsid w:val="00E96352"/>
    <w:rsid w:val="00EA090D"/>
    <w:rsid w:val="00EA1A94"/>
    <w:rsid w:val="00EA54EA"/>
    <w:rsid w:val="00EA56DC"/>
    <w:rsid w:val="00EA627F"/>
    <w:rsid w:val="00EB203A"/>
    <w:rsid w:val="00EB3C6F"/>
    <w:rsid w:val="00EB4913"/>
    <w:rsid w:val="00EB65CA"/>
    <w:rsid w:val="00EC038D"/>
    <w:rsid w:val="00ED24EE"/>
    <w:rsid w:val="00ED46CC"/>
    <w:rsid w:val="00ED579F"/>
    <w:rsid w:val="00ED6264"/>
    <w:rsid w:val="00ED6985"/>
    <w:rsid w:val="00ED7769"/>
    <w:rsid w:val="00EE0BF7"/>
    <w:rsid w:val="00EE1142"/>
    <w:rsid w:val="00EE14FD"/>
    <w:rsid w:val="00EE1FEC"/>
    <w:rsid w:val="00EE32AA"/>
    <w:rsid w:val="00EE4158"/>
    <w:rsid w:val="00EE5BBE"/>
    <w:rsid w:val="00EF155D"/>
    <w:rsid w:val="00EF20AD"/>
    <w:rsid w:val="00EF4A0E"/>
    <w:rsid w:val="00EF6AED"/>
    <w:rsid w:val="00F00E5E"/>
    <w:rsid w:val="00F01761"/>
    <w:rsid w:val="00F02292"/>
    <w:rsid w:val="00F023D8"/>
    <w:rsid w:val="00F025F9"/>
    <w:rsid w:val="00F02F3E"/>
    <w:rsid w:val="00F0671C"/>
    <w:rsid w:val="00F06A87"/>
    <w:rsid w:val="00F13D76"/>
    <w:rsid w:val="00F140A9"/>
    <w:rsid w:val="00F149B8"/>
    <w:rsid w:val="00F15376"/>
    <w:rsid w:val="00F15A67"/>
    <w:rsid w:val="00F1671B"/>
    <w:rsid w:val="00F16823"/>
    <w:rsid w:val="00F1686A"/>
    <w:rsid w:val="00F175B2"/>
    <w:rsid w:val="00F1778B"/>
    <w:rsid w:val="00F2049B"/>
    <w:rsid w:val="00F21BBE"/>
    <w:rsid w:val="00F2253F"/>
    <w:rsid w:val="00F23D75"/>
    <w:rsid w:val="00F246AD"/>
    <w:rsid w:val="00F2679B"/>
    <w:rsid w:val="00F3348E"/>
    <w:rsid w:val="00F3362C"/>
    <w:rsid w:val="00F3567A"/>
    <w:rsid w:val="00F37E30"/>
    <w:rsid w:val="00F37E46"/>
    <w:rsid w:val="00F40109"/>
    <w:rsid w:val="00F42943"/>
    <w:rsid w:val="00F42F15"/>
    <w:rsid w:val="00F43BDE"/>
    <w:rsid w:val="00F4404D"/>
    <w:rsid w:val="00F44A2D"/>
    <w:rsid w:val="00F44BA3"/>
    <w:rsid w:val="00F44BE8"/>
    <w:rsid w:val="00F47FD6"/>
    <w:rsid w:val="00F51D2A"/>
    <w:rsid w:val="00F543D2"/>
    <w:rsid w:val="00F54650"/>
    <w:rsid w:val="00F54942"/>
    <w:rsid w:val="00F5496A"/>
    <w:rsid w:val="00F564A4"/>
    <w:rsid w:val="00F61DC8"/>
    <w:rsid w:val="00F627DE"/>
    <w:rsid w:val="00F647FC"/>
    <w:rsid w:val="00F65BDA"/>
    <w:rsid w:val="00F66447"/>
    <w:rsid w:val="00F674C3"/>
    <w:rsid w:val="00F7058C"/>
    <w:rsid w:val="00F7207B"/>
    <w:rsid w:val="00F73856"/>
    <w:rsid w:val="00F74157"/>
    <w:rsid w:val="00F748D9"/>
    <w:rsid w:val="00F7695F"/>
    <w:rsid w:val="00F76AE7"/>
    <w:rsid w:val="00F81D15"/>
    <w:rsid w:val="00F85DB4"/>
    <w:rsid w:val="00F90C36"/>
    <w:rsid w:val="00F96F3B"/>
    <w:rsid w:val="00FA010A"/>
    <w:rsid w:val="00FA39E7"/>
    <w:rsid w:val="00FA3A84"/>
    <w:rsid w:val="00FA3DE3"/>
    <w:rsid w:val="00FA4C49"/>
    <w:rsid w:val="00FB2AE2"/>
    <w:rsid w:val="00FB2C8E"/>
    <w:rsid w:val="00FB3368"/>
    <w:rsid w:val="00FB559D"/>
    <w:rsid w:val="00FB5ED0"/>
    <w:rsid w:val="00FC006B"/>
    <w:rsid w:val="00FC5100"/>
    <w:rsid w:val="00FC5D93"/>
    <w:rsid w:val="00FC65B7"/>
    <w:rsid w:val="00FC7689"/>
    <w:rsid w:val="00FC7968"/>
    <w:rsid w:val="00FD004C"/>
    <w:rsid w:val="00FD0261"/>
    <w:rsid w:val="00FD15CD"/>
    <w:rsid w:val="00FD2378"/>
    <w:rsid w:val="00FD4A7B"/>
    <w:rsid w:val="00FD628E"/>
    <w:rsid w:val="00FD6789"/>
    <w:rsid w:val="00FD7FD2"/>
    <w:rsid w:val="00FE1E03"/>
    <w:rsid w:val="00FE480D"/>
    <w:rsid w:val="00FE744B"/>
    <w:rsid w:val="00FE7C09"/>
    <w:rsid w:val="00FF3623"/>
    <w:rsid w:val="00FF54B0"/>
    <w:rsid w:val="00FF75D4"/>
    <w:rsid w:val="09C60D9D"/>
    <w:rsid w:val="0B8C3EEB"/>
    <w:rsid w:val="0DF7E528"/>
    <w:rsid w:val="10CE6784"/>
    <w:rsid w:val="129A9EC5"/>
    <w:rsid w:val="16FF2B05"/>
    <w:rsid w:val="17AC4D67"/>
    <w:rsid w:val="19FF2F1C"/>
    <w:rsid w:val="1ABD57E6"/>
    <w:rsid w:val="1CBA6888"/>
    <w:rsid w:val="1E763007"/>
    <w:rsid w:val="1F6AC542"/>
    <w:rsid w:val="1FCF5847"/>
    <w:rsid w:val="257F2D76"/>
    <w:rsid w:val="27679C3E"/>
    <w:rsid w:val="279F5DBA"/>
    <w:rsid w:val="27F69AC2"/>
    <w:rsid w:val="29F5B8B6"/>
    <w:rsid w:val="2FDAE690"/>
    <w:rsid w:val="30004677"/>
    <w:rsid w:val="33FF30D3"/>
    <w:rsid w:val="357F025B"/>
    <w:rsid w:val="39F67BF3"/>
    <w:rsid w:val="3B69EDAA"/>
    <w:rsid w:val="3B9FF28E"/>
    <w:rsid w:val="3ECA22D2"/>
    <w:rsid w:val="3EFC6298"/>
    <w:rsid w:val="3FF98395"/>
    <w:rsid w:val="42FE56AD"/>
    <w:rsid w:val="45EC0238"/>
    <w:rsid w:val="47A215D0"/>
    <w:rsid w:val="47C17F76"/>
    <w:rsid w:val="4FFC4972"/>
    <w:rsid w:val="4FFF954D"/>
    <w:rsid w:val="513FB03F"/>
    <w:rsid w:val="56170415"/>
    <w:rsid w:val="5AF72900"/>
    <w:rsid w:val="5D5F6043"/>
    <w:rsid w:val="5DBF951B"/>
    <w:rsid w:val="5F0D0843"/>
    <w:rsid w:val="5F5E74D9"/>
    <w:rsid w:val="5FF1FC9C"/>
    <w:rsid w:val="61677FB2"/>
    <w:rsid w:val="617649CA"/>
    <w:rsid w:val="61B40CF8"/>
    <w:rsid w:val="66773EC0"/>
    <w:rsid w:val="66FF14C1"/>
    <w:rsid w:val="67FBE451"/>
    <w:rsid w:val="6B4613BF"/>
    <w:rsid w:val="6D77267B"/>
    <w:rsid w:val="6DFD6D89"/>
    <w:rsid w:val="6F0DD8B1"/>
    <w:rsid w:val="6FDD57B1"/>
    <w:rsid w:val="6FEB6A5E"/>
    <w:rsid w:val="6FFEBABB"/>
    <w:rsid w:val="6FFF2D50"/>
    <w:rsid w:val="74E7770B"/>
    <w:rsid w:val="75DE05B2"/>
    <w:rsid w:val="76FBB806"/>
    <w:rsid w:val="77013F75"/>
    <w:rsid w:val="774FC39B"/>
    <w:rsid w:val="77FBDF2F"/>
    <w:rsid w:val="77FD321F"/>
    <w:rsid w:val="784B23BF"/>
    <w:rsid w:val="7BED89F9"/>
    <w:rsid w:val="7DD8205D"/>
    <w:rsid w:val="7DEB6EC3"/>
    <w:rsid w:val="7DFF25AF"/>
    <w:rsid w:val="7E133941"/>
    <w:rsid w:val="7E5337E0"/>
    <w:rsid w:val="7E6D4D26"/>
    <w:rsid w:val="7E7377B5"/>
    <w:rsid w:val="7EDF622F"/>
    <w:rsid w:val="7F6937DC"/>
    <w:rsid w:val="7F7EA1BA"/>
    <w:rsid w:val="7FABB214"/>
    <w:rsid w:val="7FBEAE8E"/>
    <w:rsid w:val="7FBFEEE5"/>
    <w:rsid w:val="7FFF5EFF"/>
    <w:rsid w:val="96FE9D36"/>
    <w:rsid w:val="97FF6E20"/>
    <w:rsid w:val="9F773FBB"/>
    <w:rsid w:val="9F974390"/>
    <w:rsid w:val="A7CA4814"/>
    <w:rsid w:val="B0EB00E1"/>
    <w:rsid w:val="B7DF5ED4"/>
    <w:rsid w:val="BBB29455"/>
    <w:rsid w:val="BBDD4724"/>
    <w:rsid w:val="BD3A442C"/>
    <w:rsid w:val="BD5B07D0"/>
    <w:rsid w:val="BEE7D944"/>
    <w:rsid w:val="BEFF3E72"/>
    <w:rsid w:val="BF5FBC5E"/>
    <w:rsid w:val="BFF7A32F"/>
    <w:rsid w:val="C1FFB67A"/>
    <w:rsid w:val="CD37F596"/>
    <w:rsid w:val="CEF269FF"/>
    <w:rsid w:val="D1F73F48"/>
    <w:rsid w:val="D3735BB3"/>
    <w:rsid w:val="D9DFEB7F"/>
    <w:rsid w:val="DD2B1816"/>
    <w:rsid w:val="DF1488F3"/>
    <w:rsid w:val="DFFF54CD"/>
    <w:rsid w:val="DFFFD6CD"/>
    <w:rsid w:val="E776640B"/>
    <w:rsid w:val="EEDB536C"/>
    <w:rsid w:val="EF6F738E"/>
    <w:rsid w:val="EFBF5D1B"/>
    <w:rsid w:val="F6F81191"/>
    <w:rsid w:val="F77EC352"/>
    <w:rsid w:val="F9BAF956"/>
    <w:rsid w:val="FA7F1164"/>
    <w:rsid w:val="FAFE9D64"/>
    <w:rsid w:val="FB1D5B13"/>
    <w:rsid w:val="FBCF9619"/>
    <w:rsid w:val="FCF9E39A"/>
    <w:rsid w:val="FD7480F7"/>
    <w:rsid w:val="FDF74B73"/>
    <w:rsid w:val="FDF7DCE2"/>
    <w:rsid w:val="FDFE1A33"/>
    <w:rsid w:val="FECFD814"/>
    <w:rsid w:val="FEFC7561"/>
    <w:rsid w:val="FF55AF5E"/>
    <w:rsid w:val="FFB70DC1"/>
    <w:rsid w:val="FFDB667A"/>
    <w:rsid w:val="FFDF0B81"/>
    <w:rsid w:val="FFFD9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0"/>
      <w:ind w:left="1320"/>
    </w:pPr>
    <w:rPr>
      <w:rFonts w:asciiTheme="minorHAnsi" w:hAnsiTheme="minorHAnsi"/>
      <w:sz w:val="18"/>
      <w:szCs w:val="18"/>
    </w:rPr>
  </w:style>
  <w:style w:type="paragraph" w:styleId="7">
    <w:name w:val="Document Map"/>
    <w:basedOn w:val="1"/>
    <w:link w:val="38"/>
    <w:semiHidden/>
    <w:unhideWhenUsed/>
    <w:qFormat/>
    <w:uiPriority w:val="99"/>
    <w:rPr>
      <w:rFonts w:ascii="宋体" w:eastAsia="宋体"/>
      <w:sz w:val="18"/>
      <w:szCs w:val="18"/>
    </w:rPr>
  </w:style>
  <w:style w:type="paragraph" w:styleId="8">
    <w:name w:val="annotation text"/>
    <w:basedOn w:val="1"/>
    <w:link w:val="60"/>
    <w:semiHidden/>
    <w:unhideWhenUsed/>
    <w:qFormat/>
    <w:uiPriority w:val="99"/>
  </w:style>
  <w:style w:type="paragraph" w:styleId="9">
    <w:name w:val="Body Text"/>
    <w:basedOn w:val="1"/>
    <w:link w:val="51"/>
    <w:unhideWhenUsed/>
    <w:qFormat/>
    <w:uiPriority w:val="99"/>
    <w:pPr>
      <w:spacing w:after="120"/>
    </w:pPr>
  </w:style>
  <w:style w:type="paragraph" w:styleId="10">
    <w:name w:val="Body Text Indent"/>
    <w:basedOn w:val="1"/>
    <w:link w:val="44"/>
    <w:semiHidden/>
    <w:unhideWhenUsed/>
    <w:qFormat/>
    <w:uiPriority w:val="99"/>
    <w:pPr>
      <w:spacing w:after="120"/>
      <w:ind w:left="420" w:leftChars="200"/>
    </w:pPr>
  </w:style>
  <w:style w:type="paragraph" w:styleId="11">
    <w:name w:val="toc 5"/>
    <w:basedOn w:val="1"/>
    <w:next w:val="1"/>
    <w:unhideWhenUsed/>
    <w:qFormat/>
    <w:uiPriority w:val="39"/>
    <w:pPr>
      <w:spacing w:after="0"/>
      <w:ind w:left="880"/>
    </w:pPr>
    <w:rPr>
      <w:rFonts w:asciiTheme="minorHAnsi" w:hAnsiTheme="minorHAnsi"/>
      <w:sz w:val="18"/>
      <w:szCs w:val="18"/>
    </w:rPr>
  </w:style>
  <w:style w:type="paragraph" w:styleId="12">
    <w:name w:val="toc 3"/>
    <w:basedOn w:val="1"/>
    <w:next w:val="1"/>
    <w:unhideWhenUsed/>
    <w:qFormat/>
    <w:uiPriority w:val="39"/>
    <w:pPr>
      <w:spacing w:after="0"/>
      <w:ind w:left="440"/>
    </w:pPr>
    <w:rPr>
      <w:rFonts w:asciiTheme="minorHAnsi" w:hAnsiTheme="minorHAnsi"/>
      <w:i/>
      <w:iCs/>
      <w:sz w:val="20"/>
      <w:szCs w:val="20"/>
    </w:rPr>
  </w:style>
  <w:style w:type="paragraph" w:styleId="13">
    <w:name w:val="Plain Text"/>
    <w:basedOn w:val="1"/>
    <w:link w:val="35"/>
    <w:qFormat/>
    <w:uiPriority w:val="0"/>
    <w:pPr>
      <w:widowControl w:val="0"/>
      <w:adjustRightInd/>
      <w:snapToGrid/>
      <w:spacing w:after="0"/>
      <w:jc w:val="both"/>
    </w:pPr>
    <w:rPr>
      <w:rFonts w:ascii="宋体" w:hAnsi="Courier New" w:cs="Courier New" w:eastAsiaTheme="minorEastAsia"/>
      <w:kern w:val="2"/>
      <w:sz w:val="21"/>
      <w:szCs w:val="24"/>
    </w:rPr>
  </w:style>
  <w:style w:type="paragraph" w:styleId="14">
    <w:name w:val="toc 8"/>
    <w:basedOn w:val="1"/>
    <w:next w:val="1"/>
    <w:unhideWhenUsed/>
    <w:qFormat/>
    <w:uiPriority w:val="39"/>
    <w:pPr>
      <w:spacing w:after="0"/>
      <w:ind w:left="1540"/>
    </w:pPr>
    <w:rPr>
      <w:rFonts w:asciiTheme="minorHAnsi" w:hAnsiTheme="minorHAnsi"/>
      <w:sz w:val="18"/>
      <w:szCs w:val="18"/>
    </w:rPr>
  </w:style>
  <w:style w:type="paragraph" w:styleId="15">
    <w:name w:val="Body Text Indent 2"/>
    <w:basedOn w:val="1"/>
    <w:link w:val="37"/>
    <w:qFormat/>
    <w:uiPriority w:val="0"/>
    <w:pPr>
      <w:widowControl w:val="0"/>
      <w:adjustRightInd/>
      <w:snapToGrid/>
      <w:spacing w:after="120" w:line="480" w:lineRule="auto"/>
      <w:ind w:left="420" w:leftChars="200"/>
      <w:jc w:val="both"/>
    </w:pPr>
    <w:rPr>
      <w:rFonts w:ascii="Calibri" w:hAnsi="Calibri" w:eastAsia="宋体" w:cs="Times New Roman"/>
      <w:kern w:val="2"/>
      <w:sz w:val="21"/>
      <w:szCs w:val="24"/>
    </w:rPr>
  </w:style>
  <w:style w:type="paragraph" w:styleId="16">
    <w:name w:val="Balloon Text"/>
    <w:basedOn w:val="1"/>
    <w:link w:val="59"/>
    <w:semiHidden/>
    <w:unhideWhenUsed/>
    <w:qFormat/>
    <w:uiPriority w:val="99"/>
    <w:pPr>
      <w:spacing w:after="0"/>
    </w:pPr>
    <w:rPr>
      <w:sz w:val="18"/>
      <w:szCs w:val="18"/>
    </w:rPr>
  </w:style>
  <w:style w:type="paragraph" w:styleId="17">
    <w:name w:val="footer"/>
    <w:basedOn w:val="1"/>
    <w:link w:val="48"/>
    <w:unhideWhenUsed/>
    <w:qFormat/>
    <w:uiPriority w:val="99"/>
    <w:pPr>
      <w:widowControl w:val="0"/>
      <w:tabs>
        <w:tab w:val="center" w:pos="4153"/>
        <w:tab w:val="right" w:pos="8306"/>
      </w:tabs>
      <w:adjustRightInd/>
      <w:spacing w:after="0"/>
      <w:ind w:firstLine="200" w:firstLineChars="200"/>
    </w:pPr>
    <w:rPr>
      <w:rFonts w:ascii="Times New Roman" w:hAnsi="Times New Roman" w:eastAsia="仿宋"/>
      <w:kern w:val="2"/>
      <w:sz w:val="18"/>
      <w:szCs w:val="18"/>
    </w:rPr>
  </w:style>
  <w:style w:type="paragraph" w:styleId="18">
    <w:name w:val="header"/>
    <w:basedOn w:val="1"/>
    <w:link w:val="58"/>
    <w:semiHidden/>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pPr>
      <w:tabs>
        <w:tab w:val="right" w:leader="dot" w:pos="8296"/>
      </w:tabs>
      <w:spacing w:before="120" w:after="120"/>
      <w:jc w:val="center"/>
    </w:pPr>
    <w:rPr>
      <w:rFonts w:asciiTheme="minorHAnsi" w:hAnsiTheme="minorHAnsi"/>
      <w:b/>
      <w:bCs/>
      <w:caps/>
      <w:sz w:val="20"/>
      <w:szCs w:val="20"/>
    </w:rPr>
  </w:style>
  <w:style w:type="paragraph" w:styleId="20">
    <w:name w:val="toc 4"/>
    <w:basedOn w:val="1"/>
    <w:next w:val="1"/>
    <w:unhideWhenUsed/>
    <w:qFormat/>
    <w:uiPriority w:val="39"/>
    <w:pPr>
      <w:spacing w:after="0"/>
      <w:ind w:left="660"/>
    </w:pPr>
    <w:rPr>
      <w:rFonts w:asciiTheme="minorHAnsi" w:hAnsiTheme="minorHAnsi"/>
      <w:sz w:val="18"/>
      <w:szCs w:val="18"/>
    </w:rPr>
  </w:style>
  <w:style w:type="paragraph" w:styleId="21">
    <w:name w:val="toc 6"/>
    <w:basedOn w:val="1"/>
    <w:next w:val="1"/>
    <w:unhideWhenUsed/>
    <w:qFormat/>
    <w:uiPriority w:val="39"/>
    <w:pPr>
      <w:spacing w:after="0"/>
      <w:ind w:left="1100"/>
    </w:pPr>
    <w:rPr>
      <w:rFonts w:asciiTheme="minorHAnsi" w:hAnsiTheme="minorHAnsi"/>
      <w:sz w:val="18"/>
      <w:szCs w:val="18"/>
    </w:rPr>
  </w:style>
  <w:style w:type="paragraph" w:styleId="22">
    <w:name w:val="toc 2"/>
    <w:basedOn w:val="1"/>
    <w:next w:val="1"/>
    <w:unhideWhenUsed/>
    <w:qFormat/>
    <w:uiPriority w:val="39"/>
    <w:pPr>
      <w:spacing w:after="0"/>
      <w:ind w:left="220"/>
    </w:pPr>
    <w:rPr>
      <w:rFonts w:asciiTheme="minorHAnsi" w:hAnsiTheme="minorHAnsi"/>
      <w:smallCaps/>
      <w:sz w:val="20"/>
      <w:szCs w:val="20"/>
    </w:rPr>
  </w:style>
  <w:style w:type="paragraph" w:styleId="23">
    <w:name w:val="toc 9"/>
    <w:basedOn w:val="1"/>
    <w:next w:val="1"/>
    <w:unhideWhenUsed/>
    <w:qFormat/>
    <w:uiPriority w:val="39"/>
    <w:pPr>
      <w:spacing w:after="0"/>
      <w:ind w:left="1760"/>
    </w:pPr>
    <w:rPr>
      <w:rFonts w:asciiTheme="minorHAnsi" w:hAnsiTheme="minorHAnsi"/>
      <w:sz w:val="18"/>
      <w:szCs w:val="18"/>
    </w:rPr>
  </w:style>
  <w:style w:type="paragraph" w:styleId="2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25">
    <w:name w:val="annotation subject"/>
    <w:basedOn w:val="8"/>
    <w:next w:val="8"/>
    <w:link w:val="61"/>
    <w:semiHidden/>
    <w:unhideWhenUsed/>
    <w:qFormat/>
    <w:uiPriority w:val="99"/>
    <w:rPr>
      <w:b/>
      <w:bCs/>
    </w:rPr>
  </w:style>
  <w:style w:type="paragraph" w:styleId="26">
    <w:name w:val="Body Text First Indent 2"/>
    <w:basedOn w:val="10"/>
    <w:link w:val="45"/>
    <w:semiHidden/>
    <w:unhideWhenUsed/>
    <w:qFormat/>
    <w:uiPriority w:val="99"/>
    <w:pPr>
      <w:ind w:firstLine="420" w:firstLineChars="200"/>
    </w:pPr>
  </w:style>
  <w:style w:type="character" w:styleId="29">
    <w:name w:val="Emphasis"/>
    <w:basedOn w:val="28"/>
    <w:qFormat/>
    <w:uiPriority w:val="20"/>
    <w:rPr>
      <w:i/>
      <w:iCs/>
    </w:rPr>
  </w:style>
  <w:style w:type="character" w:styleId="30">
    <w:name w:val="Hyperlink"/>
    <w:basedOn w:val="28"/>
    <w:unhideWhenUsed/>
    <w:qFormat/>
    <w:uiPriority w:val="99"/>
    <w:rPr>
      <w:color w:val="0000FF"/>
      <w:u w:val="single"/>
    </w:rPr>
  </w:style>
  <w:style w:type="character" w:styleId="31">
    <w:name w:val="annotation reference"/>
    <w:basedOn w:val="28"/>
    <w:semiHidden/>
    <w:unhideWhenUsed/>
    <w:qFormat/>
    <w:uiPriority w:val="99"/>
    <w:rPr>
      <w:sz w:val="21"/>
      <w:szCs w:val="21"/>
    </w:rPr>
  </w:style>
  <w:style w:type="character" w:styleId="32">
    <w:name w:val="footnote reference"/>
    <w:unhideWhenUsed/>
    <w:qFormat/>
    <w:uiPriority w:val="99"/>
    <w:rPr>
      <w:vertAlign w:val="superscript"/>
    </w:rPr>
  </w:style>
  <w:style w:type="character" w:customStyle="1" w:styleId="33">
    <w:name w:val="标题 1 Char"/>
    <w:basedOn w:val="28"/>
    <w:link w:val="2"/>
    <w:qFormat/>
    <w:uiPriority w:val="9"/>
    <w:rPr>
      <w:rFonts w:ascii="Tahoma" w:hAnsi="Tahoma"/>
      <w:b/>
      <w:bCs/>
      <w:kern w:val="44"/>
      <w:sz w:val="44"/>
      <w:szCs w:val="44"/>
    </w:rPr>
  </w:style>
  <w:style w:type="character" w:customStyle="1" w:styleId="34">
    <w:name w:val="标题 2 Char"/>
    <w:basedOn w:val="28"/>
    <w:link w:val="3"/>
    <w:qFormat/>
    <w:uiPriority w:val="9"/>
    <w:rPr>
      <w:rFonts w:asciiTheme="majorHAnsi" w:hAnsiTheme="majorHAnsi" w:eastAsiaTheme="majorEastAsia" w:cstheme="majorBidi"/>
      <w:b/>
      <w:bCs/>
      <w:sz w:val="32"/>
      <w:szCs w:val="32"/>
    </w:rPr>
  </w:style>
  <w:style w:type="character" w:customStyle="1" w:styleId="35">
    <w:name w:val="纯文本 Char"/>
    <w:basedOn w:val="28"/>
    <w:link w:val="13"/>
    <w:qFormat/>
    <w:uiPriority w:val="0"/>
    <w:rPr>
      <w:rFonts w:ascii="宋体" w:hAnsi="Courier New" w:cs="Courier New" w:eastAsiaTheme="minorEastAsia"/>
      <w:kern w:val="2"/>
      <w:sz w:val="21"/>
      <w:szCs w:val="24"/>
    </w:rPr>
  </w:style>
  <w:style w:type="paragraph" w:customStyle="1" w:styleId="36">
    <w:name w:val="S-正文"/>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7">
    <w:name w:val="正文文本缩进 2 Char"/>
    <w:basedOn w:val="28"/>
    <w:link w:val="15"/>
    <w:qFormat/>
    <w:uiPriority w:val="0"/>
    <w:rPr>
      <w:rFonts w:ascii="Calibri" w:hAnsi="Calibri" w:eastAsia="宋体" w:cs="Times New Roman"/>
      <w:kern w:val="2"/>
      <w:sz w:val="21"/>
      <w:szCs w:val="24"/>
    </w:rPr>
  </w:style>
  <w:style w:type="character" w:customStyle="1" w:styleId="38">
    <w:name w:val="文档结构图 Char"/>
    <w:basedOn w:val="28"/>
    <w:link w:val="7"/>
    <w:semiHidden/>
    <w:qFormat/>
    <w:uiPriority w:val="99"/>
    <w:rPr>
      <w:rFonts w:ascii="宋体" w:hAnsi="Tahoma" w:eastAsia="宋体"/>
      <w:sz w:val="18"/>
      <w:szCs w:val="18"/>
    </w:rPr>
  </w:style>
  <w:style w:type="character" w:customStyle="1" w:styleId="39">
    <w:name w:val="标题 3 Char"/>
    <w:basedOn w:val="28"/>
    <w:link w:val="4"/>
    <w:qFormat/>
    <w:uiPriority w:val="9"/>
    <w:rPr>
      <w:rFonts w:ascii="Tahoma" w:hAnsi="Tahoma"/>
      <w:b/>
      <w:bCs/>
      <w:sz w:val="32"/>
      <w:szCs w:val="32"/>
    </w:rPr>
  </w:style>
  <w:style w:type="paragraph" w:styleId="40">
    <w:name w:val="List Paragraph"/>
    <w:basedOn w:val="1"/>
    <w:qFormat/>
    <w:uiPriority w:val="34"/>
    <w:pPr>
      <w:ind w:firstLine="420" w:firstLineChars="200"/>
    </w:pPr>
  </w:style>
  <w:style w:type="character" w:customStyle="1" w:styleId="41">
    <w:name w:val="NormalCharacter"/>
    <w:qFormat/>
    <w:uiPriority w:val="0"/>
    <w:rPr>
      <w:rFonts w:ascii="Calibri" w:hAnsi="Calibri" w:eastAsia="宋体" w:cs="Times New Roman"/>
      <w:kern w:val="2"/>
      <w:sz w:val="21"/>
      <w:szCs w:val="24"/>
      <w:lang w:val="en-US" w:eastAsia="zh-CN" w:bidi="ar-SA"/>
    </w:rPr>
  </w:style>
  <w:style w:type="paragraph" w:styleId="4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xt"/>
    <w:basedOn w:val="1"/>
    <w:qFormat/>
    <w:uiPriority w:val="0"/>
    <w:pPr>
      <w:widowControl w:val="0"/>
      <w:adjustRightInd/>
      <w:snapToGrid/>
      <w:spacing w:after="0" w:line="360" w:lineRule="auto"/>
      <w:ind w:firstLine="600" w:firstLineChars="200"/>
      <w:jc w:val="both"/>
    </w:pPr>
    <w:rPr>
      <w:rFonts w:ascii="Times New Roman" w:hAnsi="Times New Roman" w:eastAsia="仿宋_GB2312" w:cs="Times New Roman"/>
      <w:color w:val="000000" w:themeColor="text1"/>
      <w:kern w:val="2"/>
      <w:sz w:val="30"/>
      <w:szCs w:val="30"/>
    </w:rPr>
  </w:style>
  <w:style w:type="character" w:customStyle="1" w:styleId="44">
    <w:name w:val="正文文本缩进 Char"/>
    <w:basedOn w:val="28"/>
    <w:link w:val="10"/>
    <w:semiHidden/>
    <w:qFormat/>
    <w:uiPriority w:val="99"/>
    <w:rPr>
      <w:rFonts w:ascii="Tahoma" w:hAnsi="Tahoma"/>
    </w:rPr>
  </w:style>
  <w:style w:type="character" w:customStyle="1" w:styleId="45">
    <w:name w:val="正文首行缩进 2 Char"/>
    <w:basedOn w:val="44"/>
    <w:link w:val="26"/>
    <w:semiHidden/>
    <w:qFormat/>
    <w:uiPriority w:val="99"/>
  </w:style>
  <w:style w:type="paragraph" w:customStyle="1" w:styleId="46">
    <w:name w:val="报告书 正文"/>
    <w:link w:val="47"/>
    <w:qFormat/>
    <w:uiPriority w:val="0"/>
    <w:pPr>
      <w:widowControl w:val="0"/>
      <w:adjustRightInd w:val="0"/>
      <w:snapToGrid w:val="0"/>
      <w:spacing w:line="500" w:lineRule="exact"/>
      <w:ind w:firstLine="640" w:firstLineChars="200"/>
      <w:jc w:val="both"/>
    </w:pPr>
    <w:rPr>
      <w:rFonts w:ascii="Times New Roman" w:hAnsi="Times New Roman" w:eastAsia="方正仿宋_GBK" w:cs="Times New Roman"/>
      <w:kern w:val="2"/>
      <w:sz w:val="32"/>
      <w:szCs w:val="24"/>
      <w:lang w:val="en-US" w:eastAsia="zh-CN" w:bidi="ar-SA"/>
    </w:rPr>
  </w:style>
  <w:style w:type="character" w:customStyle="1" w:styleId="47">
    <w:name w:val="报告书 正文 Char"/>
    <w:link w:val="46"/>
    <w:qFormat/>
    <w:locked/>
    <w:uiPriority w:val="0"/>
    <w:rPr>
      <w:rFonts w:ascii="Times New Roman" w:hAnsi="Times New Roman" w:eastAsia="方正仿宋_GBK" w:cs="Times New Roman"/>
      <w:kern w:val="2"/>
      <w:sz w:val="32"/>
      <w:szCs w:val="24"/>
    </w:rPr>
  </w:style>
  <w:style w:type="character" w:customStyle="1" w:styleId="48">
    <w:name w:val="页脚 Char"/>
    <w:basedOn w:val="28"/>
    <w:link w:val="17"/>
    <w:qFormat/>
    <w:uiPriority w:val="99"/>
    <w:rPr>
      <w:rFonts w:ascii="Times New Roman" w:hAnsi="Times New Roman" w:eastAsia="仿宋"/>
      <w:kern w:val="2"/>
      <w:sz w:val="18"/>
      <w:szCs w:val="18"/>
    </w:rPr>
  </w:style>
  <w:style w:type="paragraph" w:customStyle="1" w:styleId="49">
    <w:name w:val="报告正文"/>
    <w:basedOn w:val="1"/>
    <w:link w:val="50"/>
    <w:qFormat/>
    <w:uiPriority w:val="0"/>
    <w:pPr>
      <w:widowControl w:val="0"/>
      <w:adjustRightInd/>
      <w:snapToGrid/>
      <w:spacing w:after="0" w:line="360" w:lineRule="auto"/>
      <w:ind w:firstLine="600" w:firstLineChars="200"/>
      <w:jc w:val="both"/>
    </w:pPr>
    <w:rPr>
      <w:rFonts w:ascii="Times New Roman" w:hAnsi="Times New Roman" w:eastAsia="仿宋" w:cs="Times New Roman"/>
      <w:kern w:val="2"/>
      <w:sz w:val="30"/>
      <w:szCs w:val="36"/>
    </w:rPr>
  </w:style>
  <w:style w:type="character" w:customStyle="1" w:styleId="50">
    <w:name w:val="报告正文 字符"/>
    <w:basedOn w:val="28"/>
    <w:link w:val="49"/>
    <w:qFormat/>
    <w:uiPriority w:val="0"/>
    <w:rPr>
      <w:rFonts w:ascii="Times New Roman" w:hAnsi="Times New Roman" w:eastAsia="仿宋" w:cs="Times New Roman"/>
      <w:kern w:val="2"/>
      <w:sz w:val="30"/>
      <w:szCs w:val="36"/>
    </w:rPr>
  </w:style>
  <w:style w:type="character" w:customStyle="1" w:styleId="51">
    <w:name w:val="正文文本 Char"/>
    <w:basedOn w:val="28"/>
    <w:link w:val="9"/>
    <w:qFormat/>
    <w:uiPriority w:val="99"/>
    <w:rPr>
      <w:rFonts w:ascii="Tahoma" w:hAnsi="Tahoma"/>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图表标题"/>
    <w:basedOn w:val="1"/>
    <w:link w:val="54"/>
    <w:qFormat/>
    <w:uiPriority w:val="0"/>
    <w:pPr>
      <w:widowControl w:val="0"/>
      <w:adjustRightInd/>
      <w:snapToGrid/>
      <w:spacing w:beforeLines="50" w:afterLines="50" w:line="415" w:lineRule="auto"/>
      <w:jc w:val="center"/>
    </w:pPr>
    <w:rPr>
      <w:rFonts w:ascii="Times New Roman" w:hAnsi="Times New Roman" w:eastAsia="宋体" w:cs="Times New Roman"/>
      <w:b/>
      <w:sz w:val="24"/>
      <w:szCs w:val="20"/>
      <w:lang w:val="zh-CN"/>
    </w:rPr>
  </w:style>
  <w:style w:type="character" w:customStyle="1" w:styleId="54">
    <w:name w:val="图表标题 Char"/>
    <w:link w:val="53"/>
    <w:qFormat/>
    <w:uiPriority w:val="0"/>
    <w:rPr>
      <w:rFonts w:ascii="Times New Roman" w:hAnsi="Times New Roman" w:eastAsia="宋体" w:cs="Times New Roman"/>
      <w:b/>
      <w:sz w:val="24"/>
      <w:szCs w:val="20"/>
      <w:lang w:val="zh-CN"/>
    </w:rPr>
  </w:style>
  <w:style w:type="character" w:customStyle="1" w:styleId="55">
    <w:name w:val="表格内容 Char"/>
    <w:link w:val="56"/>
    <w:qFormat/>
    <w:locked/>
    <w:uiPriority w:val="0"/>
    <w:rPr>
      <w:rFonts w:ascii="Times New Roman" w:hAnsi="Times New Roman" w:eastAsia="仿宋" w:cs="Times New Roman"/>
      <w:bCs/>
      <w:color w:val="000000"/>
      <w:sz w:val="28"/>
      <w:lang w:val="zh-CN"/>
    </w:rPr>
  </w:style>
  <w:style w:type="paragraph" w:customStyle="1" w:styleId="56">
    <w:name w:val="表格内容"/>
    <w:basedOn w:val="1"/>
    <w:link w:val="55"/>
    <w:qFormat/>
    <w:uiPriority w:val="0"/>
    <w:pPr>
      <w:adjustRightInd/>
      <w:spacing w:after="0"/>
      <w:jc w:val="center"/>
    </w:pPr>
    <w:rPr>
      <w:rFonts w:ascii="Times New Roman" w:hAnsi="Times New Roman" w:eastAsia="仿宋" w:cs="Times New Roman"/>
      <w:bCs/>
      <w:color w:val="000000"/>
      <w:sz w:val="28"/>
      <w:lang w:val="zh-CN"/>
    </w:rPr>
  </w:style>
  <w:style w:type="character" w:customStyle="1" w:styleId="57">
    <w:name w:val="标题 4 Char"/>
    <w:basedOn w:val="28"/>
    <w:link w:val="5"/>
    <w:qFormat/>
    <w:uiPriority w:val="9"/>
    <w:rPr>
      <w:rFonts w:asciiTheme="majorHAnsi" w:hAnsiTheme="majorHAnsi" w:eastAsiaTheme="majorEastAsia" w:cstheme="majorBidi"/>
      <w:b/>
      <w:bCs/>
      <w:sz w:val="28"/>
      <w:szCs w:val="28"/>
    </w:rPr>
  </w:style>
  <w:style w:type="character" w:customStyle="1" w:styleId="58">
    <w:name w:val="页眉 Char"/>
    <w:basedOn w:val="28"/>
    <w:link w:val="18"/>
    <w:semiHidden/>
    <w:qFormat/>
    <w:uiPriority w:val="99"/>
    <w:rPr>
      <w:rFonts w:ascii="Tahoma" w:hAnsi="Tahoma"/>
      <w:sz w:val="18"/>
      <w:szCs w:val="18"/>
    </w:rPr>
  </w:style>
  <w:style w:type="character" w:customStyle="1" w:styleId="59">
    <w:name w:val="批注框文本 Char"/>
    <w:basedOn w:val="28"/>
    <w:link w:val="16"/>
    <w:semiHidden/>
    <w:qFormat/>
    <w:uiPriority w:val="99"/>
    <w:rPr>
      <w:rFonts w:ascii="Tahoma" w:hAnsi="Tahoma"/>
      <w:sz w:val="18"/>
      <w:szCs w:val="18"/>
    </w:rPr>
  </w:style>
  <w:style w:type="character" w:customStyle="1" w:styleId="60">
    <w:name w:val="批注文字 Char"/>
    <w:basedOn w:val="28"/>
    <w:link w:val="8"/>
    <w:semiHidden/>
    <w:qFormat/>
    <w:uiPriority w:val="99"/>
    <w:rPr>
      <w:rFonts w:ascii="Tahoma" w:hAnsi="Tahoma"/>
    </w:rPr>
  </w:style>
  <w:style w:type="character" w:customStyle="1" w:styleId="61">
    <w:name w:val="批注主题 Char"/>
    <w:basedOn w:val="60"/>
    <w:link w:val="25"/>
    <w:semiHidden/>
    <w:qFormat/>
    <w:uiPriority w:val="99"/>
    <w:rPr>
      <w:b/>
      <w:bCs/>
    </w:rPr>
  </w:style>
  <w:style w:type="character" w:customStyle="1" w:styleId="62">
    <w:name w:val="font8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19485</Words>
  <Characters>20308</Characters>
  <Lines>182</Lines>
  <Paragraphs>51</Paragraphs>
  <TotalTime>0</TotalTime>
  <ScaleCrop>false</ScaleCrop>
  <LinksUpToDate>false</LinksUpToDate>
  <CharactersWithSpaces>20435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2024-04-24T18:19:00Z</dcterms:created>
  <dc:creator>xbany</dc:creator>
  <cp:lastModifiedBy>Administrator</cp:lastModifiedBy>
  <cp:lastPrinted>2024-05-25T18:14:00Z</cp:lastPrinted>
  <dcterms:modified xsi:type="dcterms:W3CDTF">2024-06-26T02:00:27Z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E49B663FFE0D4F00AECAEA01EE9AF5F8_13</vt:lpwstr>
  </property>
</Properties>
</file>