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560" w:lineRule="exact"/>
        <w:ind w:firstLine="0"/>
        <w:textAlignment w:val="auto"/>
        <w:outlineLvl w:val="9"/>
        <w:rPr>
          <w:rFonts w:hint="default" w:ascii="Times New Roman" w:hAnsi="Times New Roman" w:cs="Times New Roman"/>
          <w:sz w:val="32"/>
          <w:szCs w:val="32"/>
          <w:lang w:eastAsia="zh-CN"/>
        </w:rPr>
      </w:pPr>
      <w:bookmarkStart w:id="0" w:name="_GoBack"/>
      <w:r>
        <w:rPr>
          <w:rFonts w:hint="default" w:ascii="Times New Roman" w:hAnsi="Times New Roman" w:eastAsia="方正小标宋简体" w:cs="Times New Roman"/>
          <w:spacing w:val="-20"/>
          <w:sz w:val="44"/>
          <w:szCs w:val="44"/>
          <w:lang w:val="zh-CN" w:eastAsia="zh-CN"/>
        </w:rPr>
        <w:t>关于开展2022年南开区“安全生产月”活动的通知</w:t>
      </w:r>
    </w:p>
    <w:bookmarkEnd w:id="0"/>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4"/>
          <w:szCs w:val="34"/>
          <w:lang w:eastAsia="zh-CN"/>
        </w:rPr>
      </w:pPr>
      <w:r>
        <w:rPr>
          <w:rFonts w:hint="eastAsia" w:ascii="仿宋_GB2312" w:hAnsi="仿宋_GB2312" w:eastAsia="仿宋_GB2312" w:cs="仿宋_GB2312"/>
          <w:sz w:val="34"/>
          <w:szCs w:val="34"/>
          <w:lang w:eastAsia="zh-CN"/>
        </w:rPr>
        <w:t>南安生办﹝2022﹞7号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区安委会各成员单位及有关企业: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今年6月是第21个全国“安全生产月”，主题是“遵守安全生产法  当好第一责任人”，6月16日为全国安全宣传咨询日。按照市安委会办公室、市应急管理局《关于开展2022年天津市“安全生产月”活动的通知》（津安办〔2022〕12号）要求，为组织做好2022年南开区“安全生产月”各项工作，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一、深入学习贯彻习近平总书记关于安全生产重要论述，推动落实安全生产十五条措施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（一）开展集中学习宣传活动。</w:t>
      </w:r>
      <w:r>
        <w:rPr>
          <w:rFonts w:hint="eastAsia" w:ascii="仿宋_GB2312" w:hAnsi="仿宋_GB2312" w:eastAsia="仿宋_GB2312" w:cs="仿宋_GB2312"/>
          <w:sz w:val="32"/>
          <w:szCs w:val="32"/>
          <w:lang w:val="en-US" w:eastAsia="zh-CN"/>
        </w:rPr>
        <w:t>区安委会各成员单位要持续深入学习贯彻习近平总书记关于安全生产重要论述，集中组织观看《生命重于泰山》电视专题片，结合正在开展的“迎盛会、铸忠诚、强担当、创业绩”主题学习宣传教育实践活动，通过研讨交流、集中宣讲、培训辅导等多种形式，推动向基层党组织和企事业单位延伸，切实把学习成果转化为推动安全发展的工作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（二）深化安全生产十五条措施宣传贯彻。</w:t>
      </w:r>
      <w:r>
        <w:rPr>
          <w:rFonts w:hint="eastAsia" w:ascii="仿宋_GB2312" w:hAnsi="仿宋_GB2312" w:eastAsia="仿宋_GB2312" w:cs="仿宋_GB2312"/>
          <w:sz w:val="32"/>
          <w:szCs w:val="32"/>
          <w:lang w:val="en-US" w:eastAsia="zh-CN"/>
        </w:rPr>
        <w:t>区安委会各成员单位要认真组织学习宣传安全生产十五条措施，严格落实区安委会《关于进一步强化安全生产责任落实坚决遏制重特大事故的15条措施》（南安生〔2022〕6号）中各项要求，通过党政“一把手”带头讲安全、企业第一责任人专题讲安全、一线工作者互动讲安全等多种形式，广泛开展安全生产“公开课”“大家谈”“班组会”活动，突出责任落实、源头治理、督查检查、严格执法、打非治违，大力推动安全生产十五条措施在南开区落地生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二、宣传贯彻安全生产法，推动“第一责任人”守法履责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（一）广泛开展《安全生产法》主题宣传。</w:t>
      </w:r>
      <w:r>
        <w:rPr>
          <w:rFonts w:hint="eastAsia" w:ascii="仿宋_GB2312" w:hAnsi="仿宋_GB2312" w:eastAsia="仿宋_GB2312" w:cs="仿宋_GB2312"/>
          <w:sz w:val="32"/>
          <w:szCs w:val="32"/>
          <w:lang w:val="en-US" w:eastAsia="zh-CN"/>
        </w:rPr>
        <w:t>区安委会各负有安全生产监督管理职责的成员单位要积极推动并督促分管行业和领域内的企业法定代表人、实际控制人、实际负责人自觉把安全放在第一位，贯穿工作全过程各方面，切实担起安全生产“第一责任人”责任，严格履行安全生产法规定的7项职责，带头尊法、学法、守法，主动研判风险、排查隐患，向职代会报告安全生产工作情况，认真开展全员应急救援演练和知识技能培训，组织“第一责任人安全倡议书”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（二）深入开展以案释法、以案普法宣传活动。</w:t>
      </w:r>
      <w:r>
        <w:rPr>
          <w:rFonts w:hint="eastAsia" w:ascii="仿宋_GB2312" w:hAnsi="仿宋_GB2312" w:eastAsia="仿宋_GB2312" w:cs="仿宋_GB2312"/>
          <w:sz w:val="32"/>
          <w:szCs w:val="32"/>
          <w:lang w:val="en-US" w:eastAsia="zh-CN"/>
        </w:rPr>
        <w:t>利用区政务新媒体和应急局“微信、微博”，对企业主体责任落实不到位被实行“一案双罚”的执法案例、安全生产行刑衔接的典型案例，以及因发生生产安全事故构成重大责任事故罪的典型案例，给予持续的转发报道并深入解读相关法律条文及适用条件，加大安法宣传力度。广泛开展“我是安全吹哨人”“查找身边的隐患”等活动，调动职工参与监督企业和主要负责人落实安全生产责任的主动性和自觉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三、持续开展“安全生产津门行”活动，分类强化警示教育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（一）组织安全生产“经验推广+警示教育”主题活动。</w:t>
      </w:r>
      <w:r>
        <w:rPr>
          <w:rFonts w:hint="eastAsia" w:ascii="仿宋_GB2312" w:hAnsi="仿宋_GB2312" w:eastAsia="仿宋_GB2312" w:cs="仿宋_GB2312"/>
          <w:sz w:val="32"/>
          <w:szCs w:val="32"/>
          <w:lang w:val="en-US" w:eastAsia="zh-CN"/>
        </w:rPr>
        <w:t>6月至12月底，区安委会办公室将在区重点企业开展安全生产“经验推广+警示教育”主题活动，注重总结凝练先进管理经验，推广岗位安全制度标准化流程，形成交流图文、短视频、安全提醒温馨标识等具有显著行业特色的经验成果，辐射带动全区各行业安全管理水平整体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（二）开展重点行业领域案例曝光专项行动。</w:t>
      </w:r>
      <w:r>
        <w:rPr>
          <w:rFonts w:hint="eastAsia" w:ascii="仿宋_GB2312" w:hAnsi="仿宋_GB2312" w:eastAsia="仿宋_GB2312" w:cs="仿宋_GB2312"/>
          <w:sz w:val="32"/>
          <w:szCs w:val="32"/>
          <w:lang w:val="en-US" w:eastAsia="zh-CN"/>
        </w:rPr>
        <w:t>深化全区安全生产专项整治三年行动，报道打非治违和排查治理进展成效，发挥媒体监督作用，集中曝光突出问题。6月—12月期间，按照区安委会印发的《关于开展安全生产自查工作的方案》(南安生〔2022〕7号)中相关要求，围绕危险化学品、燃气安全“两个集中治理”领域曝光1个典型案例。要充分发挥“12350”安全生产举报投诉电话作用，落实举报奖励制度，积极转发市安委办制作并在市应急局官方抖音、公众号发布的“12350”系列宣传短视频，进一步鼓励群众主动关注、参与安全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四、广泛开展“安全宣传咨询日”和安全宣传“五进”活动，提升社会公众安全意识和自救互救能力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（一）开展“6.16安全宣传咨询日”活动。</w:t>
      </w:r>
      <w:r>
        <w:rPr>
          <w:rFonts w:hint="eastAsia" w:ascii="仿宋_GB2312" w:hAnsi="仿宋_GB2312" w:eastAsia="仿宋_GB2312" w:cs="仿宋_GB2312"/>
          <w:sz w:val="32"/>
          <w:szCs w:val="32"/>
          <w:lang w:val="en-US" w:eastAsia="zh-CN"/>
        </w:rPr>
        <w:t>6月16日区安委办将组织部分安委会成员单位和驻区企业在南开区长虹生态园，举办南开区2022年“安全生产月安全宣传咨询日”活动，届时各参加单位将在确保疫情防控工作的前提下结合各自工作职责开展安全生产宣传活动，发放宣传资料，展示各类救援设备，现场解答市民安全生产相关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（二）统筹开展安全宣传“五进”活动。</w:t>
      </w:r>
      <w:r>
        <w:rPr>
          <w:rFonts w:hint="eastAsia" w:ascii="仿宋_GB2312" w:hAnsi="仿宋_GB2312" w:eastAsia="仿宋_GB2312" w:cs="仿宋_GB2312"/>
          <w:sz w:val="32"/>
          <w:szCs w:val="32"/>
          <w:lang w:val="en-US" w:eastAsia="zh-CN"/>
        </w:rPr>
        <w:t>结合全国综合减灾示范社区创建、精神文明创建、社会治安综合治理等专项工作，区安委办联动各成员单位深入推进安全宣传“五进”工作，拓展“五进”工作的深度和广度，努力打造南开区的“五进”示范品牌。要进一步加强消地结合，针对辖区内突出安全问题，联合消防部门开展“进门入户送安全”活动。联合共青团、工会、志愿者队伍开展“安全志愿者在行动”活动。发挥“青年安全生产示范岗”示范引领作用，在企业开展应急演练、安全体验、知识宣传等活动。围绕学校、学生安全防控和居家学生生活安全教育，开展安全宣传“进校园”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（三）深入开展应急科普宣传教育。</w:t>
      </w:r>
      <w:r>
        <w:rPr>
          <w:rFonts w:hint="eastAsia" w:ascii="仿宋_GB2312" w:hAnsi="仿宋_GB2312" w:eastAsia="仿宋_GB2312" w:cs="仿宋_GB2312"/>
          <w:sz w:val="32"/>
          <w:szCs w:val="32"/>
          <w:lang w:val="en-US" w:eastAsia="zh-CN"/>
        </w:rPr>
        <w:t>配合市安委会办公室组织“你的安全我牵挂”应急科普原创作品展播活动，展播各类安全微动漫、微视频、宣传图文等科普作品。区安委办结合南开区区灾害风险和安全生产特点，积极转载相关作品。区安委会各成员单位要充分利用各自官网、微博、微信、短视频平台等新媒体加以转发，同时用好繁华路段LED大屏、社区楼宇电子大屏等社会媒体，形成多角度、立体化宣传格局，切实提升公众安全意识和应急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安委会各成员单位要高度重视，强化统筹，区安委办将根据疫情防控形势变化及时科学调整工作安排，在严格落实疫情防控措施前提下，认真组织开展“安全生产月”各项活动。区安委会各成员单位请于6月10日前报送联络员反馈表，6月28日前报送本单位“安全生产月”活动工作总结及相关活动开展视频、图片等电子版资料。（邮箱：nkqyjj_fxk@tj.gov.cn ，联系人：费宇翔，电话：58578611）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 1.“安全生产月”活动联络员表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kern w:val="2"/>
          <w:sz w:val="32"/>
          <w:szCs w:val="32"/>
          <w:lang w:val="en-US" w:eastAsia="zh-CN" w:bidi="ar-SA"/>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安委会</w:t>
      </w:r>
      <w:r>
        <w:rPr>
          <w:rFonts w:hint="default" w:ascii="Times New Roman" w:hAnsi="Times New Roman" w:eastAsia="仿宋_GB2312" w:cs="Times New Roman"/>
          <w:kern w:val="2"/>
          <w:sz w:val="32"/>
          <w:szCs w:val="32"/>
          <w:lang w:val="en-US" w:eastAsia="zh-CN" w:bidi="ar-SA"/>
        </w:rPr>
        <w:t>相关成员单位安全生产月工作落实清单</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default" w:ascii="Times New Roman" w:hAnsi="Times New Roman" w:eastAsia="仿宋_GB2312" w:cs="Times New Roman"/>
          <w:kern w:val="2"/>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default" w:ascii="Times New Roman" w:hAnsi="Times New Roman" w:eastAsia="仿宋_GB2312" w:cs="Times New Roman"/>
          <w:kern w:val="2"/>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default" w:ascii="Times New Roman" w:hAnsi="Times New Roman" w:eastAsia="仿宋_GB2312" w:cs="Times New Roman"/>
          <w:kern w:val="2"/>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w:t>
      </w:r>
      <w:r>
        <w:rPr>
          <w:rFonts w:hint="eastAsia" w:ascii="Times New Roman" w:hAnsi="Times New Roman"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cs="Times New Roman"/>
          <w:kern w:val="2"/>
          <w:sz w:val="32"/>
          <w:szCs w:val="32"/>
          <w:lang w:val="en-US" w:eastAsia="zh-CN" w:bidi="ar-SA"/>
        </w:rPr>
        <w:t>8</w:t>
      </w:r>
      <w:r>
        <w:rPr>
          <w:rFonts w:hint="default" w:ascii="Times New Roman" w:hAnsi="Times New Roman" w:eastAsia="仿宋_GB2312" w:cs="Times New Roman"/>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（此件主动公开）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val="en-US" w:eastAsia="zh-CN"/>
        </w:rPr>
      </w:pPr>
      <w:r>
        <w:rPr>
          <w:rFonts w:hint="eastAsia"/>
          <w:sz w:val="32"/>
          <w:szCs w:val="32"/>
          <w:lang w:val="en-US" w:eastAsia="zh-CN"/>
        </w:rPr>
        <w:br w:type="page"/>
      </w:r>
    </w:p>
    <w:p>
      <w:pPr>
        <w:spacing w:line="540" w:lineRule="exact"/>
        <w:rPr>
          <w:rFonts w:hint="eastAsia" w:ascii="黑体" w:hAnsi="黑体" w:eastAsia="黑体" w:cs="黑体"/>
          <w:color w:val="000000"/>
          <w:sz w:val="32"/>
          <w:szCs w:val="32"/>
        </w:rPr>
        <w:sectPr>
          <w:footerReference r:id="rId3" w:type="default"/>
          <w:pgSz w:w="11906" w:h="16838"/>
          <w:pgMar w:top="2098" w:right="1474" w:bottom="1984" w:left="1587" w:header="851" w:footer="992" w:gutter="0"/>
          <w:pgNumType w:fmt="decimal"/>
          <w:cols w:space="0" w:num="1"/>
          <w:rtlGutter w:val="0"/>
          <w:docGrid w:linePitch="462" w:charSpace="0"/>
        </w:sectPr>
      </w:pPr>
    </w:p>
    <w:tbl>
      <w:tblPr>
        <w:tblStyle w:val="8"/>
        <w:tblW w:w="14083" w:type="dxa"/>
        <w:tblInd w:w="0" w:type="dxa"/>
        <w:tblLayout w:type="fixed"/>
        <w:tblCellMar>
          <w:top w:w="0" w:type="dxa"/>
          <w:left w:w="108" w:type="dxa"/>
          <w:bottom w:w="0" w:type="dxa"/>
          <w:right w:w="108" w:type="dxa"/>
        </w:tblCellMar>
      </w:tblPr>
      <w:tblGrid>
        <w:gridCol w:w="468"/>
        <w:gridCol w:w="2160"/>
        <w:gridCol w:w="2340"/>
        <w:gridCol w:w="1800"/>
        <w:gridCol w:w="2520"/>
        <w:gridCol w:w="1980"/>
        <w:gridCol w:w="2520"/>
        <w:gridCol w:w="295"/>
      </w:tblGrid>
      <w:tr>
        <w:tblPrEx>
          <w:tblCellMar>
            <w:top w:w="0" w:type="dxa"/>
            <w:left w:w="108" w:type="dxa"/>
            <w:bottom w:w="0" w:type="dxa"/>
            <w:right w:w="108" w:type="dxa"/>
          </w:tblCellMar>
        </w:tblPrEx>
        <w:trPr>
          <w:trHeight w:val="624" w:hRule="atLeast"/>
        </w:trPr>
        <w:tc>
          <w:tcPr>
            <w:tcW w:w="14083" w:type="dxa"/>
            <w:gridSpan w:val="8"/>
            <w:vMerge w:val="restart"/>
            <w:tcBorders>
              <w:top w:val="nil"/>
              <w:left w:val="nil"/>
              <w:bottom w:val="nil"/>
              <w:right w:val="nil"/>
            </w:tcBorders>
            <w:noWrap w:val="0"/>
            <w:vAlign w:val="center"/>
          </w:tcPr>
          <w:p>
            <w:pPr>
              <w:spacing w:line="540" w:lineRule="exact"/>
              <w:rPr>
                <w:rFonts w:hint="eastAsia" w:ascii="黑体" w:hAnsi="黑体" w:eastAsia="黑体" w:cs="黑体"/>
                <w:b/>
                <w:bCs/>
                <w:color w:val="000000"/>
                <w:sz w:val="32"/>
                <w:szCs w:val="32"/>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spacing w:line="540" w:lineRule="exact"/>
              <w:jc w:val="center"/>
              <w:rPr>
                <w:rFonts w:ascii="宋体" w:hAnsi="宋体" w:eastAsia="方正小标宋简体" w:cs="宋体"/>
                <w:b/>
                <w:bCs/>
                <w:color w:val="000000"/>
                <w:sz w:val="44"/>
                <w:szCs w:val="44"/>
              </w:rPr>
            </w:pPr>
            <w:r>
              <w:rPr>
                <w:rFonts w:hint="eastAsia" w:ascii="宋体" w:hAnsi="宋体" w:eastAsia="方正小标宋简体" w:cs="宋体"/>
                <w:color w:val="000000"/>
                <w:sz w:val="32"/>
                <w:szCs w:val="32"/>
                <w:lang w:val="en" w:eastAsia="zh-CN"/>
              </w:rPr>
              <w:t>南开区</w:t>
            </w:r>
            <w:r>
              <w:rPr>
                <w:rFonts w:hint="eastAsia" w:ascii="宋体" w:hAnsi="宋体" w:eastAsia="方正小标宋简体" w:cs="宋体"/>
                <w:color w:val="000000"/>
                <w:sz w:val="32"/>
                <w:szCs w:val="32"/>
                <w:lang w:val="en-US" w:eastAsia="zh-CN"/>
              </w:rPr>
              <w:t>2022年</w:t>
            </w:r>
            <w:r>
              <w:rPr>
                <w:rFonts w:hint="default" w:ascii="宋体" w:hAnsi="宋体" w:eastAsia="方正小标宋简体" w:cs="宋体"/>
                <w:color w:val="000000"/>
                <w:sz w:val="32"/>
                <w:szCs w:val="32"/>
                <w:lang w:val="en"/>
              </w:rPr>
              <w:t>“</w:t>
            </w:r>
            <w:r>
              <w:rPr>
                <w:rFonts w:hint="eastAsia" w:ascii="宋体" w:hAnsi="宋体" w:eastAsia="方正小标宋简体" w:cs="宋体"/>
                <w:color w:val="000000"/>
                <w:sz w:val="32"/>
                <w:szCs w:val="32"/>
              </w:rPr>
              <w:t>安全生产月</w:t>
            </w:r>
            <w:r>
              <w:rPr>
                <w:rFonts w:hint="default" w:ascii="宋体" w:hAnsi="宋体" w:eastAsia="方正小标宋简体" w:cs="宋体"/>
                <w:color w:val="000000"/>
                <w:sz w:val="32"/>
                <w:szCs w:val="32"/>
                <w:lang w:val="en"/>
              </w:rPr>
              <w:t>”</w:t>
            </w:r>
            <w:r>
              <w:rPr>
                <w:rFonts w:hint="eastAsia" w:ascii="宋体" w:hAnsi="宋体" w:eastAsia="方正小标宋简体" w:cs="宋体"/>
                <w:color w:val="000000"/>
                <w:sz w:val="32"/>
                <w:szCs w:val="32"/>
              </w:rPr>
              <w:t>活动联络员表</w:t>
            </w:r>
          </w:p>
        </w:tc>
      </w:tr>
      <w:tr>
        <w:tblPrEx>
          <w:tblCellMar>
            <w:top w:w="0" w:type="dxa"/>
            <w:left w:w="108" w:type="dxa"/>
            <w:bottom w:w="0" w:type="dxa"/>
            <w:right w:w="108" w:type="dxa"/>
          </w:tblCellMar>
        </w:tblPrEx>
        <w:trPr>
          <w:trHeight w:val="682" w:hRule="atLeast"/>
        </w:trPr>
        <w:tc>
          <w:tcPr>
            <w:tcW w:w="14083" w:type="dxa"/>
            <w:gridSpan w:val="8"/>
            <w:vMerge w:val="continue"/>
            <w:tcBorders>
              <w:top w:val="nil"/>
              <w:left w:val="nil"/>
              <w:bottom w:val="nil"/>
              <w:right w:val="nil"/>
            </w:tcBorders>
            <w:noWrap w:val="0"/>
            <w:vAlign w:val="center"/>
          </w:tcPr>
          <w:p>
            <w:pPr>
              <w:widowControl/>
              <w:jc w:val="left"/>
              <w:rPr>
                <w:rFonts w:ascii="宋体" w:hAnsi="宋体" w:eastAsia="方正小标宋简体" w:cs="宋体"/>
                <w:b/>
                <w:bCs/>
                <w:color w:val="000000"/>
                <w:sz w:val="44"/>
                <w:szCs w:val="44"/>
              </w:rPr>
            </w:pPr>
          </w:p>
        </w:tc>
      </w:tr>
      <w:tr>
        <w:tblPrEx>
          <w:tblCellMar>
            <w:top w:w="0" w:type="dxa"/>
            <w:left w:w="108" w:type="dxa"/>
            <w:bottom w:w="0" w:type="dxa"/>
            <w:right w:w="108" w:type="dxa"/>
          </w:tblCellMar>
        </w:tblPrEx>
        <w:trPr>
          <w:gridBefore w:val="1"/>
          <w:gridAfter w:val="1"/>
          <w:wBefore w:w="468" w:type="dxa"/>
          <w:wAfter w:w="295" w:type="dxa"/>
          <w:trHeight w:val="740"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单位名称</w:t>
            </w:r>
          </w:p>
        </w:tc>
        <w:tc>
          <w:tcPr>
            <w:tcW w:w="11160" w:type="dxa"/>
            <w:gridSpan w:val="5"/>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Times New Roman"/>
                <w:b/>
                <w:bCs/>
                <w:color w:val="000000"/>
                <w:kern w:val="2"/>
                <w:sz w:val="21"/>
                <w:szCs w:val="21"/>
                <w:lang w:val="en-US" w:eastAsia="zh-CN" w:bidi="ar-SA"/>
              </w:rPr>
            </w:pPr>
          </w:p>
        </w:tc>
      </w:tr>
      <w:tr>
        <w:tblPrEx>
          <w:tblCellMar>
            <w:top w:w="0" w:type="dxa"/>
            <w:left w:w="108" w:type="dxa"/>
            <w:bottom w:w="0" w:type="dxa"/>
            <w:right w:w="108" w:type="dxa"/>
          </w:tblCellMar>
        </w:tblPrEx>
        <w:trPr>
          <w:gridBefore w:val="1"/>
          <w:gridAfter w:val="1"/>
          <w:wBefore w:w="468" w:type="dxa"/>
          <w:wAfter w:w="295" w:type="dxa"/>
          <w:trHeight w:val="1411"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分管领导</w:t>
            </w:r>
          </w:p>
        </w:tc>
        <w:tc>
          <w:tcPr>
            <w:tcW w:w="2340"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Times New Roman"/>
                <w:b/>
                <w:bCs/>
                <w:color w:val="000000"/>
                <w:kern w:val="2"/>
                <w:sz w:val="21"/>
                <w:szCs w:val="21"/>
                <w:lang w:val="en-US" w:eastAsia="zh-CN" w:bidi="ar-SA"/>
              </w:rPr>
            </w:pPr>
          </w:p>
        </w:tc>
        <w:tc>
          <w:tcPr>
            <w:tcW w:w="1800"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职务</w:t>
            </w:r>
          </w:p>
        </w:tc>
        <w:tc>
          <w:tcPr>
            <w:tcW w:w="2520"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Times New Roman"/>
                <w:b/>
                <w:bCs/>
                <w:color w:val="000000"/>
                <w:kern w:val="2"/>
                <w:sz w:val="21"/>
                <w:szCs w:val="21"/>
                <w:lang w:val="en-US" w:eastAsia="zh-CN" w:bidi="ar-SA"/>
              </w:rPr>
            </w:pPr>
          </w:p>
        </w:tc>
        <w:tc>
          <w:tcPr>
            <w:tcW w:w="1980"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联系方式</w:t>
            </w:r>
          </w:p>
        </w:tc>
        <w:tc>
          <w:tcPr>
            <w:tcW w:w="2520"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default" w:ascii="宋体" w:hAnsi="宋体" w:eastAsia="宋体" w:cs="Times New Roman"/>
                <w:b/>
                <w:bCs/>
                <w:color w:val="000000"/>
                <w:kern w:val="2"/>
                <w:sz w:val="21"/>
                <w:szCs w:val="21"/>
                <w:lang w:val="en-US" w:eastAsia="zh-CN" w:bidi="ar-SA"/>
              </w:rPr>
            </w:pPr>
          </w:p>
        </w:tc>
      </w:tr>
      <w:tr>
        <w:tblPrEx>
          <w:tblCellMar>
            <w:top w:w="0" w:type="dxa"/>
            <w:left w:w="108" w:type="dxa"/>
            <w:bottom w:w="0" w:type="dxa"/>
            <w:right w:w="108" w:type="dxa"/>
          </w:tblCellMar>
        </w:tblPrEx>
        <w:trPr>
          <w:gridBefore w:val="1"/>
          <w:gridAfter w:val="1"/>
          <w:wBefore w:w="468" w:type="dxa"/>
          <w:wAfter w:w="295" w:type="dxa"/>
          <w:trHeight w:val="1335" w:hRule="atLeast"/>
        </w:trPr>
        <w:tc>
          <w:tcPr>
            <w:tcW w:w="2160" w:type="dxa"/>
            <w:tcBorders>
              <w:top w:val="nil"/>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联络员</w:t>
            </w:r>
          </w:p>
        </w:tc>
        <w:tc>
          <w:tcPr>
            <w:tcW w:w="2340" w:type="dxa"/>
            <w:tcBorders>
              <w:top w:val="nil"/>
              <w:left w:val="nil"/>
              <w:bottom w:val="single" w:color="auto" w:sz="4" w:space="0"/>
              <w:right w:val="single" w:color="auto" w:sz="4" w:space="0"/>
            </w:tcBorders>
            <w:noWrap w:val="0"/>
            <w:vAlign w:val="center"/>
          </w:tcPr>
          <w:p>
            <w:pPr>
              <w:spacing w:line="540" w:lineRule="exact"/>
              <w:jc w:val="center"/>
              <w:rPr>
                <w:rFonts w:hint="eastAsia" w:ascii="宋体" w:hAnsi="宋体" w:eastAsia="宋体" w:cs="Times New Roman"/>
                <w:b/>
                <w:bCs/>
                <w:color w:val="000000"/>
                <w:kern w:val="2"/>
                <w:sz w:val="21"/>
                <w:szCs w:val="21"/>
                <w:lang w:val="en-US" w:eastAsia="zh-CN" w:bidi="ar-SA"/>
              </w:rPr>
            </w:pPr>
          </w:p>
        </w:tc>
        <w:tc>
          <w:tcPr>
            <w:tcW w:w="1800" w:type="dxa"/>
            <w:tcBorders>
              <w:top w:val="nil"/>
              <w:left w:val="nil"/>
              <w:bottom w:val="single" w:color="auto" w:sz="4" w:space="0"/>
              <w:right w:val="single" w:color="auto" w:sz="4" w:space="0"/>
            </w:tcBorders>
            <w:noWrap w:val="0"/>
            <w:vAlign w:val="center"/>
          </w:tcPr>
          <w:p>
            <w:pPr>
              <w:spacing w:line="540" w:lineRule="exact"/>
              <w:jc w:val="center"/>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职务</w:t>
            </w:r>
          </w:p>
        </w:tc>
        <w:tc>
          <w:tcPr>
            <w:tcW w:w="2520" w:type="dxa"/>
            <w:tcBorders>
              <w:top w:val="nil"/>
              <w:left w:val="nil"/>
              <w:bottom w:val="single" w:color="auto" w:sz="4" w:space="0"/>
              <w:right w:val="single" w:color="auto" w:sz="4" w:space="0"/>
            </w:tcBorders>
            <w:noWrap w:val="0"/>
            <w:vAlign w:val="center"/>
          </w:tcPr>
          <w:p>
            <w:pPr>
              <w:spacing w:line="540" w:lineRule="exact"/>
              <w:jc w:val="center"/>
              <w:rPr>
                <w:rFonts w:hint="eastAsia" w:ascii="宋体" w:hAnsi="宋体" w:eastAsia="宋体" w:cs="Times New Roman"/>
                <w:b/>
                <w:bCs/>
                <w:color w:val="000000"/>
                <w:kern w:val="2"/>
                <w:sz w:val="21"/>
                <w:szCs w:val="21"/>
                <w:lang w:val="en-US" w:eastAsia="zh-CN" w:bidi="ar-SA"/>
              </w:rPr>
            </w:pPr>
          </w:p>
        </w:tc>
        <w:tc>
          <w:tcPr>
            <w:tcW w:w="1980" w:type="dxa"/>
            <w:tcBorders>
              <w:top w:val="nil"/>
              <w:left w:val="nil"/>
              <w:bottom w:val="single" w:color="auto" w:sz="4" w:space="0"/>
              <w:right w:val="single" w:color="auto" w:sz="4" w:space="0"/>
            </w:tcBorders>
            <w:noWrap w:val="0"/>
            <w:vAlign w:val="center"/>
          </w:tcPr>
          <w:p>
            <w:pPr>
              <w:spacing w:line="540" w:lineRule="exact"/>
              <w:jc w:val="center"/>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联系方式</w:t>
            </w:r>
          </w:p>
        </w:tc>
        <w:tc>
          <w:tcPr>
            <w:tcW w:w="2520"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hint="default" w:ascii="宋体" w:hAnsi="宋体" w:eastAsia="宋体" w:cs="Times New Roman"/>
                <w:b/>
                <w:bCs/>
                <w:color w:val="000000"/>
                <w:kern w:val="2"/>
                <w:sz w:val="21"/>
                <w:szCs w:val="21"/>
                <w:lang w:val="en-US" w:eastAsia="zh-CN" w:bidi="ar-SA"/>
              </w:rPr>
            </w:pPr>
          </w:p>
        </w:tc>
      </w:tr>
      <w:tr>
        <w:tblPrEx>
          <w:tblCellMar>
            <w:top w:w="0" w:type="dxa"/>
            <w:left w:w="108" w:type="dxa"/>
            <w:bottom w:w="0" w:type="dxa"/>
            <w:right w:w="108" w:type="dxa"/>
          </w:tblCellMar>
        </w:tblPrEx>
        <w:trPr>
          <w:gridBefore w:val="1"/>
          <w:gridAfter w:val="1"/>
          <w:wBefore w:w="468" w:type="dxa"/>
          <w:wAfter w:w="295" w:type="dxa"/>
          <w:trHeight w:val="1330" w:hRule="atLeast"/>
        </w:trPr>
        <w:tc>
          <w:tcPr>
            <w:tcW w:w="2160" w:type="dxa"/>
            <w:tcBorders>
              <w:top w:val="nil"/>
              <w:left w:val="single" w:color="auto" w:sz="4" w:space="0"/>
              <w:bottom w:val="single" w:color="auto" w:sz="4" w:space="0"/>
              <w:right w:val="single" w:color="auto" w:sz="4" w:space="0"/>
            </w:tcBorders>
            <w:noWrap w:val="0"/>
            <w:vAlign w:val="center"/>
          </w:tcPr>
          <w:p>
            <w:pPr>
              <w:spacing w:line="540" w:lineRule="exact"/>
              <w:jc w:val="center"/>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传真</w:t>
            </w:r>
          </w:p>
        </w:tc>
        <w:tc>
          <w:tcPr>
            <w:tcW w:w="2340" w:type="dxa"/>
            <w:tcBorders>
              <w:top w:val="nil"/>
              <w:left w:val="nil"/>
              <w:bottom w:val="single" w:color="auto" w:sz="4" w:space="0"/>
              <w:right w:val="single" w:color="auto" w:sz="4" w:space="0"/>
            </w:tcBorders>
            <w:noWrap w:val="0"/>
            <w:vAlign w:val="center"/>
          </w:tcPr>
          <w:p>
            <w:pPr>
              <w:spacing w:line="540" w:lineRule="exact"/>
              <w:jc w:val="center"/>
              <w:rPr>
                <w:rFonts w:hint="default" w:ascii="宋体" w:hAnsi="宋体" w:eastAsia="宋体" w:cs="Times New Roman"/>
                <w:b/>
                <w:bCs/>
                <w:color w:val="000000"/>
                <w:kern w:val="2"/>
                <w:sz w:val="21"/>
                <w:szCs w:val="21"/>
                <w:lang w:val="en-US" w:eastAsia="zh-CN" w:bidi="ar-SA"/>
              </w:rPr>
            </w:pPr>
          </w:p>
        </w:tc>
        <w:tc>
          <w:tcPr>
            <w:tcW w:w="1800" w:type="dxa"/>
            <w:tcBorders>
              <w:top w:val="nil"/>
              <w:left w:val="nil"/>
              <w:bottom w:val="single" w:color="auto" w:sz="4" w:space="0"/>
              <w:right w:val="single" w:color="auto" w:sz="4" w:space="0"/>
            </w:tcBorders>
            <w:noWrap w:val="0"/>
            <w:vAlign w:val="center"/>
          </w:tcPr>
          <w:p>
            <w:pPr>
              <w:spacing w:line="540" w:lineRule="exact"/>
              <w:jc w:val="center"/>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电子邮箱</w:t>
            </w:r>
          </w:p>
        </w:tc>
        <w:tc>
          <w:tcPr>
            <w:tcW w:w="7020" w:type="dxa"/>
            <w:gridSpan w:val="3"/>
            <w:tcBorders>
              <w:top w:val="nil"/>
              <w:left w:val="nil"/>
              <w:bottom w:val="single" w:color="auto" w:sz="4" w:space="0"/>
              <w:right w:val="single" w:color="auto" w:sz="4" w:space="0"/>
            </w:tcBorders>
            <w:noWrap w:val="0"/>
            <w:vAlign w:val="bottom"/>
          </w:tcPr>
          <w:p>
            <w:pPr>
              <w:spacing w:line="540" w:lineRule="exact"/>
              <w:jc w:val="center"/>
              <w:rPr>
                <w:rFonts w:hint="default" w:ascii="宋体" w:hAnsi="宋体" w:eastAsia="宋体" w:cs="Times New Roman"/>
                <w:b/>
                <w:bCs/>
                <w:color w:val="000000"/>
                <w:kern w:val="2"/>
                <w:sz w:val="21"/>
                <w:szCs w:val="21"/>
                <w:lang w:val="en-US" w:eastAsia="zh-CN" w:bidi="ar-SA"/>
              </w:rPr>
            </w:pPr>
          </w:p>
        </w:tc>
      </w:tr>
    </w:tbl>
    <w:p>
      <w:pPr>
        <w:spacing w:line="540" w:lineRule="exact"/>
        <w:rPr>
          <w:rFonts w:hint="default" w:eastAsia="仿宋_GB2312"/>
          <w:sz w:val="28"/>
          <w:szCs w:val="28"/>
          <w:lang w:val="en-US" w:eastAsia="zh-CN"/>
        </w:rPr>
      </w:pPr>
      <w:r>
        <w:rPr>
          <w:rFonts w:hint="eastAsia" w:ascii="宋体" w:hAnsi="宋体"/>
          <w:color w:val="000000"/>
          <w:lang w:val="en-US" w:eastAsia="zh-CN"/>
        </w:rPr>
        <w:t xml:space="preserve">    </w:t>
      </w:r>
      <w:r>
        <w:rPr>
          <w:rFonts w:hint="eastAsia" w:ascii="宋体" w:hAnsi="宋体"/>
          <w:color w:val="000000"/>
        </w:rPr>
        <w:t>注：请于</w:t>
      </w:r>
      <w:r>
        <w:rPr>
          <w:rFonts w:hint="eastAsia" w:ascii="宋体" w:hAnsi="宋体"/>
          <w:color w:val="000000"/>
          <w:lang w:val="en-US" w:eastAsia="zh-CN"/>
        </w:rPr>
        <w:t>6</w:t>
      </w:r>
      <w:r>
        <w:rPr>
          <w:rFonts w:hint="eastAsia" w:ascii="宋体" w:hAnsi="宋体"/>
          <w:color w:val="000000"/>
        </w:rPr>
        <w:t>月</w:t>
      </w:r>
      <w:r>
        <w:rPr>
          <w:rFonts w:hint="eastAsia" w:ascii="宋体" w:hAnsi="宋体"/>
          <w:color w:val="000000"/>
          <w:lang w:val="en-US" w:eastAsia="zh-CN"/>
        </w:rPr>
        <w:t>10</w:t>
      </w:r>
      <w:r>
        <w:rPr>
          <w:rFonts w:hint="eastAsia" w:ascii="宋体" w:hAnsi="宋体"/>
          <w:color w:val="000000"/>
        </w:rPr>
        <w:t>日前将此表</w:t>
      </w:r>
      <w:r>
        <w:rPr>
          <w:rFonts w:hint="eastAsia" w:ascii="宋体" w:hAnsi="宋体"/>
          <w:color w:val="000000"/>
          <w:lang w:eastAsia="zh-CN"/>
        </w:rPr>
        <w:t>发</w:t>
      </w:r>
      <w:r>
        <w:rPr>
          <w:rFonts w:hint="eastAsia" w:ascii="宋体" w:hAnsi="宋体"/>
          <w:color w:val="000000"/>
        </w:rPr>
        <w:t>至</w:t>
      </w:r>
      <w:r>
        <w:rPr>
          <w:rFonts w:hint="eastAsia" w:ascii="宋体" w:hAnsi="宋体"/>
          <w:color w:val="000000"/>
          <w:lang w:eastAsia="zh-CN"/>
        </w:rPr>
        <w:t>邮箱：</w:t>
      </w:r>
      <w:r>
        <w:rPr>
          <w:rFonts w:hint="eastAsia" w:ascii="宋体" w:hAnsi="宋体" w:cs="Times New Roman"/>
          <w:b/>
          <w:bCs/>
          <w:color w:val="000000"/>
          <w:kern w:val="2"/>
          <w:sz w:val="28"/>
          <w:szCs w:val="28"/>
          <w:lang w:val="en-US" w:eastAsia="zh-CN" w:bidi="ar-SA"/>
        </w:rPr>
        <w:t>nkqyjj_fxk@tj.gov.cn</w:t>
      </w:r>
    </w:p>
    <w:p>
      <w:pPr>
        <w:spacing w:line="540" w:lineRule="exact"/>
        <w:rPr>
          <w:rFonts w:hint="eastAsia" w:ascii="黑体" w:hAnsi="黑体" w:eastAsia="黑体" w:cs="宋体"/>
          <w:color w:val="000000"/>
          <w:sz w:val="32"/>
          <w:szCs w:val="32"/>
        </w:rPr>
      </w:pPr>
    </w:p>
    <w:p>
      <w:pPr>
        <w:pStyle w:val="7"/>
        <w:rPr>
          <w:rFonts w:hint="eastAsia" w:ascii="黑体" w:hAnsi="黑体" w:eastAsia="黑体" w:cs="宋体"/>
          <w:color w:val="000000"/>
          <w:sz w:val="32"/>
          <w:szCs w:val="32"/>
        </w:rPr>
      </w:pPr>
    </w:p>
    <w:p>
      <w:pPr>
        <w:pStyle w:val="7"/>
        <w:rPr>
          <w:rFonts w:hint="eastAsia" w:ascii="黑体" w:hAnsi="黑体" w:eastAsia="黑体" w:cs="宋体"/>
          <w:color w:val="000000"/>
          <w:sz w:val="32"/>
          <w:szCs w:val="32"/>
        </w:rPr>
      </w:pPr>
    </w:p>
    <w:p>
      <w:pPr>
        <w:pStyle w:val="7"/>
        <w:rPr>
          <w:rFonts w:hint="eastAsia" w:ascii="黑体" w:hAnsi="黑体" w:eastAsia="黑体" w:cs="宋体"/>
          <w:color w:val="000000"/>
          <w:sz w:val="32"/>
          <w:szCs w:val="32"/>
        </w:rPr>
        <w:sectPr>
          <w:pgSz w:w="16838" w:h="11906" w:orient="landscape"/>
          <w:pgMar w:top="1587" w:right="2098" w:bottom="1474" w:left="1984" w:header="851" w:footer="992" w:gutter="0"/>
          <w:pgNumType w:fmt="decimal"/>
          <w:cols w:space="0" w:num="1"/>
          <w:rtlGutter w:val="0"/>
          <w:docGrid w:linePitch="462" w:charSpace="0"/>
        </w:sectPr>
      </w:pPr>
    </w:p>
    <w:p>
      <w:pPr>
        <w:pStyle w:val="7"/>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黑体" w:hAnsi="黑体" w:eastAsia="黑体" w:cs="宋体"/>
          <w:color w:val="000000"/>
          <w:sz w:val="32"/>
          <w:szCs w:val="32"/>
          <w:lang w:val="en-US" w:eastAsia="zh-CN"/>
        </w:rPr>
      </w:pPr>
      <w:r>
        <w:rPr>
          <w:rFonts w:hint="eastAsia" w:ascii="黑体" w:hAnsi="黑体" w:eastAsia="黑体" w:cs="宋体"/>
          <w:color w:val="000000"/>
          <w:sz w:val="32"/>
          <w:szCs w:val="32"/>
          <w:lang w:eastAsia="zh-CN"/>
        </w:rPr>
        <w:t>附件</w:t>
      </w:r>
      <w:r>
        <w:rPr>
          <w:rFonts w:hint="eastAsia" w:ascii="黑体" w:hAnsi="黑体" w:eastAsia="黑体" w:cs="宋体"/>
          <w:color w:val="000000"/>
          <w:sz w:val="32"/>
          <w:szCs w:val="32"/>
          <w:lang w:val="en-US" w:eastAsia="zh-CN"/>
        </w:rPr>
        <w:t>2</w:t>
      </w:r>
    </w:p>
    <w:p>
      <w:pPr>
        <w:pStyle w:val="6"/>
        <w:keepNext w:val="0"/>
        <w:keepLines w:val="0"/>
        <w:widowControl/>
        <w:suppressLineNumbers w:val="0"/>
        <w:autoSpaceDE w:val="0"/>
        <w:autoSpaceDN/>
        <w:spacing w:line="600" w:lineRule="atLeast"/>
        <w:ind w:firstLine="1280" w:firstLineChars="400"/>
        <w:rPr>
          <w:rFonts w:hint="eastAsia" w:hAnsi="Times New Roman" w:cs="仿宋_GB2312"/>
          <w:b/>
          <w:bCs/>
          <w:sz w:val="32"/>
          <w:szCs w:val="32"/>
          <w:lang w:val="en-US" w:eastAsia="zh-CN"/>
        </w:rPr>
      </w:pPr>
      <w:r>
        <w:rPr>
          <w:rFonts w:hint="eastAsia" w:hAnsi="Times New Roman" w:cs="仿宋_GB2312"/>
          <w:b/>
          <w:bCs/>
          <w:sz w:val="32"/>
          <w:szCs w:val="32"/>
          <w:lang w:val="en-US" w:eastAsia="zh-CN"/>
        </w:rPr>
        <w:t>安委会相关成员单位安全生产月工作落实清单</w:t>
      </w:r>
    </w:p>
    <w:tbl>
      <w:tblPr>
        <w:tblStyle w:val="9"/>
        <w:tblpPr w:leftFromText="180" w:rightFromText="180" w:vertAnchor="text" w:tblpX="236" w:tblpY="145"/>
        <w:tblOverlap w:val="never"/>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275"/>
        <w:gridCol w:w="5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5" w:type="dxa"/>
          </w:tcPr>
          <w:p>
            <w:pPr>
              <w:pStyle w:val="6"/>
              <w:keepNext w:val="0"/>
              <w:keepLines w:val="0"/>
              <w:widowControl/>
              <w:suppressLineNumbers w:val="0"/>
              <w:autoSpaceDE w:val="0"/>
              <w:autoSpaceDN/>
              <w:spacing w:line="600" w:lineRule="atLeast"/>
              <w:jc w:val="center"/>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序号</w:t>
            </w:r>
          </w:p>
        </w:tc>
        <w:tc>
          <w:tcPr>
            <w:tcW w:w="3275" w:type="dxa"/>
            <w:vAlign w:val="center"/>
          </w:tcPr>
          <w:p>
            <w:pPr>
              <w:pStyle w:val="6"/>
              <w:keepNext w:val="0"/>
              <w:keepLines w:val="0"/>
              <w:widowControl/>
              <w:suppressLineNumbers w:val="0"/>
              <w:autoSpaceDE w:val="0"/>
              <w:autoSpaceDN/>
              <w:spacing w:line="600" w:lineRule="atLeast"/>
              <w:jc w:val="center"/>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单位</w:t>
            </w:r>
          </w:p>
        </w:tc>
        <w:tc>
          <w:tcPr>
            <w:tcW w:w="5050" w:type="dxa"/>
            <w:vAlign w:val="center"/>
          </w:tcPr>
          <w:p>
            <w:pPr>
              <w:pStyle w:val="6"/>
              <w:keepNext w:val="0"/>
              <w:keepLines w:val="0"/>
              <w:widowControl/>
              <w:suppressLineNumbers w:val="0"/>
              <w:autoSpaceDE w:val="0"/>
              <w:autoSpaceDN/>
              <w:spacing w:line="600" w:lineRule="atLeast"/>
              <w:jc w:val="center"/>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落实清单内容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1</w:t>
            </w:r>
          </w:p>
        </w:tc>
        <w:tc>
          <w:tcPr>
            <w:tcW w:w="327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区城管委</w:t>
            </w:r>
          </w:p>
        </w:tc>
        <w:tc>
          <w:tcPr>
            <w:tcW w:w="5050" w:type="dxa"/>
          </w:tcPr>
          <w:p>
            <w:pPr>
              <w:rPr>
                <w:rFonts w:hint="default"/>
                <w:sz w:val="28"/>
                <w:szCs w:val="28"/>
                <w:lang w:val="en-US" w:eastAsia="zh-CN"/>
              </w:rPr>
            </w:pPr>
            <w:r>
              <w:rPr>
                <w:rFonts w:hint="eastAsia"/>
                <w:sz w:val="24"/>
                <w:szCs w:val="24"/>
                <w:lang w:val="en-US" w:eastAsia="zh-CN"/>
              </w:rPr>
              <w:t>推动监督分管领域单位，开展《生命重于泰山》集中观看活动，宣传贯彻安全生产法推动“第一责任人”守法履责活动，学习宣传贯彻“安全生产十五条措施”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2</w:t>
            </w:r>
          </w:p>
        </w:tc>
        <w:tc>
          <w:tcPr>
            <w:tcW w:w="327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区住建委</w:t>
            </w:r>
          </w:p>
        </w:tc>
        <w:tc>
          <w:tcPr>
            <w:tcW w:w="5050" w:type="dxa"/>
          </w:tcPr>
          <w:p>
            <w:pPr>
              <w:pStyle w:val="6"/>
              <w:keepNext w:val="0"/>
              <w:keepLines w:val="0"/>
              <w:pageBreakBefore w:val="0"/>
              <w:widowControl/>
              <w:suppressLineNumbers w:val="0"/>
              <w:kinsoku/>
              <w:wordWrap/>
              <w:overflowPunct/>
              <w:topLinePunct w:val="0"/>
              <w:autoSpaceDE w:val="0"/>
              <w:autoSpaceDN/>
              <w:bidi w:val="0"/>
              <w:adjustRightInd/>
              <w:snapToGrid/>
              <w:spacing w:line="240" w:lineRule="auto"/>
              <w:textAlignment w:val="auto"/>
              <w:rPr>
                <w:rFonts w:hint="default" w:hAnsi="Times New Roman" w:cs="仿宋_GB2312"/>
                <w:b/>
                <w:bCs/>
                <w:sz w:val="32"/>
                <w:szCs w:val="32"/>
                <w:vertAlign w:val="baseline"/>
                <w:lang w:val="en-US" w:eastAsia="zh-CN"/>
              </w:rPr>
            </w:pPr>
            <w:r>
              <w:rPr>
                <w:rFonts w:hint="eastAsia" w:ascii="Calibri" w:hAnsi="Calibri" w:eastAsia="Calibri" w:cs="Times New Roman"/>
                <w:kern w:val="2"/>
                <w:sz w:val="24"/>
                <w:szCs w:val="24"/>
                <w:lang w:val="en-US" w:eastAsia="zh-CN" w:bidi="ar-SA"/>
              </w:rPr>
              <w:t>推动监督建筑企业、物业管理公司开展《生命重于泰山》集中观看活动，宣传贯彻安全生产法推动“第一责任人”守法履责活动，学习宣传贯彻“安全生产十五条措施”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3</w:t>
            </w:r>
          </w:p>
        </w:tc>
        <w:tc>
          <w:tcPr>
            <w:tcW w:w="327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区教育局</w:t>
            </w:r>
          </w:p>
        </w:tc>
        <w:tc>
          <w:tcPr>
            <w:tcW w:w="5050" w:type="dxa"/>
          </w:tcPr>
          <w:p>
            <w:pPr>
              <w:pStyle w:val="6"/>
              <w:keepNext w:val="0"/>
              <w:keepLines w:val="0"/>
              <w:pageBreakBefore w:val="0"/>
              <w:widowControl/>
              <w:suppressLineNumbers w:val="0"/>
              <w:kinsoku/>
              <w:wordWrap/>
              <w:overflowPunct/>
              <w:topLinePunct w:val="0"/>
              <w:autoSpaceDE w:val="0"/>
              <w:autoSpaceDN/>
              <w:bidi w:val="0"/>
              <w:adjustRightInd/>
              <w:snapToGrid/>
              <w:spacing w:line="240" w:lineRule="auto"/>
              <w:textAlignment w:val="auto"/>
              <w:rPr>
                <w:rFonts w:hint="default" w:hAnsi="Times New Roman" w:cs="仿宋_GB2312"/>
                <w:b/>
                <w:bCs/>
                <w:sz w:val="32"/>
                <w:szCs w:val="32"/>
                <w:vertAlign w:val="baseline"/>
                <w:lang w:val="en-US" w:eastAsia="zh-CN"/>
              </w:rPr>
            </w:pPr>
            <w:r>
              <w:rPr>
                <w:rFonts w:hint="eastAsia"/>
                <w:lang w:val="en-US" w:eastAsia="zh-CN"/>
              </w:rPr>
              <w:t>落实安全“进学校”活动，开展《生命重于泰山》集中观看活动，宣传贯彻安全生产法推动“第一责任人”守法履责活动，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6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4</w:t>
            </w:r>
          </w:p>
        </w:tc>
        <w:tc>
          <w:tcPr>
            <w:tcW w:w="327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区民政局</w:t>
            </w:r>
          </w:p>
        </w:tc>
        <w:tc>
          <w:tcPr>
            <w:tcW w:w="5050" w:type="dxa"/>
          </w:tcPr>
          <w:p>
            <w:pPr>
              <w:pStyle w:val="6"/>
              <w:keepNext w:val="0"/>
              <w:keepLines w:val="0"/>
              <w:pageBreakBefore w:val="0"/>
              <w:widowControl/>
              <w:suppressLineNumbers w:val="0"/>
              <w:kinsoku/>
              <w:wordWrap/>
              <w:overflowPunct/>
              <w:topLinePunct w:val="0"/>
              <w:autoSpaceDE w:val="0"/>
              <w:autoSpaceDN/>
              <w:bidi w:val="0"/>
              <w:adjustRightInd/>
              <w:snapToGrid/>
              <w:spacing w:line="240" w:lineRule="auto"/>
              <w:textAlignment w:val="auto"/>
              <w:rPr>
                <w:rFonts w:hint="default" w:hAnsi="Times New Roman" w:cs="仿宋_GB2312"/>
                <w:b/>
                <w:bCs/>
                <w:sz w:val="32"/>
                <w:szCs w:val="32"/>
                <w:vertAlign w:val="baseline"/>
                <w:lang w:val="en-US" w:eastAsia="zh-CN"/>
              </w:rPr>
            </w:pPr>
            <w:r>
              <w:rPr>
                <w:rFonts w:hint="eastAsia"/>
                <w:lang w:val="en-US" w:eastAsia="zh-CN"/>
              </w:rPr>
              <w:t>推动监督养老机构开展《生命重于泰山》集中观看活动，宣传贯彻安全生产法推动“第一责任人”守法履责活动，学习宣传贯彻“安全生产十五条措施”。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5</w:t>
            </w:r>
          </w:p>
        </w:tc>
        <w:tc>
          <w:tcPr>
            <w:tcW w:w="327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区商务委</w:t>
            </w:r>
          </w:p>
        </w:tc>
        <w:tc>
          <w:tcPr>
            <w:tcW w:w="5050" w:type="dxa"/>
          </w:tcPr>
          <w:p>
            <w:pPr>
              <w:pStyle w:val="6"/>
              <w:keepNext w:val="0"/>
              <w:keepLines w:val="0"/>
              <w:pageBreakBefore w:val="0"/>
              <w:widowControl/>
              <w:suppressLineNumbers w:val="0"/>
              <w:kinsoku/>
              <w:wordWrap/>
              <w:overflowPunct/>
              <w:topLinePunct w:val="0"/>
              <w:autoSpaceDE w:val="0"/>
              <w:autoSpaceDN/>
              <w:bidi w:val="0"/>
              <w:adjustRightInd/>
              <w:snapToGrid/>
              <w:spacing w:line="240" w:lineRule="auto"/>
              <w:textAlignment w:val="auto"/>
              <w:rPr>
                <w:rFonts w:hint="default" w:hAnsi="Times New Roman" w:cs="仿宋_GB2312"/>
                <w:b/>
                <w:bCs/>
                <w:sz w:val="32"/>
                <w:szCs w:val="32"/>
                <w:vertAlign w:val="baseline"/>
                <w:lang w:val="en-US" w:eastAsia="zh-CN"/>
              </w:rPr>
            </w:pPr>
            <w:r>
              <w:rPr>
                <w:rFonts w:hint="eastAsia"/>
                <w:lang w:val="en-US" w:eastAsia="zh-CN"/>
              </w:rPr>
              <w:t>推动监督大型商业综合体、商场超市开展《生命重于泰山》集中观看活动，宣传贯彻安全生产法推动“第一责任人”守法履责活动，学习宣传贯彻“安全生产十五条措施”，指导具有LED大屏播放条件的大型商业综合体播放宣传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6</w:t>
            </w:r>
          </w:p>
        </w:tc>
        <w:tc>
          <w:tcPr>
            <w:tcW w:w="327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区应急管理局</w:t>
            </w:r>
          </w:p>
        </w:tc>
        <w:tc>
          <w:tcPr>
            <w:tcW w:w="5050" w:type="dxa"/>
          </w:tcPr>
          <w:p>
            <w:pPr>
              <w:pStyle w:val="6"/>
              <w:keepNext w:val="0"/>
              <w:keepLines w:val="0"/>
              <w:pageBreakBefore w:val="0"/>
              <w:widowControl/>
              <w:suppressLineNumbers w:val="0"/>
              <w:kinsoku/>
              <w:wordWrap/>
              <w:overflowPunct/>
              <w:topLinePunct w:val="0"/>
              <w:autoSpaceDE w:val="0"/>
              <w:autoSpaceDN/>
              <w:bidi w:val="0"/>
              <w:adjustRightInd/>
              <w:snapToGrid/>
              <w:spacing w:line="240" w:lineRule="auto"/>
              <w:textAlignment w:val="auto"/>
              <w:rPr>
                <w:rFonts w:hint="default" w:hAnsi="Times New Roman" w:cs="仿宋_GB2312"/>
                <w:b/>
                <w:bCs/>
                <w:sz w:val="32"/>
                <w:szCs w:val="32"/>
                <w:vertAlign w:val="baseline"/>
                <w:lang w:val="en-US" w:eastAsia="zh-CN"/>
              </w:rPr>
            </w:pPr>
            <w:r>
              <w:rPr>
                <w:rFonts w:hint="eastAsia"/>
                <w:lang w:val="en-US" w:eastAsia="zh-CN"/>
              </w:rPr>
              <w:t>推动监督危化品经营单位、规模以上工贸企业开展《生命重于泰山》集中观看活动，宣传贯彻安全生产法推动“第一责任人”守法履责活动，学习宣传贯彻“安全生产十五条措施”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7</w:t>
            </w:r>
          </w:p>
        </w:tc>
        <w:tc>
          <w:tcPr>
            <w:tcW w:w="327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区国资委</w:t>
            </w:r>
          </w:p>
        </w:tc>
        <w:tc>
          <w:tcPr>
            <w:tcW w:w="5050" w:type="dxa"/>
          </w:tcPr>
          <w:p>
            <w:pPr>
              <w:pStyle w:val="6"/>
              <w:keepNext w:val="0"/>
              <w:keepLines w:val="0"/>
              <w:pageBreakBefore w:val="0"/>
              <w:widowControl/>
              <w:suppressLineNumbers w:val="0"/>
              <w:kinsoku/>
              <w:wordWrap/>
              <w:overflowPunct/>
              <w:topLinePunct w:val="0"/>
              <w:autoSpaceDE w:val="0"/>
              <w:autoSpaceDN/>
              <w:bidi w:val="0"/>
              <w:adjustRightInd/>
              <w:snapToGrid/>
              <w:spacing w:line="240" w:lineRule="auto"/>
              <w:textAlignment w:val="auto"/>
              <w:rPr>
                <w:rFonts w:hint="default" w:hAnsi="Times New Roman" w:cs="仿宋_GB2312"/>
                <w:b/>
                <w:bCs/>
                <w:sz w:val="32"/>
                <w:szCs w:val="32"/>
                <w:vertAlign w:val="baseline"/>
                <w:lang w:val="en-US" w:eastAsia="zh-CN"/>
              </w:rPr>
            </w:pPr>
            <w:r>
              <w:rPr>
                <w:rFonts w:hint="eastAsia"/>
                <w:lang w:val="en-US" w:eastAsia="zh-CN"/>
              </w:rPr>
              <w:t>推动监督分管领域单位，开展《生命重于泰山》集中观看活动，宣传贯彻安全生产法推动“第一责任人”守法履责活动，学习宣传贯彻“安全生产十五条措施”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8</w:t>
            </w:r>
          </w:p>
        </w:tc>
        <w:tc>
          <w:tcPr>
            <w:tcW w:w="327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区卫健委</w:t>
            </w:r>
          </w:p>
        </w:tc>
        <w:tc>
          <w:tcPr>
            <w:tcW w:w="5050" w:type="dxa"/>
          </w:tcPr>
          <w:p>
            <w:pPr>
              <w:pStyle w:val="6"/>
              <w:keepNext w:val="0"/>
              <w:keepLines w:val="0"/>
              <w:pageBreakBefore w:val="0"/>
              <w:widowControl/>
              <w:suppressLineNumbers w:val="0"/>
              <w:kinsoku/>
              <w:wordWrap/>
              <w:overflowPunct/>
              <w:topLinePunct w:val="0"/>
              <w:autoSpaceDE w:val="0"/>
              <w:autoSpaceDN/>
              <w:bidi w:val="0"/>
              <w:adjustRightInd/>
              <w:snapToGrid/>
              <w:spacing w:line="240" w:lineRule="auto"/>
              <w:textAlignment w:val="auto"/>
              <w:rPr>
                <w:rFonts w:hint="default" w:hAnsi="Times New Roman" w:cs="仿宋_GB2312"/>
                <w:b/>
                <w:bCs/>
                <w:sz w:val="32"/>
                <w:szCs w:val="32"/>
                <w:vertAlign w:val="baseline"/>
                <w:lang w:val="en-US" w:eastAsia="zh-CN"/>
              </w:rPr>
            </w:pPr>
            <w:r>
              <w:rPr>
                <w:rFonts w:hint="eastAsia"/>
                <w:lang w:val="en-US" w:eastAsia="zh-CN"/>
              </w:rPr>
              <w:t>推动监督医疗卫生机构，开展《生命重于泰山》集中观看活动，宣传贯彻安全生产法推动“第一责任人”守法履责活动，学习宣传贯彻“安全生产十五条措施”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9</w:t>
            </w:r>
          </w:p>
        </w:tc>
        <w:tc>
          <w:tcPr>
            <w:tcW w:w="3275" w:type="dxa"/>
          </w:tcPr>
          <w:p>
            <w:pPr>
              <w:pStyle w:val="6"/>
              <w:keepNext w:val="0"/>
              <w:keepLines w:val="0"/>
              <w:widowControl/>
              <w:suppressLineNumbers w:val="0"/>
              <w:autoSpaceDE w:val="0"/>
              <w:autoSpaceDN/>
              <w:spacing w:line="600" w:lineRule="atLeast"/>
              <w:rPr>
                <w:rFonts w:hint="eastAsia"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区体育局</w:t>
            </w:r>
          </w:p>
        </w:tc>
        <w:tc>
          <w:tcPr>
            <w:tcW w:w="5050" w:type="dxa"/>
          </w:tcPr>
          <w:p>
            <w:pPr>
              <w:pStyle w:val="6"/>
              <w:keepNext w:val="0"/>
              <w:keepLines w:val="0"/>
              <w:pageBreakBefore w:val="0"/>
              <w:widowControl/>
              <w:suppressLineNumbers w:val="0"/>
              <w:kinsoku/>
              <w:wordWrap/>
              <w:overflowPunct/>
              <w:topLinePunct w:val="0"/>
              <w:autoSpaceDE w:val="0"/>
              <w:autoSpaceDN/>
              <w:bidi w:val="0"/>
              <w:adjustRightInd/>
              <w:snapToGrid/>
              <w:spacing w:line="240" w:lineRule="auto"/>
              <w:textAlignment w:val="auto"/>
              <w:rPr>
                <w:rFonts w:hint="eastAsia"/>
                <w:lang w:val="en-US" w:eastAsia="zh-CN"/>
              </w:rPr>
            </w:pPr>
            <w:r>
              <w:rPr>
                <w:rFonts w:hint="eastAsia"/>
                <w:lang w:val="en-US" w:eastAsia="zh-CN"/>
              </w:rPr>
              <w:t>推动监督分管领域单位，开展《生命重于泰山》集中观看活动，宣传贯彻安全生产法推动“第一责任人”守法履责活动，学习宣传贯彻“安全生产十五条措施”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10</w:t>
            </w:r>
          </w:p>
        </w:tc>
        <w:tc>
          <w:tcPr>
            <w:tcW w:w="3275" w:type="dxa"/>
          </w:tcPr>
          <w:p>
            <w:pPr>
              <w:pStyle w:val="6"/>
              <w:keepNext w:val="0"/>
              <w:keepLines w:val="0"/>
              <w:widowControl/>
              <w:suppressLineNumbers w:val="0"/>
              <w:autoSpaceDE w:val="0"/>
              <w:autoSpaceDN/>
              <w:spacing w:line="600" w:lineRule="atLeast"/>
              <w:rPr>
                <w:rFonts w:hint="eastAsia"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区文旅局</w:t>
            </w:r>
          </w:p>
        </w:tc>
        <w:tc>
          <w:tcPr>
            <w:tcW w:w="5050" w:type="dxa"/>
          </w:tcPr>
          <w:p>
            <w:pPr>
              <w:pStyle w:val="6"/>
              <w:keepNext w:val="0"/>
              <w:keepLines w:val="0"/>
              <w:pageBreakBefore w:val="0"/>
              <w:widowControl/>
              <w:suppressLineNumbers w:val="0"/>
              <w:kinsoku/>
              <w:wordWrap/>
              <w:overflowPunct/>
              <w:topLinePunct w:val="0"/>
              <w:autoSpaceDE w:val="0"/>
              <w:autoSpaceDN/>
              <w:bidi w:val="0"/>
              <w:adjustRightInd/>
              <w:snapToGrid/>
              <w:spacing w:line="240" w:lineRule="auto"/>
              <w:textAlignment w:val="auto"/>
              <w:rPr>
                <w:rFonts w:hint="eastAsia"/>
                <w:lang w:val="en-US" w:eastAsia="zh-CN"/>
              </w:rPr>
            </w:pPr>
            <w:r>
              <w:rPr>
                <w:rFonts w:hint="eastAsia"/>
                <w:lang w:val="en-US" w:eastAsia="zh-CN"/>
              </w:rPr>
              <w:t>推动监督分管领域单位，开展《生命重于泰山》集中观看活动，宣传贯彻安全生产法推动“第一责任人”守法履责活动，学习宣传贯彻“安全生产十五条措施”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11</w:t>
            </w:r>
          </w:p>
        </w:tc>
        <w:tc>
          <w:tcPr>
            <w:tcW w:w="3275" w:type="dxa"/>
          </w:tcPr>
          <w:p>
            <w:pPr>
              <w:pStyle w:val="6"/>
              <w:keepNext w:val="0"/>
              <w:keepLines w:val="0"/>
              <w:widowControl/>
              <w:suppressLineNumbers w:val="0"/>
              <w:autoSpaceDE w:val="0"/>
              <w:autoSpaceDN/>
              <w:spacing w:line="600" w:lineRule="atLeast"/>
              <w:rPr>
                <w:rFonts w:hint="default" w:hAnsi="Times New Roman" w:cs="仿宋_GB2312"/>
                <w:b/>
                <w:bCs/>
                <w:sz w:val="32"/>
                <w:szCs w:val="32"/>
                <w:vertAlign w:val="baseline"/>
                <w:lang w:val="en-US" w:eastAsia="zh-CN"/>
              </w:rPr>
            </w:pPr>
            <w:r>
              <w:rPr>
                <w:rFonts w:hint="eastAsia" w:hAnsi="Times New Roman" w:cs="仿宋_GB2312"/>
                <w:b/>
                <w:bCs/>
                <w:sz w:val="32"/>
                <w:szCs w:val="32"/>
                <w:vertAlign w:val="baseline"/>
                <w:lang w:val="en-US" w:eastAsia="zh-CN"/>
              </w:rPr>
              <w:t>区12个街道办事处</w:t>
            </w:r>
          </w:p>
        </w:tc>
        <w:tc>
          <w:tcPr>
            <w:tcW w:w="5050" w:type="dxa"/>
          </w:tcPr>
          <w:p>
            <w:pPr>
              <w:pStyle w:val="6"/>
              <w:keepNext w:val="0"/>
              <w:keepLines w:val="0"/>
              <w:pageBreakBefore w:val="0"/>
              <w:widowControl/>
              <w:suppressLineNumbers w:val="0"/>
              <w:kinsoku/>
              <w:wordWrap/>
              <w:overflowPunct/>
              <w:topLinePunct w:val="0"/>
              <w:autoSpaceDE w:val="0"/>
              <w:autoSpaceDN/>
              <w:bidi w:val="0"/>
              <w:adjustRightInd/>
              <w:snapToGrid/>
              <w:spacing w:line="240" w:lineRule="auto"/>
              <w:textAlignment w:val="auto"/>
              <w:rPr>
                <w:rFonts w:hint="eastAsia"/>
                <w:lang w:val="en-US" w:eastAsia="zh-CN"/>
              </w:rPr>
            </w:pPr>
            <w:r>
              <w:rPr>
                <w:rFonts w:hint="eastAsia"/>
                <w:lang w:val="en-US" w:eastAsia="zh-CN"/>
              </w:rPr>
              <w:t>推动监督社区，开展《生命重于泰山》集中观看活动，宣传贯彻安全生产法推动“第一责任人”守法履责活动，学习宣传贯彻“安全生产十五条措施”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0" w:type="dxa"/>
            <w:gridSpan w:val="3"/>
            <w:vAlign w:val="top"/>
          </w:tcPr>
          <w:p>
            <w:pPr>
              <w:pStyle w:val="6"/>
              <w:keepNext w:val="0"/>
              <w:keepLines w:val="0"/>
              <w:pageBreakBefore w:val="0"/>
              <w:widowControl/>
              <w:suppressLineNumbers w:val="0"/>
              <w:kinsoku/>
              <w:wordWrap/>
              <w:overflowPunct/>
              <w:topLinePunct/>
              <w:autoSpaceDE/>
              <w:autoSpaceDN/>
              <w:bidi w:val="0"/>
              <w:adjustRightInd/>
              <w:snapToGrid/>
              <w:spacing w:line="200" w:lineRule="atLeast"/>
              <w:jc w:val="both"/>
              <w:textAlignment w:val="auto"/>
              <w:rPr>
                <w:rFonts w:hint="eastAsia" w:hAnsi="Times New Roman" w:cs="仿宋_GB2312"/>
                <w:b/>
                <w:bCs/>
                <w:sz w:val="24"/>
                <w:szCs w:val="24"/>
                <w:vertAlign w:val="baseline"/>
                <w:lang w:val="en-US" w:eastAsia="zh-CN"/>
              </w:rPr>
            </w:pPr>
            <w:r>
              <w:rPr>
                <w:rFonts w:hint="eastAsia" w:hAnsi="Times New Roman" w:cs="仿宋_GB2312"/>
                <w:b/>
                <w:bCs/>
                <w:sz w:val="32"/>
                <w:szCs w:val="32"/>
                <w:vertAlign w:val="baseline"/>
                <w:lang w:val="en-US" w:eastAsia="zh-CN"/>
              </w:rPr>
              <w:t>注：</w:t>
            </w:r>
            <w:r>
              <w:rPr>
                <w:rFonts w:hint="eastAsia" w:hAnsi="Times New Roman" w:cs="仿宋_GB2312"/>
                <w:b/>
                <w:bCs/>
                <w:sz w:val="24"/>
                <w:szCs w:val="24"/>
                <w:vertAlign w:val="baseline"/>
                <w:lang w:val="en-US" w:eastAsia="zh-CN"/>
              </w:rPr>
              <w:t>以上各单位落实清单内容完成情况请按以下样式填写</w:t>
            </w:r>
          </w:p>
          <w:p>
            <w:pPr>
              <w:pStyle w:val="6"/>
              <w:keepNext w:val="0"/>
              <w:keepLines w:val="0"/>
              <w:pageBreakBefore w:val="0"/>
              <w:widowControl/>
              <w:suppressLineNumbers w:val="0"/>
              <w:kinsoku/>
              <w:wordWrap/>
              <w:overflowPunct/>
              <w:topLinePunct/>
              <w:autoSpaceDE/>
              <w:autoSpaceDN/>
              <w:bidi w:val="0"/>
              <w:adjustRightInd/>
              <w:snapToGrid/>
              <w:spacing w:line="0" w:lineRule="atLeast"/>
              <w:ind w:firstLine="560" w:firstLineChars="200"/>
              <w:jc w:val="both"/>
              <w:textAlignment w:val="auto"/>
              <w:rPr>
                <w:rFonts w:hint="default" w:hAnsi="Times New Roman" w:cs="仿宋_GB2312"/>
                <w:b/>
                <w:bCs/>
                <w:sz w:val="28"/>
                <w:szCs w:val="28"/>
                <w:vertAlign w:val="baseline"/>
                <w:lang w:val="en-US" w:eastAsia="zh-CN"/>
              </w:rPr>
            </w:pPr>
            <w:r>
              <w:rPr>
                <w:rFonts w:hint="eastAsia" w:hAnsi="Times New Roman" w:cs="仿宋_GB2312"/>
                <w:b/>
                <w:bCs/>
                <w:sz w:val="28"/>
                <w:szCs w:val="28"/>
                <w:vertAlign w:val="baseline"/>
                <w:lang w:val="en-US" w:eastAsia="zh-CN"/>
              </w:rPr>
              <w:t>专题研讨、集中宣讲、培训辅导（ ）场，参与（ ）人次；集中观看警示教育片（ ）场，参与人（ ）人次，并配活动开展图片，于6月28日前与活动总结一并报送区安办。</w:t>
            </w:r>
          </w:p>
          <w:p>
            <w:pPr>
              <w:pStyle w:val="6"/>
              <w:keepNext w:val="0"/>
              <w:keepLines w:val="0"/>
              <w:pageBreakBefore w:val="0"/>
              <w:widowControl/>
              <w:suppressLineNumbers w:val="0"/>
              <w:kinsoku/>
              <w:wordWrap/>
              <w:overflowPunct/>
              <w:autoSpaceDE w:val="0"/>
              <w:autoSpaceDN/>
              <w:bidi w:val="0"/>
              <w:adjustRightInd/>
              <w:snapToGrid/>
              <w:spacing w:line="200" w:lineRule="atLeast"/>
              <w:jc w:val="both"/>
              <w:textAlignment w:val="auto"/>
              <w:rPr>
                <w:rFonts w:hint="default" w:hAnsi="Times New Roman" w:cs="仿宋_GB2312"/>
                <w:b/>
                <w:bCs/>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p>
    <w:p>
      <w:pPr>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spacing w:val="-17"/>
          <w:sz w:val="34"/>
          <w:szCs w:val="34"/>
          <w:lang w:val="en-US" w:eastAsia="zh-CN"/>
        </w:rPr>
      </w:pPr>
    </w:p>
    <w:sectPr>
      <w:footerReference r:id="rId4" w:type="default"/>
      <w:pgSz w:w="11906" w:h="16838"/>
      <w:pgMar w:top="2098" w:right="1474" w:bottom="1984" w:left="1587"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r>
                            <w:rPr>
                              <w:rFonts w:hint="eastAsia" w:eastAsia="宋体"/>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r>
                      <w:rPr>
                        <w:rFonts w:hint="eastAsia" w:eastAsia="宋体"/>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210"/>
  <w:drawingGridVerticalSpacing w:val="999999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YTE2NTdmN2U3MmQ5YzZkNjVmZmYxMzI4YTQxMjMifQ=="/>
  </w:docVars>
  <w:rsids>
    <w:rsidRoot w:val="00000000"/>
    <w:rsid w:val="08A809F5"/>
    <w:rsid w:val="0CB40EFC"/>
    <w:rsid w:val="0EC1062A"/>
    <w:rsid w:val="11103642"/>
    <w:rsid w:val="11EC7D62"/>
    <w:rsid w:val="19794F07"/>
    <w:rsid w:val="1EF82D8E"/>
    <w:rsid w:val="223A09B5"/>
    <w:rsid w:val="229815DD"/>
    <w:rsid w:val="244D3B59"/>
    <w:rsid w:val="244F4A7E"/>
    <w:rsid w:val="2EA54D45"/>
    <w:rsid w:val="32180206"/>
    <w:rsid w:val="37BD584A"/>
    <w:rsid w:val="37C87FA8"/>
    <w:rsid w:val="3ADB1971"/>
    <w:rsid w:val="3FC12671"/>
    <w:rsid w:val="43B8143C"/>
    <w:rsid w:val="566C17E0"/>
    <w:rsid w:val="56C959B2"/>
    <w:rsid w:val="5D3A2E2D"/>
    <w:rsid w:val="5DB00468"/>
    <w:rsid w:val="5EB306C1"/>
    <w:rsid w:val="5F2557FB"/>
    <w:rsid w:val="6308165E"/>
    <w:rsid w:val="66AA298E"/>
    <w:rsid w:val="6C7EAD02"/>
    <w:rsid w:val="6FEE91CD"/>
    <w:rsid w:val="742453DD"/>
    <w:rsid w:val="75131652"/>
    <w:rsid w:val="7B6C2838"/>
    <w:rsid w:val="7BFD3B98"/>
    <w:rsid w:val="7F4F97C1"/>
    <w:rsid w:val="7F6B6CC4"/>
    <w:rsid w:val="BE539684"/>
    <w:rsid w:val="BFF514D1"/>
    <w:rsid w:val="BFFBE9FB"/>
    <w:rsid w:val="ED6F6FD5"/>
    <w:rsid w:val="FC7EB927"/>
    <w:rsid w:val="FCFF5346"/>
    <w:rsid w:val="FFBDAB9E"/>
    <w:rsid w:val="FFE98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2"/>
      <w:sz w:val="21"/>
      <w:szCs w:val="24"/>
      <w:lang w:val="en-US" w:eastAsia="zh-CN" w:bidi="ar-SA"/>
    </w:rPr>
  </w:style>
  <w:style w:type="paragraph" w:styleId="2">
    <w:name w:val="heading 4"/>
    <w:basedOn w:val="1"/>
    <w:next w:val="1"/>
    <w:qFormat/>
    <w:uiPriority w:val="0"/>
    <w:pPr>
      <w:keepNext/>
      <w:spacing w:before="240" w:after="60"/>
      <w:outlineLvl w:val="3"/>
    </w:pPr>
    <w:rPr>
      <w:rFonts w:ascii="Calibri" w:hAnsi="Calibri" w:eastAsia="宋体" w:cs="Times New Roman"/>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正文-公1"/>
    <w:basedOn w:val="1"/>
    <w:next w:val="1"/>
    <w:qFormat/>
    <w:uiPriority w:val="99"/>
    <w:pPr>
      <w:ind w:firstLine="200"/>
      <w:jc w:val="left"/>
    </w:pPr>
    <w:rPr>
      <w:rFonts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1616</Words>
  <Characters>1647</Characters>
  <Lines>0</Lines>
  <Paragraphs>0</Paragraphs>
  <TotalTime>10</TotalTime>
  <ScaleCrop>false</ScaleCrop>
  <LinksUpToDate>false</LinksUpToDate>
  <CharactersWithSpaces>1662</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dell</dc:creator>
  <cp:lastModifiedBy>kylin</cp:lastModifiedBy>
  <cp:lastPrinted>2022-03-18T10:07:00Z</cp:lastPrinted>
  <dcterms:modified xsi:type="dcterms:W3CDTF">2023-03-30T10:25:06Z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EAEB1135F295474C9CDCE7EF1DDFE764</vt:lpwstr>
  </property>
</Properties>
</file>