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bookmarkStart w:id="53" w:name="_GoBack"/>
      <w:bookmarkEnd w:id="53"/>
      <w:r>
        <w:rPr>
          <w:rFonts w:hint="eastAsia" w:ascii="方正小标宋简体" w:hAnsi="方正小标宋简体" w:eastAsia="方正小标宋简体" w:cs="方正小标宋简体"/>
          <w:b w:val="0"/>
          <w:bCs w:val="0"/>
          <w:sz w:val="44"/>
          <w:szCs w:val="44"/>
          <w:lang w:eastAsia="zh-CN"/>
        </w:rPr>
        <w:t>区文化和旅游局关于印发《南开区文化产业发展“十四五”规划》的通知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各有关单位：</w:t>
      </w:r>
    </w:p>
    <w:p>
      <w:pPr>
        <w:spacing w:line="360" w:lineRule="auto"/>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为深入贯彻新发展理念，大力推进文化产业高质量发展，根据《</w:t>
      </w:r>
      <w:r>
        <w:rPr>
          <w:rFonts w:hint="eastAsia" w:ascii="仿宋" w:hAnsi="仿宋" w:eastAsia="仿宋" w:cs="仿宋"/>
          <w:b w:val="0"/>
          <w:bCs w:val="0"/>
          <w:kern w:val="0"/>
          <w:sz w:val="32"/>
          <w:szCs w:val="32"/>
          <w:lang w:val="en-US" w:eastAsia="zh-CN" w:bidi="ar"/>
        </w:rPr>
        <w:t>天津市南开区国民经济和社会发展第十四个五年规划和二〇三五年远景目标纲要</w:t>
      </w:r>
      <w:r>
        <w:rPr>
          <w:rFonts w:hint="eastAsia" w:ascii="仿宋" w:hAnsi="仿宋" w:eastAsia="仿宋" w:cs="仿宋"/>
          <w:b w:val="0"/>
          <w:bCs w:val="0"/>
          <w:sz w:val="32"/>
          <w:szCs w:val="32"/>
          <w:lang w:val="en-US" w:eastAsia="zh-CN"/>
        </w:rPr>
        <w:t>》，区</w:t>
      </w:r>
      <w:r>
        <w:rPr>
          <w:rFonts w:hint="eastAsia" w:ascii="仿宋" w:hAnsi="仿宋" w:eastAsia="仿宋" w:cs="仿宋"/>
          <w:b w:val="0"/>
          <w:bCs w:val="0"/>
          <w:sz w:val="32"/>
          <w:szCs w:val="32"/>
          <w:lang w:eastAsia="zh-CN"/>
        </w:rPr>
        <w:t>文化和旅游局组织制</w:t>
      </w:r>
      <w:r>
        <w:rPr>
          <w:rFonts w:hint="eastAsia" w:ascii="仿宋" w:hAnsi="仿宋" w:eastAsia="仿宋" w:cs="仿宋"/>
          <w:b w:val="0"/>
          <w:bCs w:val="0"/>
          <w:sz w:val="32"/>
          <w:szCs w:val="32"/>
          <w:lang w:val="en-US" w:eastAsia="zh-CN"/>
        </w:rPr>
        <w:t>定了《南开区文化产业发展“十四五”规划》，请遵照执行，现予以引发。</w:t>
      </w:r>
    </w:p>
    <w:p>
      <w:pPr>
        <w:spacing w:line="360" w:lineRule="auto"/>
        <w:ind w:firstLine="880"/>
        <w:jc w:val="center"/>
        <w:rPr>
          <w:rFonts w:hint="eastAsia" w:ascii="仿宋" w:hAnsi="仿宋" w:eastAsia="仿宋" w:cs="仿宋"/>
          <w:b w:val="0"/>
          <w:bCs w:val="0"/>
          <w:sz w:val="32"/>
          <w:szCs w:val="32"/>
          <w:lang w:val="en-US" w:eastAsia="zh-CN"/>
        </w:rPr>
      </w:pPr>
    </w:p>
    <w:p>
      <w:pPr>
        <w:spacing w:line="360" w:lineRule="auto"/>
        <w:ind w:firstLine="880"/>
        <w:jc w:val="both"/>
        <w:rPr>
          <w:rFonts w:hint="eastAsia" w:ascii="仿宋" w:hAnsi="仿宋" w:eastAsia="仿宋" w:cs="仿宋"/>
          <w:b w:val="0"/>
          <w:bCs w:val="0"/>
          <w:sz w:val="32"/>
          <w:szCs w:val="32"/>
          <w:lang w:val="en-US" w:eastAsia="zh-CN"/>
        </w:rPr>
      </w:pPr>
    </w:p>
    <w:p>
      <w:pPr>
        <w:spacing w:line="360" w:lineRule="auto"/>
        <w:ind w:firstLine="88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附件：《南开区文化产业发展“十四五”规划》</w:t>
      </w:r>
    </w:p>
    <w:p>
      <w:pPr>
        <w:spacing w:line="360" w:lineRule="auto"/>
        <w:ind w:firstLine="880"/>
        <w:jc w:val="both"/>
        <w:rPr>
          <w:rFonts w:hint="eastAsia" w:ascii="仿宋" w:hAnsi="仿宋" w:eastAsia="仿宋" w:cs="仿宋"/>
          <w:b w:val="0"/>
          <w:bCs w:val="0"/>
          <w:sz w:val="32"/>
          <w:szCs w:val="32"/>
          <w:lang w:val="en-US" w:eastAsia="zh-CN"/>
        </w:rPr>
      </w:pPr>
    </w:p>
    <w:p>
      <w:pPr>
        <w:spacing w:line="360" w:lineRule="auto"/>
        <w:ind w:firstLine="880"/>
        <w:jc w:val="both"/>
        <w:rPr>
          <w:rFonts w:hint="eastAsia" w:ascii="仿宋" w:hAnsi="仿宋" w:eastAsia="仿宋" w:cs="仿宋"/>
          <w:b w:val="0"/>
          <w:bCs w:val="0"/>
          <w:sz w:val="32"/>
          <w:szCs w:val="32"/>
          <w:lang w:val="en-US" w:eastAsia="zh-CN"/>
        </w:rPr>
      </w:pPr>
    </w:p>
    <w:p>
      <w:pPr>
        <w:spacing w:line="360" w:lineRule="auto"/>
        <w:ind w:firstLine="88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南开区文化和旅游局</w:t>
      </w:r>
    </w:p>
    <w:p>
      <w:pPr>
        <w:spacing w:line="360" w:lineRule="auto"/>
        <w:ind w:firstLine="880"/>
        <w:jc w:val="center"/>
        <w:rPr>
          <w:rFonts w:ascii="Times New Roman" w:hAnsi="Times New Roman" w:eastAsia="黑体"/>
          <w:color w:val="auto"/>
          <w:sz w:val="40"/>
          <w:szCs w:val="48"/>
        </w:rPr>
      </w:pPr>
      <w:r>
        <w:rPr>
          <w:rFonts w:hint="eastAsia" w:ascii="仿宋" w:hAnsi="仿宋" w:eastAsia="仿宋" w:cs="仿宋"/>
          <w:b w:val="0"/>
          <w:bCs w:val="0"/>
          <w:sz w:val="32"/>
          <w:szCs w:val="32"/>
          <w:lang w:val="en-US" w:eastAsia="zh-CN"/>
        </w:rPr>
        <w:t xml:space="preserve">                     2021年5月16日</w:t>
      </w:r>
    </w:p>
    <w:p>
      <w:pPr>
        <w:spacing w:line="360" w:lineRule="auto"/>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br w:type="page"/>
      </w:r>
    </w:p>
    <w:sdt>
      <w:sdtPr>
        <w:rPr>
          <w:rFonts w:ascii="Times New Roman" w:hAnsi="Times New Roman" w:eastAsiaTheme="minorEastAsia" w:cstheme="minorBidi"/>
          <w:color w:val="auto"/>
          <w:kern w:val="2"/>
          <w:sz w:val="21"/>
          <w:szCs w:val="24"/>
          <w:lang w:val="zh-CN"/>
        </w:rPr>
        <w:id w:val="928161633"/>
      </w:sdtPr>
      <w:sdtEndPr>
        <w:rPr>
          <w:rFonts w:ascii="Times New Roman" w:hAnsi="Times New Roman" w:eastAsia="仿宋_GB2312" w:cs="Times New Roman"/>
          <w:b/>
          <w:bCs/>
          <w:color w:val="auto"/>
          <w:kern w:val="2"/>
          <w:sz w:val="28"/>
          <w:szCs w:val="28"/>
          <w:lang w:val="zh-CN"/>
        </w:rPr>
      </w:sdtEndPr>
      <w:sdtContent>
        <w:p>
          <w:pPr>
            <w:pStyle w:val="20"/>
            <w:jc w:val="center"/>
            <w:rPr>
              <w:rFonts w:ascii="Times New Roman" w:hAnsi="Times New Roman" w:eastAsia="黑体" w:cs="Times New Roman"/>
              <w:b/>
              <w:bCs/>
              <w:color w:val="auto"/>
              <w:lang w:val="zh-CN"/>
            </w:rPr>
          </w:pPr>
          <w:r>
            <w:rPr>
              <w:rFonts w:ascii="Times New Roman" w:hAnsi="Times New Roman" w:eastAsia="黑体" w:cs="Times New Roman"/>
              <w:b/>
              <w:bCs/>
              <w:color w:val="auto"/>
              <w:lang w:val="zh-CN"/>
            </w:rPr>
            <w:t>目</w:t>
          </w:r>
          <w:r>
            <w:rPr>
              <w:rFonts w:hint="eastAsia" w:ascii="Times New Roman" w:hAnsi="Times New Roman" w:eastAsia="黑体" w:cs="Times New Roman"/>
              <w:b/>
              <w:bCs/>
              <w:color w:val="auto"/>
            </w:rPr>
            <w:t xml:space="preserve"> </w:t>
          </w:r>
          <w:r>
            <w:rPr>
              <w:rFonts w:ascii="Times New Roman" w:hAnsi="Times New Roman" w:eastAsia="黑体" w:cs="Times New Roman"/>
              <w:b/>
              <w:bCs/>
              <w:color w:val="auto"/>
              <w:lang w:val="zh-CN"/>
            </w:rPr>
            <w:t>录</w:t>
          </w:r>
        </w:p>
        <w:p>
          <w:pPr>
            <w:rPr>
              <w:color w:val="auto"/>
              <w:lang w:val="zh-CN"/>
            </w:rPr>
          </w:pPr>
        </w:p>
        <w:p>
          <w:pPr>
            <w:pStyle w:val="9"/>
            <w:tabs>
              <w:tab w:val="right" w:leader="dot" w:pos="8296"/>
            </w:tabs>
            <w:adjustRightInd w:val="0"/>
            <w:snapToGrid w:val="0"/>
            <w:spacing w:line="36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TOC \o "1-3" \h \z \u </w:instrText>
          </w:r>
          <w:r>
            <w:rPr>
              <w:rFonts w:ascii="Times New Roman" w:hAnsi="Times New Roman" w:eastAsia="仿宋_GB2312" w:cs="Times New Roman"/>
              <w:color w:val="auto"/>
              <w:sz w:val="28"/>
              <w:szCs w:val="28"/>
            </w:rPr>
            <w:fldChar w:fldCharType="separate"/>
          </w:r>
          <w:r>
            <w:rPr>
              <w:color w:val="auto"/>
            </w:rPr>
            <w:fldChar w:fldCharType="begin"/>
          </w:r>
          <w:r>
            <w:rPr>
              <w:color w:val="auto"/>
            </w:rPr>
            <w:instrText xml:space="preserve"> HYPERLINK \l "_Toc54513678" </w:instrText>
          </w:r>
          <w:r>
            <w:rPr>
              <w:color w:val="auto"/>
            </w:rPr>
            <w:fldChar w:fldCharType="separate"/>
          </w:r>
          <w:r>
            <w:rPr>
              <w:rStyle w:val="15"/>
              <w:rFonts w:ascii="Times New Roman" w:hAnsi="Times New Roman" w:eastAsia="仿宋_GB2312" w:cs="Times New Roman"/>
              <w:b/>
              <w:bCs/>
              <w:color w:val="auto"/>
              <w:kern w:val="44"/>
              <w:sz w:val="28"/>
              <w:szCs w:val="28"/>
            </w:rPr>
            <w:t>一、发展基础和发展环境</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_Toc54513678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"_Toc54513679" </w:instrText>
          </w:r>
          <w:r>
            <w:rPr>
              <w:color w:val="auto"/>
            </w:rPr>
            <w:fldChar w:fldCharType="separate"/>
          </w:r>
          <w:r>
            <w:rPr>
              <w:rStyle w:val="15"/>
              <w:rFonts w:ascii="Times New Roman" w:hAnsi="Times New Roman" w:eastAsia="仿宋_GB2312" w:cs="Times New Roman"/>
              <w:color w:val="auto"/>
              <w:kern w:val="44"/>
              <w:sz w:val="28"/>
              <w:szCs w:val="28"/>
            </w:rPr>
            <w:t>（一）主要成绩</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_Toc54513679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3</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"_Toc54513680" </w:instrText>
          </w:r>
          <w:r>
            <w:rPr>
              <w:color w:val="auto"/>
            </w:rPr>
            <w:fldChar w:fldCharType="separate"/>
          </w:r>
          <w:r>
            <w:rPr>
              <w:rStyle w:val="15"/>
              <w:rFonts w:ascii="Times New Roman" w:hAnsi="Times New Roman" w:eastAsia="仿宋_GB2312" w:cs="Times New Roman"/>
              <w:color w:val="auto"/>
              <w:kern w:val="44"/>
              <w:sz w:val="28"/>
              <w:szCs w:val="28"/>
            </w:rPr>
            <w:t>（二）主要问题</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_Toc54513680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5</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"_Toc54513681" </w:instrText>
          </w:r>
          <w:r>
            <w:rPr>
              <w:color w:val="auto"/>
            </w:rPr>
            <w:fldChar w:fldCharType="separate"/>
          </w:r>
          <w:r>
            <w:rPr>
              <w:rStyle w:val="15"/>
              <w:rFonts w:ascii="Times New Roman" w:hAnsi="Times New Roman" w:eastAsia="仿宋_GB2312" w:cs="Times New Roman"/>
              <w:color w:val="auto"/>
              <w:kern w:val="44"/>
              <w:sz w:val="28"/>
              <w:szCs w:val="28"/>
            </w:rPr>
            <w:t>（三）形势机遇</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_Toc54513681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6</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9"/>
            <w:tabs>
              <w:tab w:val="right" w:leader="dot" w:pos="8296"/>
            </w:tabs>
            <w:adjustRightInd w:val="0"/>
            <w:snapToGrid w:val="0"/>
            <w:spacing w:line="360" w:lineRule="auto"/>
            <w:rPr>
              <w:rStyle w:val="15"/>
              <w:rFonts w:ascii="Times New Roman" w:hAnsi="Times New Roman" w:eastAsia="仿宋_GB2312" w:cs="Times New Roman"/>
              <w:b/>
              <w:bCs/>
              <w:color w:val="auto"/>
              <w:kern w:val="44"/>
              <w:sz w:val="28"/>
              <w:szCs w:val="28"/>
            </w:rPr>
          </w:pPr>
          <w:r>
            <w:rPr>
              <w:color w:val="auto"/>
            </w:rPr>
            <w:fldChar w:fldCharType="begin"/>
          </w:r>
          <w:r>
            <w:rPr>
              <w:color w:val="auto"/>
            </w:rPr>
            <w:instrText xml:space="preserve"> HYPERLINK \l "_Toc54513682" </w:instrText>
          </w:r>
          <w:r>
            <w:rPr>
              <w:color w:val="auto"/>
            </w:rPr>
            <w:fldChar w:fldCharType="separate"/>
          </w:r>
          <w:r>
            <w:rPr>
              <w:rStyle w:val="15"/>
              <w:rFonts w:ascii="Times New Roman" w:hAnsi="Times New Roman" w:eastAsia="仿宋_GB2312" w:cs="Times New Roman"/>
              <w:b/>
              <w:bCs/>
              <w:color w:val="auto"/>
              <w:kern w:val="44"/>
              <w:sz w:val="28"/>
              <w:szCs w:val="28"/>
            </w:rPr>
            <w:t>二、总体要求和战略目标</w:t>
          </w:r>
          <w:r>
            <w:rPr>
              <w:rStyle w:val="15"/>
              <w:rFonts w:ascii="Times New Roman" w:hAnsi="Times New Roman" w:eastAsia="仿宋_GB2312" w:cs="Times New Roman"/>
              <w:b/>
              <w:bCs/>
              <w:color w:val="auto"/>
              <w:kern w:val="44"/>
              <w:sz w:val="28"/>
              <w:szCs w:val="28"/>
            </w:rPr>
            <w:tab/>
          </w:r>
          <w:r>
            <w:rPr>
              <w:rStyle w:val="15"/>
              <w:rFonts w:ascii="Times New Roman" w:hAnsi="Times New Roman" w:eastAsia="仿宋_GB2312" w:cs="Times New Roman"/>
              <w:b/>
              <w:bCs/>
              <w:color w:val="auto"/>
              <w:kern w:val="44"/>
              <w:sz w:val="28"/>
              <w:szCs w:val="28"/>
            </w:rPr>
            <w:fldChar w:fldCharType="begin"/>
          </w:r>
          <w:r>
            <w:rPr>
              <w:rStyle w:val="15"/>
              <w:rFonts w:ascii="Times New Roman" w:hAnsi="Times New Roman" w:eastAsia="仿宋_GB2312" w:cs="Times New Roman"/>
              <w:b/>
              <w:bCs/>
              <w:color w:val="auto"/>
              <w:kern w:val="44"/>
              <w:sz w:val="28"/>
              <w:szCs w:val="28"/>
            </w:rPr>
            <w:instrText xml:space="preserve"> PAGEREF _Toc54513682 \h </w:instrText>
          </w:r>
          <w:r>
            <w:rPr>
              <w:rStyle w:val="15"/>
              <w:rFonts w:ascii="Times New Roman" w:hAnsi="Times New Roman" w:eastAsia="仿宋_GB2312" w:cs="Times New Roman"/>
              <w:b/>
              <w:bCs/>
              <w:color w:val="auto"/>
              <w:kern w:val="44"/>
              <w:sz w:val="28"/>
              <w:szCs w:val="28"/>
            </w:rPr>
            <w:fldChar w:fldCharType="separate"/>
          </w:r>
          <w:r>
            <w:rPr>
              <w:rStyle w:val="15"/>
              <w:rFonts w:ascii="Times New Roman" w:hAnsi="Times New Roman" w:eastAsia="仿宋_GB2312" w:cs="Times New Roman"/>
              <w:b/>
              <w:bCs/>
              <w:color w:val="auto"/>
              <w:kern w:val="44"/>
              <w:sz w:val="28"/>
              <w:szCs w:val="28"/>
            </w:rPr>
            <w:t>7</w:t>
          </w:r>
          <w:r>
            <w:rPr>
              <w:rStyle w:val="15"/>
              <w:rFonts w:ascii="Times New Roman" w:hAnsi="Times New Roman" w:eastAsia="仿宋_GB2312" w:cs="Times New Roman"/>
              <w:b/>
              <w:bCs/>
              <w:color w:val="auto"/>
              <w:kern w:val="44"/>
              <w:sz w:val="28"/>
              <w:szCs w:val="28"/>
            </w:rPr>
            <w:fldChar w:fldCharType="end"/>
          </w:r>
          <w:r>
            <w:rPr>
              <w:rStyle w:val="15"/>
              <w:rFonts w:ascii="Times New Roman" w:hAnsi="Times New Roman" w:eastAsia="仿宋_GB2312" w:cs="Times New Roman"/>
              <w:b/>
              <w:bCs/>
              <w:color w:val="auto"/>
              <w:kern w:val="44"/>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"_Toc54513683" </w:instrText>
          </w:r>
          <w:r>
            <w:rPr>
              <w:color w:val="auto"/>
            </w:rPr>
            <w:fldChar w:fldCharType="separate"/>
          </w:r>
          <w:r>
            <w:rPr>
              <w:rStyle w:val="15"/>
              <w:rFonts w:ascii="Times New Roman" w:hAnsi="Times New Roman" w:eastAsia="仿宋_GB2312" w:cs="Times New Roman"/>
              <w:color w:val="auto"/>
              <w:kern w:val="44"/>
              <w:sz w:val="28"/>
              <w:szCs w:val="28"/>
            </w:rPr>
            <w:t>（一）指导思想</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_Toc54513683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7</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"_Toc54513684" </w:instrText>
          </w:r>
          <w:r>
            <w:rPr>
              <w:color w:val="auto"/>
            </w:rPr>
            <w:fldChar w:fldCharType="separate"/>
          </w:r>
          <w:r>
            <w:rPr>
              <w:rStyle w:val="15"/>
              <w:rFonts w:ascii="Times New Roman" w:hAnsi="Times New Roman" w:eastAsia="仿宋_GB2312" w:cs="Times New Roman"/>
              <w:color w:val="auto"/>
              <w:kern w:val="44"/>
              <w:sz w:val="28"/>
              <w:szCs w:val="28"/>
            </w:rPr>
            <w:t>（二）基本原则</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_Toc54513684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7</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"_Toc54513685" </w:instrText>
          </w:r>
          <w:r>
            <w:rPr>
              <w:color w:val="auto"/>
            </w:rPr>
            <w:fldChar w:fldCharType="separate"/>
          </w:r>
          <w:r>
            <w:rPr>
              <w:rStyle w:val="15"/>
              <w:rFonts w:ascii="Times New Roman" w:hAnsi="Times New Roman" w:eastAsia="仿宋_GB2312" w:cs="Times New Roman"/>
              <w:color w:val="auto"/>
              <w:kern w:val="44"/>
              <w:sz w:val="28"/>
              <w:szCs w:val="28"/>
            </w:rPr>
            <w:t>（三）发展目标</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_Toc54513685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8</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9"/>
            <w:tabs>
              <w:tab w:val="right" w:leader="dot" w:pos="8296"/>
            </w:tabs>
            <w:adjustRightInd w:val="0"/>
            <w:snapToGrid w:val="0"/>
            <w:spacing w:line="360" w:lineRule="auto"/>
            <w:rPr>
              <w:rStyle w:val="15"/>
              <w:rFonts w:ascii="Times New Roman" w:hAnsi="Times New Roman" w:eastAsia="仿宋_GB2312" w:cs="Times New Roman"/>
              <w:b/>
              <w:bCs/>
              <w:color w:val="auto"/>
              <w:kern w:val="44"/>
              <w:sz w:val="28"/>
              <w:szCs w:val="28"/>
            </w:rPr>
          </w:pPr>
          <w:r>
            <w:rPr>
              <w:color w:val="auto"/>
            </w:rPr>
            <w:fldChar w:fldCharType="begin"/>
          </w:r>
          <w:r>
            <w:rPr>
              <w:color w:val="auto"/>
            </w:rPr>
            <w:instrText xml:space="preserve"> HYPERLINK \l "_Toc54513686" </w:instrText>
          </w:r>
          <w:r>
            <w:rPr>
              <w:color w:val="auto"/>
            </w:rPr>
            <w:fldChar w:fldCharType="separate"/>
          </w:r>
          <w:r>
            <w:rPr>
              <w:rStyle w:val="15"/>
              <w:rFonts w:ascii="Times New Roman" w:hAnsi="Times New Roman" w:eastAsia="仿宋_GB2312" w:cs="Times New Roman"/>
              <w:b/>
              <w:bCs/>
              <w:color w:val="auto"/>
              <w:kern w:val="44"/>
              <w:sz w:val="28"/>
              <w:szCs w:val="28"/>
            </w:rPr>
            <w:t>三、总体布局</w:t>
          </w:r>
          <w:r>
            <w:rPr>
              <w:rStyle w:val="15"/>
              <w:rFonts w:ascii="Times New Roman" w:hAnsi="Times New Roman" w:eastAsia="仿宋_GB2312" w:cs="Times New Roman"/>
              <w:b/>
              <w:bCs/>
              <w:color w:val="auto"/>
              <w:kern w:val="44"/>
              <w:sz w:val="28"/>
              <w:szCs w:val="28"/>
            </w:rPr>
            <w:tab/>
          </w:r>
          <w:r>
            <w:rPr>
              <w:rStyle w:val="15"/>
              <w:rFonts w:ascii="Times New Roman" w:hAnsi="Times New Roman" w:eastAsia="仿宋_GB2312" w:cs="Times New Roman"/>
              <w:b/>
              <w:bCs/>
              <w:color w:val="auto"/>
              <w:kern w:val="44"/>
              <w:sz w:val="28"/>
              <w:szCs w:val="28"/>
            </w:rPr>
            <w:fldChar w:fldCharType="begin"/>
          </w:r>
          <w:r>
            <w:rPr>
              <w:rStyle w:val="15"/>
              <w:rFonts w:ascii="Times New Roman" w:hAnsi="Times New Roman" w:eastAsia="仿宋_GB2312" w:cs="Times New Roman"/>
              <w:b/>
              <w:bCs/>
              <w:color w:val="auto"/>
              <w:kern w:val="44"/>
              <w:sz w:val="28"/>
              <w:szCs w:val="28"/>
            </w:rPr>
            <w:instrText xml:space="preserve"> PAGEREF _Toc54513686 \h </w:instrText>
          </w:r>
          <w:r>
            <w:rPr>
              <w:rStyle w:val="15"/>
              <w:rFonts w:ascii="Times New Roman" w:hAnsi="Times New Roman" w:eastAsia="仿宋_GB2312" w:cs="Times New Roman"/>
              <w:b/>
              <w:bCs/>
              <w:color w:val="auto"/>
              <w:kern w:val="44"/>
              <w:sz w:val="28"/>
              <w:szCs w:val="28"/>
            </w:rPr>
            <w:fldChar w:fldCharType="separate"/>
          </w:r>
          <w:r>
            <w:rPr>
              <w:rStyle w:val="15"/>
              <w:rFonts w:ascii="Times New Roman" w:hAnsi="Times New Roman" w:eastAsia="仿宋_GB2312" w:cs="Times New Roman"/>
              <w:b/>
              <w:bCs/>
              <w:color w:val="auto"/>
              <w:kern w:val="44"/>
              <w:sz w:val="28"/>
              <w:szCs w:val="28"/>
            </w:rPr>
            <w:t>10</w:t>
          </w:r>
          <w:r>
            <w:rPr>
              <w:rStyle w:val="15"/>
              <w:rFonts w:ascii="Times New Roman" w:hAnsi="Times New Roman" w:eastAsia="仿宋_GB2312" w:cs="Times New Roman"/>
              <w:b/>
              <w:bCs/>
              <w:color w:val="auto"/>
              <w:kern w:val="44"/>
              <w:sz w:val="28"/>
              <w:szCs w:val="28"/>
            </w:rPr>
            <w:fldChar w:fldCharType="end"/>
          </w:r>
          <w:r>
            <w:rPr>
              <w:rStyle w:val="15"/>
              <w:rFonts w:ascii="Times New Roman" w:hAnsi="Times New Roman" w:eastAsia="仿宋_GB2312" w:cs="Times New Roman"/>
              <w:b/>
              <w:bCs/>
              <w:color w:val="auto"/>
              <w:kern w:val="44"/>
              <w:sz w:val="28"/>
              <w:szCs w:val="28"/>
            </w:rPr>
            <w:fldChar w:fldCharType="end"/>
          </w:r>
        </w:p>
        <w:p>
          <w:pPr>
            <w:pStyle w:val="9"/>
            <w:tabs>
              <w:tab w:val="right" w:leader="dot" w:pos="8296"/>
            </w:tabs>
            <w:adjustRightInd w:val="0"/>
            <w:snapToGrid w:val="0"/>
            <w:spacing w:line="360" w:lineRule="auto"/>
            <w:rPr>
              <w:rStyle w:val="15"/>
              <w:rFonts w:ascii="Times New Roman" w:hAnsi="Times New Roman" w:eastAsia="仿宋_GB2312" w:cs="Times New Roman"/>
              <w:b/>
              <w:bCs/>
              <w:color w:val="auto"/>
              <w:kern w:val="44"/>
              <w:sz w:val="28"/>
              <w:szCs w:val="28"/>
            </w:rPr>
          </w:pPr>
          <w:r>
            <w:rPr>
              <w:color w:val="auto"/>
            </w:rPr>
            <w:fldChar w:fldCharType="begin"/>
          </w:r>
          <w:r>
            <w:rPr>
              <w:color w:val="auto"/>
            </w:rPr>
            <w:instrText xml:space="preserve"> HYPERLINK \l "_Toc54513687" </w:instrText>
          </w:r>
          <w:r>
            <w:rPr>
              <w:color w:val="auto"/>
            </w:rPr>
            <w:fldChar w:fldCharType="separate"/>
          </w:r>
          <w:r>
            <w:rPr>
              <w:rStyle w:val="15"/>
              <w:rFonts w:ascii="Times New Roman" w:hAnsi="Times New Roman" w:eastAsia="仿宋_GB2312" w:cs="Times New Roman"/>
              <w:b/>
              <w:bCs/>
              <w:color w:val="auto"/>
              <w:kern w:val="44"/>
              <w:sz w:val="28"/>
              <w:szCs w:val="28"/>
            </w:rPr>
            <w:t>四、重点任务</w:t>
          </w:r>
          <w:r>
            <w:rPr>
              <w:rStyle w:val="15"/>
              <w:rFonts w:ascii="Times New Roman" w:hAnsi="Times New Roman" w:eastAsia="仿宋_GB2312" w:cs="Times New Roman"/>
              <w:b/>
              <w:bCs/>
              <w:color w:val="auto"/>
              <w:kern w:val="44"/>
              <w:sz w:val="28"/>
              <w:szCs w:val="28"/>
            </w:rPr>
            <w:tab/>
          </w:r>
          <w:r>
            <w:rPr>
              <w:rStyle w:val="15"/>
              <w:rFonts w:ascii="Times New Roman" w:hAnsi="Times New Roman" w:eastAsia="仿宋_GB2312" w:cs="Times New Roman"/>
              <w:b/>
              <w:bCs/>
              <w:color w:val="auto"/>
              <w:kern w:val="44"/>
              <w:sz w:val="28"/>
              <w:szCs w:val="28"/>
            </w:rPr>
            <w:fldChar w:fldCharType="begin"/>
          </w:r>
          <w:r>
            <w:rPr>
              <w:rStyle w:val="15"/>
              <w:rFonts w:ascii="Times New Roman" w:hAnsi="Times New Roman" w:eastAsia="仿宋_GB2312" w:cs="Times New Roman"/>
              <w:b/>
              <w:bCs/>
              <w:color w:val="auto"/>
              <w:kern w:val="44"/>
              <w:sz w:val="28"/>
              <w:szCs w:val="28"/>
            </w:rPr>
            <w:instrText xml:space="preserve"> PAGEREF _Toc54513687 \h </w:instrText>
          </w:r>
          <w:r>
            <w:rPr>
              <w:rStyle w:val="15"/>
              <w:rFonts w:ascii="Times New Roman" w:hAnsi="Times New Roman" w:eastAsia="仿宋_GB2312" w:cs="Times New Roman"/>
              <w:b/>
              <w:bCs/>
              <w:color w:val="auto"/>
              <w:kern w:val="44"/>
              <w:sz w:val="28"/>
              <w:szCs w:val="28"/>
            </w:rPr>
            <w:fldChar w:fldCharType="separate"/>
          </w:r>
          <w:r>
            <w:rPr>
              <w:rStyle w:val="15"/>
              <w:rFonts w:ascii="Times New Roman" w:hAnsi="Times New Roman" w:eastAsia="仿宋_GB2312" w:cs="Times New Roman"/>
              <w:b/>
              <w:bCs/>
              <w:color w:val="auto"/>
              <w:kern w:val="44"/>
              <w:sz w:val="28"/>
              <w:szCs w:val="28"/>
            </w:rPr>
            <w:t>11</w:t>
          </w:r>
          <w:r>
            <w:rPr>
              <w:rStyle w:val="15"/>
              <w:rFonts w:ascii="Times New Roman" w:hAnsi="Times New Roman" w:eastAsia="仿宋_GB2312" w:cs="Times New Roman"/>
              <w:b/>
              <w:bCs/>
              <w:color w:val="auto"/>
              <w:kern w:val="44"/>
              <w:sz w:val="28"/>
              <w:szCs w:val="28"/>
            </w:rPr>
            <w:fldChar w:fldCharType="end"/>
          </w:r>
          <w:r>
            <w:rPr>
              <w:rStyle w:val="15"/>
              <w:rFonts w:ascii="Times New Roman" w:hAnsi="Times New Roman" w:eastAsia="仿宋_GB2312" w:cs="Times New Roman"/>
              <w:b/>
              <w:bCs/>
              <w:color w:val="auto"/>
              <w:kern w:val="44"/>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"_Toc54513688" </w:instrText>
          </w:r>
          <w:r>
            <w:rPr>
              <w:color w:val="auto"/>
            </w:rPr>
            <w:fldChar w:fldCharType="separate"/>
          </w:r>
          <w:r>
            <w:rPr>
              <w:rStyle w:val="15"/>
              <w:rFonts w:ascii="Times New Roman" w:hAnsi="Times New Roman" w:eastAsia="仿宋_GB2312" w:cs="Times New Roman"/>
              <w:color w:val="auto"/>
              <w:kern w:val="44"/>
              <w:sz w:val="28"/>
              <w:szCs w:val="28"/>
            </w:rPr>
            <w:t>（一）智慧引领，加快文创产业转型升级</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_Toc54513688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11</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"_Toc54513689" </w:instrText>
          </w:r>
          <w:r>
            <w:rPr>
              <w:color w:val="auto"/>
            </w:rPr>
            <w:fldChar w:fldCharType="separate"/>
          </w:r>
          <w:r>
            <w:rPr>
              <w:rStyle w:val="15"/>
              <w:rFonts w:ascii="Times New Roman" w:hAnsi="Times New Roman" w:eastAsia="仿宋_GB2312" w:cs="Times New Roman"/>
              <w:color w:val="auto"/>
              <w:kern w:val="44"/>
              <w:sz w:val="28"/>
              <w:szCs w:val="28"/>
            </w:rPr>
            <w:t>（二）融合创新，深化文化多向融合发展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_Toc54513689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11</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"_Toc54513690" </w:instrText>
          </w:r>
          <w:r>
            <w:rPr>
              <w:color w:val="auto"/>
            </w:rPr>
            <w:fldChar w:fldCharType="separate"/>
          </w:r>
          <w:r>
            <w:rPr>
              <w:rStyle w:val="15"/>
              <w:rFonts w:ascii="Times New Roman" w:hAnsi="Times New Roman" w:eastAsia="仿宋_GB2312" w:cs="Times New Roman"/>
              <w:color w:val="auto"/>
              <w:kern w:val="44"/>
              <w:sz w:val="28"/>
              <w:szCs w:val="28"/>
            </w:rPr>
            <w:t>（三）品牌塑造，聚焦优质文化产品供给</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_Toc54513690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12</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"_Toc54513691" </w:instrText>
          </w:r>
          <w:r>
            <w:rPr>
              <w:color w:val="auto"/>
            </w:rPr>
            <w:fldChar w:fldCharType="separate"/>
          </w:r>
          <w:r>
            <w:rPr>
              <w:rStyle w:val="15"/>
              <w:rFonts w:ascii="Times New Roman" w:hAnsi="Times New Roman" w:eastAsia="仿宋_GB2312" w:cs="Times New Roman"/>
              <w:color w:val="auto"/>
              <w:kern w:val="44"/>
              <w:sz w:val="28"/>
              <w:szCs w:val="28"/>
            </w:rPr>
            <w:t>（四）园区提升，推动产业集群错位发展</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_Toc54513691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12</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"_Toc54513692" </w:instrText>
          </w:r>
          <w:r>
            <w:rPr>
              <w:color w:val="auto"/>
            </w:rPr>
            <w:fldChar w:fldCharType="separate"/>
          </w:r>
          <w:r>
            <w:rPr>
              <w:rStyle w:val="15"/>
              <w:rFonts w:ascii="Times New Roman" w:hAnsi="Times New Roman" w:eastAsia="仿宋_GB2312" w:cs="Times New Roman"/>
              <w:color w:val="auto"/>
              <w:kern w:val="44"/>
              <w:sz w:val="28"/>
              <w:szCs w:val="28"/>
            </w:rPr>
            <w:t>（五）项目支撑，增创文化产业发展优势</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_Toc54513692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13</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"_Toc54513693" </w:instrText>
          </w:r>
          <w:r>
            <w:rPr>
              <w:color w:val="auto"/>
            </w:rPr>
            <w:fldChar w:fldCharType="separate"/>
          </w:r>
          <w:r>
            <w:rPr>
              <w:rStyle w:val="15"/>
              <w:rFonts w:ascii="Times New Roman" w:hAnsi="Times New Roman" w:eastAsia="仿宋_GB2312" w:cs="Times New Roman"/>
              <w:color w:val="auto"/>
              <w:kern w:val="44"/>
              <w:sz w:val="28"/>
              <w:szCs w:val="28"/>
            </w:rPr>
            <w:t>（六）健全市场，激发文化创新创造活力</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_Toc54513693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13</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9"/>
            <w:tabs>
              <w:tab w:val="right" w:leader="dot" w:pos="8296"/>
            </w:tabs>
            <w:adjustRightInd w:val="0"/>
            <w:snapToGrid w:val="0"/>
            <w:spacing w:line="360" w:lineRule="auto"/>
            <w:rPr>
              <w:rStyle w:val="15"/>
              <w:rFonts w:ascii="Times New Roman" w:hAnsi="Times New Roman" w:eastAsia="仿宋_GB2312" w:cs="Times New Roman"/>
              <w:b/>
              <w:bCs/>
              <w:color w:val="auto"/>
              <w:kern w:val="44"/>
              <w:sz w:val="28"/>
              <w:szCs w:val="28"/>
            </w:rPr>
          </w:pPr>
          <w:r>
            <w:rPr>
              <w:color w:val="auto"/>
            </w:rPr>
            <w:fldChar w:fldCharType="begin"/>
          </w:r>
          <w:r>
            <w:rPr>
              <w:color w:val="auto"/>
            </w:rPr>
            <w:instrText xml:space="preserve"> HYPERLINK \l "_Toc54513694" </w:instrText>
          </w:r>
          <w:r>
            <w:rPr>
              <w:color w:val="auto"/>
            </w:rPr>
            <w:fldChar w:fldCharType="separate"/>
          </w:r>
          <w:r>
            <w:rPr>
              <w:rStyle w:val="15"/>
              <w:rFonts w:ascii="Times New Roman" w:hAnsi="Times New Roman" w:eastAsia="仿宋_GB2312" w:cs="Times New Roman"/>
              <w:b/>
              <w:bCs/>
              <w:color w:val="auto"/>
              <w:kern w:val="44"/>
              <w:sz w:val="28"/>
              <w:szCs w:val="28"/>
            </w:rPr>
            <w:t>五、重点项目</w:t>
          </w:r>
          <w:r>
            <w:rPr>
              <w:rStyle w:val="15"/>
              <w:rFonts w:ascii="Times New Roman" w:hAnsi="Times New Roman" w:eastAsia="仿宋_GB2312" w:cs="Times New Roman"/>
              <w:b/>
              <w:bCs/>
              <w:color w:val="auto"/>
              <w:kern w:val="44"/>
              <w:sz w:val="28"/>
              <w:szCs w:val="28"/>
            </w:rPr>
            <w:tab/>
          </w:r>
          <w:r>
            <w:rPr>
              <w:rStyle w:val="15"/>
              <w:rFonts w:ascii="Times New Roman" w:hAnsi="Times New Roman" w:eastAsia="仿宋_GB2312" w:cs="Times New Roman"/>
              <w:b/>
              <w:bCs/>
              <w:color w:val="auto"/>
              <w:kern w:val="44"/>
              <w:sz w:val="28"/>
              <w:szCs w:val="28"/>
            </w:rPr>
            <w:fldChar w:fldCharType="begin"/>
          </w:r>
          <w:r>
            <w:rPr>
              <w:rStyle w:val="15"/>
              <w:rFonts w:ascii="Times New Roman" w:hAnsi="Times New Roman" w:eastAsia="仿宋_GB2312" w:cs="Times New Roman"/>
              <w:b/>
              <w:bCs/>
              <w:color w:val="auto"/>
              <w:kern w:val="44"/>
              <w:sz w:val="28"/>
              <w:szCs w:val="28"/>
            </w:rPr>
            <w:instrText xml:space="preserve"> PAGEREF _Toc54513694 \h </w:instrText>
          </w:r>
          <w:r>
            <w:rPr>
              <w:rStyle w:val="15"/>
              <w:rFonts w:ascii="Times New Roman" w:hAnsi="Times New Roman" w:eastAsia="仿宋_GB2312" w:cs="Times New Roman"/>
              <w:b/>
              <w:bCs/>
              <w:color w:val="auto"/>
              <w:kern w:val="44"/>
              <w:sz w:val="28"/>
              <w:szCs w:val="28"/>
            </w:rPr>
            <w:fldChar w:fldCharType="separate"/>
          </w:r>
          <w:r>
            <w:rPr>
              <w:rStyle w:val="15"/>
              <w:rFonts w:ascii="Times New Roman" w:hAnsi="Times New Roman" w:eastAsia="仿宋_GB2312" w:cs="Times New Roman"/>
              <w:b/>
              <w:bCs/>
              <w:color w:val="auto"/>
              <w:kern w:val="44"/>
              <w:sz w:val="28"/>
              <w:szCs w:val="28"/>
            </w:rPr>
            <w:t>14</w:t>
          </w:r>
          <w:r>
            <w:rPr>
              <w:rStyle w:val="15"/>
              <w:rFonts w:ascii="Times New Roman" w:hAnsi="Times New Roman" w:eastAsia="仿宋_GB2312" w:cs="Times New Roman"/>
              <w:b/>
              <w:bCs/>
              <w:color w:val="auto"/>
              <w:kern w:val="44"/>
              <w:sz w:val="28"/>
              <w:szCs w:val="28"/>
            </w:rPr>
            <w:fldChar w:fldCharType="end"/>
          </w:r>
          <w:r>
            <w:rPr>
              <w:rStyle w:val="15"/>
              <w:rFonts w:ascii="Times New Roman" w:hAnsi="Times New Roman" w:eastAsia="仿宋_GB2312" w:cs="Times New Roman"/>
              <w:b/>
              <w:bCs/>
              <w:color w:val="auto"/>
              <w:kern w:val="44"/>
              <w:sz w:val="28"/>
              <w:szCs w:val="28"/>
            </w:rPr>
            <w:fldChar w:fldCharType="end"/>
          </w:r>
        </w:p>
        <w:p>
          <w:pPr>
            <w:pStyle w:val="9"/>
            <w:tabs>
              <w:tab w:val="right" w:leader="dot" w:pos="8296"/>
            </w:tabs>
            <w:adjustRightInd w:val="0"/>
            <w:snapToGrid w:val="0"/>
            <w:spacing w:line="360" w:lineRule="auto"/>
            <w:rPr>
              <w:rStyle w:val="15"/>
              <w:rFonts w:ascii="Times New Roman" w:hAnsi="Times New Roman" w:eastAsia="仿宋_GB2312" w:cs="Times New Roman"/>
              <w:b/>
              <w:bCs/>
              <w:color w:val="auto"/>
              <w:kern w:val="44"/>
              <w:sz w:val="28"/>
              <w:szCs w:val="28"/>
            </w:rPr>
          </w:pPr>
          <w:r>
            <w:rPr>
              <w:color w:val="auto"/>
            </w:rPr>
            <w:fldChar w:fldCharType="begin"/>
          </w:r>
          <w:r>
            <w:rPr>
              <w:color w:val="auto"/>
            </w:rPr>
            <w:instrText xml:space="preserve"> HYPERLINK \l "_Toc54513695" </w:instrText>
          </w:r>
          <w:r>
            <w:rPr>
              <w:color w:val="auto"/>
            </w:rPr>
            <w:fldChar w:fldCharType="separate"/>
          </w:r>
          <w:r>
            <w:rPr>
              <w:rStyle w:val="15"/>
              <w:rFonts w:ascii="Times New Roman" w:hAnsi="Times New Roman" w:eastAsia="仿宋_GB2312" w:cs="Times New Roman"/>
              <w:b/>
              <w:bCs/>
              <w:color w:val="auto"/>
              <w:kern w:val="44"/>
              <w:sz w:val="28"/>
              <w:szCs w:val="28"/>
            </w:rPr>
            <w:t>六、保障措施</w:t>
          </w:r>
          <w:r>
            <w:rPr>
              <w:rStyle w:val="15"/>
              <w:rFonts w:ascii="Times New Roman" w:hAnsi="Times New Roman" w:eastAsia="仿宋_GB2312" w:cs="Times New Roman"/>
              <w:b/>
              <w:bCs/>
              <w:color w:val="auto"/>
              <w:kern w:val="44"/>
              <w:sz w:val="28"/>
              <w:szCs w:val="28"/>
            </w:rPr>
            <w:tab/>
          </w:r>
          <w:r>
            <w:rPr>
              <w:rStyle w:val="15"/>
              <w:rFonts w:ascii="Times New Roman" w:hAnsi="Times New Roman" w:eastAsia="仿宋_GB2312" w:cs="Times New Roman"/>
              <w:b/>
              <w:bCs/>
              <w:color w:val="auto"/>
              <w:kern w:val="44"/>
              <w:sz w:val="28"/>
              <w:szCs w:val="28"/>
            </w:rPr>
            <w:fldChar w:fldCharType="begin"/>
          </w:r>
          <w:r>
            <w:rPr>
              <w:rStyle w:val="15"/>
              <w:rFonts w:ascii="Times New Roman" w:hAnsi="Times New Roman" w:eastAsia="仿宋_GB2312" w:cs="Times New Roman"/>
              <w:b/>
              <w:bCs/>
              <w:color w:val="auto"/>
              <w:kern w:val="44"/>
              <w:sz w:val="28"/>
              <w:szCs w:val="28"/>
            </w:rPr>
            <w:instrText xml:space="preserve"> PAGEREF _Toc54513695 \h </w:instrText>
          </w:r>
          <w:r>
            <w:rPr>
              <w:rStyle w:val="15"/>
              <w:rFonts w:ascii="Times New Roman" w:hAnsi="Times New Roman" w:eastAsia="仿宋_GB2312" w:cs="Times New Roman"/>
              <w:b/>
              <w:bCs/>
              <w:color w:val="auto"/>
              <w:kern w:val="44"/>
              <w:sz w:val="28"/>
              <w:szCs w:val="28"/>
            </w:rPr>
            <w:fldChar w:fldCharType="separate"/>
          </w:r>
          <w:r>
            <w:rPr>
              <w:rStyle w:val="15"/>
              <w:rFonts w:ascii="Times New Roman" w:hAnsi="Times New Roman" w:eastAsia="仿宋_GB2312" w:cs="Times New Roman"/>
              <w:b/>
              <w:bCs/>
              <w:color w:val="auto"/>
              <w:kern w:val="44"/>
              <w:sz w:val="28"/>
              <w:szCs w:val="28"/>
            </w:rPr>
            <w:t>20</w:t>
          </w:r>
          <w:r>
            <w:rPr>
              <w:rStyle w:val="15"/>
              <w:rFonts w:ascii="Times New Roman" w:hAnsi="Times New Roman" w:eastAsia="仿宋_GB2312" w:cs="Times New Roman"/>
              <w:b/>
              <w:bCs/>
              <w:color w:val="auto"/>
              <w:kern w:val="44"/>
              <w:sz w:val="28"/>
              <w:szCs w:val="28"/>
            </w:rPr>
            <w:fldChar w:fldCharType="end"/>
          </w:r>
          <w:r>
            <w:rPr>
              <w:rStyle w:val="15"/>
              <w:rFonts w:ascii="Times New Roman" w:hAnsi="Times New Roman" w:eastAsia="仿宋_GB2312" w:cs="Times New Roman"/>
              <w:b/>
              <w:bCs/>
              <w:color w:val="auto"/>
              <w:kern w:val="44"/>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"_Toc54513696" </w:instrText>
          </w:r>
          <w:r>
            <w:rPr>
              <w:color w:val="auto"/>
            </w:rPr>
            <w:fldChar w:fldCharType="separate"/>
          </w:r>
          <w:r>
            <w:rPr>
              <w:rStyle w:val="15"/>
              <w:rFonts w:ascii="Times New Roman" w:hAnsi="Times New Roman" w:eastAsia="仿宋_GB2312" w:cs="Times New Roman"/>
              <w:color w:val="auto"/>
              <w:kern w:val="44"/>
              <w:sz w:val="28"/>
              <w:szCs w:val="28"/>
            </w:rPr>
            <w:t>（一）组织保障</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_Toc54513696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20</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"_Toc54513697" </w:instrText>
          </w:r>
          <w:r>
            <w:rPr>
              <w:color w:val="auto"/>
            </w:rPr>
            <w:fldChar w:fldCharType="separate"/>
          </w:r>
          <w:r>
            <w:rPr>
              <w:rStyle w:val="15"/>
              <w:rFonts w:ascii="Times New Roman" w:hAnsi="Times New Roman" w:eastAsia="仿宋_GB2312" w:cs="Times New Roman"/>
              <w:color w:val="auto"/>
              <w:kern w:val="44"/>
              <w:sz w:val="28"/>
              <w:szCs w:val="28"/>
            </w:rPr>
            <w:t>（二）资金保障</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_Toc54513697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21</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"_Toc54513698" </w:instrText>
          </w:r>
          <w:r>
            <w:rPr>
              <w:color w:val="auto"/>
            </w:rPr>
            <w:fldChar w:fldCharType="separate"/>
          </w:r>
          <w:r>
            <w:rPr>
              <w:rStyle w:val="15"/>
              <w:rFonts w:ascii="Times New Roman" w:hAnsi="Times New Roman" w:eastAsia="仿宋_GB2312" w:cs="Times New Roman"/>
              <w:color w:val="auto"/>
              <w:kern w:val="44"/>
              <w:sz w:val="28"/>
              <w:szCs w:val="28"/>
            </w:rPr>
            <w:t>（三）人才保障</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_Toc54513698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21</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color w:val="auto"/>
              <w:sz w:val="28"/>
              <w:szCs w:val="28"/>
            </w:rPr>
          </w:pPr>
          <w:r>
            <w:rPr>
              <w:color w:val="auto"/>
            </w:rPr>
            <w:fldChar w:fldCharType="begin"/>
          </w:r>
          <w:r>
            <w:rPr>
              <w:color w:val="auto"/>
            </w:rPr>
            <w:instrText xml:space="preserve"> HYPERLINK \l "_Toc54513699" </w:instrText>
          </w:r>
          <w:r>
            <w:rPr>
              <w:color w:val="auto"/>
            </w:rPr>
            <w:fldChar w:fldCharType="separate"/>
          </w:r>
          <w:r>
            <w:rPr>
              <w:rStyle w:val="15"/>
              <w:rFonts w:ascii="Times New Roman" w:hAnsi="Times New Roman" w:eastAsia="仿宋_GB2312" w:cs="Times New Roman"/>
              <w:color w:val="auto"/>
              <w:kern w:val="44"/>
              <w:sz w:val="28"/>
              <w:szCs w:val="28"/>
            </w:rPr>
            <w:t>（四）政策保障</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_Toc54513699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22</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p>
        <w:p>
          <w:pPr>
            <w:pStyle w:val="10"/>
            <w:tabs>
              <w:tab w:val="right" w:leader="dot" w:pos="8296"/>
            </w:tabs>
            <w:adjustRightInd w:val="0"/>
            <w:snapToGrid w:val="0"/>
            <w:spacing w:line="360" w:lineRule="auto"/>
            <w:rPr>
              <w:rFonts w:ascii="Times New Roman" w:hAnsi="Times New Roman" w:eastAsia="仿宋_GB2312" w:cs="Times New Roman"/>
              <w:bCs/>
              <w:color w:val="auto"/>
              <w:sz w:val="28"/>
              <w:szCs w:val="28"/>
              <w:lang w:val="zh-CN"/>
            </w:rPr>
          </w:pPr>
          <w:r>
            <w:rPr>
              <w:color w:val="auto"/>
            </w:rPr>
            <w:fldChar w:fldCharType="begin"/>
          </w:r>
          <w:r>
            <w:rPr>
              <w:color w:val="auto"/>
            </w:rPr>
            <w:instrText xml:space="preserve"> HYPERLINK \l "_Toc54513700" </w:instrText>
          </w:r>
          <w:r>
            <w:rPr>
              <w:color w:val="auto"/>
            </w:rPr>
            <w:fldChar w:fldCharType="separate"/>
          </w:r>
          <w:r>
            <w:rPr>
              <w:rStyle w:val="15"/>
              <w:rFonts w:ascii="Times New Roman" w:hAnsi="Times New Roman" w:eastAsia="仿宋_GB2312" w:cs="Times New Roman"/>
              <w:color w:val="auto"/>
              <w:kern w:val="44"/>
              <w:sz w:val="28"/>
              <w:szCs w:val="28"/>
            </w:rPr>
            <w:t>（五）环境保障</w:t>
          </w:r>
          <w:r>
            <w:rPr>
              <w:rFonts w:ascii="Times New Roman" w:hAnsi="Times New Roman" w:eastAsia="仿宋_GB2312" w:cs="Times New Roman"/>
              <w:color w:val="auto"/>
              <w:sz w:val="28"/>
              <w:szCs w:val="28"/>
            </w:rPr>
            <w:tab/>
          </w:r>
          <w:r>
            <w:rPr>
              <w:rFonts w:ascii="Times New Roman" w:hAnsi="Times New Roman" w:eastAsia="仿宋_GB2312" w:cs="Times New Roman"/>
              <w:color w:val="auto"/>
              <w:sz w:val="28"/>
              <w:szCs w:val="28"/>
            </w:rPr>
            <w:fldChar w:fldCharType="begin"/>
          </w:r>
          <w:r>
            <w:rPr>
              <w:rFonts w:ascii="Times New Roman" w:hAnsi="Times New Roman" w:eastAsia="仿宋_GB2312" w:cs="Times New Roman"/>
              <w:color w:val="auto"/>
              <w:sz w:val="28"/>
              <w:szCs w:val="28"/>
            </w:rPr>
            <w:instrText xml:space="preserve"> PAGEREF _Toc54513700 \h </w:instrText>
          </w:r>
          <w:r>
            <w:rPr>
              <w:rFonts w:ascii="Times New Roman" w:hAnsi="Times New Roman" w:eastAsia="仿宋_GB2312" w:cs="Times New Roman"/>
              <w:color w:val="auto"/>
              <w:sz w:val="28"/>
              <w:szCs w:val="28"/>
            </w:rPr>
            <w:fldChar w:fldCharType="separate"/>
          </w:r>
          <w:r>
            <w:rPr>
              <w:rFonts w:ascii="Times New Roman" w:hAnsi="Times New Roman" w:eastAsia="仿宋_GB2312" w:cs="Times New Roman"/>
              <w:color w:val="auto"/>
              <w:sz w:val="28"/>
              <w:szCs w:val="28"/>
            </w:rPr>
            <w:t>23</w:t>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color w:val="auto"/>
              <w:sz w:val="28"/>
              <w:szCs w:val="28"/>
            </w:rPr>
            <w:fldChar w:fldCharType="end"/>
          </w:r>
          <w:r>
            <w:rPr>
              <w:rFonts w:ascii="Times New Roman" w:hAnsi="Times New Roman" w:eastAsia="仿宋_GB2312" w:cs="Times New Roman"/>
              <w:bCs/>
              <w:color w:val="auto"/>
              <w:sz w:val="28"/>
              <w:szCs w:val="28"/>
              <w:lang w:val="zh-CN"/>
            </w:rPr>
            <w:fldChar w:fldCharType="end"/>
          </w:r>
        </w:p>
        <w:p>
          <w:pPr>
            <w:pStyle w:val="10"/>
            <w:tabs>
              <w:tab w:val="right" w:leader="dot" w:pos="8296"/>
            </w:tabs>
            <w:adjustRightInd w:val="0"/>
            <w:snapToGrid w:val="0"/>
            <w:spacing w:line="360" w:lineRule="auto"/>
            <w:ind w:left="420" w:leftChars="200"/>
            <w:rPr>
              <w:color w:val="auto"/>
            </w:rPr>
          </w:pPr>
        </w:p>
      </w:sdtContent>
    </w:sdt>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十三五”以来，文化产业在稳增长、促改革、调结构、惠民生等方面的贡献进一步增强，向成为国民经济支柱性产业的发展目标不断迈进，文化产业已经成为满足人民群众对美好生活需要、提高人民生活品质和幸福感的重要途径。“十四五”时期是我国开启全面建设社会主义现代化强国新征程的第一个五年，是天津由全面建成高质量小康社会向建设社会主义现代化大都市迈进的关键期，也是南开区抢抓机遇、高标准推进“创新南开”建设攻关期，同时也是落实区域经济发展战略、推动文化产业高质量发展的客观要求。</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为准确把握时代机遇，实现南开区文化产业转型升级，使文化产业成为南开区城市发展和产业升级的主要驱动力，特编制本规划，明确南开区文化产业未来五年的发展目标、战略、任务和行动计划。</w:t>
      </w:r>
    </w:p>
    <w:p>
      <w:pPr>
        <w:pStyle w:val="2"/>
        <w:adjustRightInd w:val="0"/>
        <w:snapToGrid w:val="0"/>
        <w:spacing w:before="468" w:beforeLines="150" w:after="468" w:afterLines="150" w:line="240" w:lineRule="auto"/>
        <w:jc w:val="center"/>
        <w:rPr>
          <w:rFonts w:ascii="Times New Roman" w:hAnsi="Times New Roman" w:eastAsia="方正小标宋简体" w:cs="黑体"/>
          <w:b w:val="0"/>
          <w:color w:val="auto"/>
          <w:sz w:val="36"/>
          <w:szCs w:val="36"/>
        </w:rPr>
      </w:pPr>
      <w:bookmarkStart w:id="0" w:name="_Toc46861442"/>
      <w:bookmarkStart w:id="1" w:name="_Toc54513678"/>
      <w:r>
        <w:rPr>
          <w:rFonts w:hint="eastAsia" w:ascii="Times New Roman" w:hAnsi="Times New Roman" w:eastAsia="方正小标宋简体" w:cs="黑体"/>
          <w:b w:val="0"/>
          <w:color w:val="auto"/>
          <w:sz w:val="36"/>
          <w:szCs w:val="36"/>
        </w:rPr>
        <w:t>一、发展基础和发展环境</w:t>
      </w:r>
      <w:bookmarkEnd w:id="0"/>
      <w:bookmarkEnd w:id="1"/>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2" w:name="_Toc46861443"/>
      <w:bookmarkStart w:id="3" w:name="_Toc54513679"/>
      <w:r>
        <w:rPr>
          <w:rFonts w:hint="eastAsia" w:ascii="Times New Roman" w:hAnsi="Times New Roman" w:cs="方正小标宋简体"/>
          <w:bCs/>
          <w:color w:val="auto"/>
          <w:sz w:val="32"/>
          <w:szCs w:val="32"/>
          <w:lang w:eastAsia="zh-Hans"/>
        </w:rPr>
        <w:t>（一）</w:t>
      </w:r>
      <w:bookmarkEnd w:id="2"/>
      <w:r>
        <w:rPr>
          <w:rFonts w:hint="eastAsia" w:ascii="Times New Roman" w:hAnsi="Times New Roman" w:cs="方正小标宋简体"/>
          <w:bCs/>
          <w:color w:val="auto"/>
          <w:sz w:val="32"/>
          <w:szCs w:val="32"/>
          <w:lang w:eastAsia="zh-Hans"/>
        </w:rPr>
        <w:t>主要成绩</w:t>
      </w:r>
      <w:bookmarkEnd w:id="3"/>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文化产业发展规模持续扩大。</w:t>
      </w:r>
      <w:r>
        <w:rPr>
          <w:rFonts w:hint="eastAsia" w:ascii="Times New Roman" w:hAnsi="Times New Roman" w:eastAsia="仿宋_GB2312"/>
          <w:color w:val="auto"/>
          <w:sz w:val="32"/>
        </w:rPr>
        <w:t>2019年南开区文化产业增加值达到30.78亿元，文化产业增加值的GDP占比和产业增加值增速近年来均超过5%，成为区域经济发展的支柱产业。南开区现有文化及相关产业法人单位2097个，全市排名第三，其中文化服务业1546家，规模以上34家；文化制造业62家，规模以上6家；文化批发和零售业489，规模以上7家，文化产业从业人员达到20959人，营业收入772795万元，文化产业的战略地位越发凸显。</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文化产业政策环境日益优化。</w:t>
      </w:r>
      <w:r>
        <w:rPr>
          <w:rFonts w:hint="eastAsia" w:ascii="Times New Roman" w:hAnsi="Times New Roman" w:eastAsia="仿宋_GB2312"/>
          <w:color w:val="auto"/>
          <w:sz w:val="32"/>
        </w:rPr>
        <w:t>出台了《南开区加快推进产业高端化发展政策意见》《南开区扶持文化旅游产业发展实施细则》等文件，设立文化旅游产业发展扶持资金500万元，有力地促进了文化产业发展。积极申报市级文化产业扶持政策，近年来共有8个项目获得市级、区级文化产业专项资金的扶持，扶持资金额度达到640万元。</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文化产业集聚效应日趋彰显。</w:t>
      </w:r>
      <w:r>
        <w:rPr>
          <w:rFonts w:hint="eastAsia" w:ascii="Times New Roman" w:hAnsi="Times New Roman" w:eastAsia="仿宋_GB2312"/>
          <w:color w:val="auto"/>
          <w:sz w:val="32"/>
        </w:rPr>
        <w:t>“十三五”期间，南开区“四个文化产业聚集区”整体架构基本形成，形成北部—老城文化商贸旅游聚集区、中部—科技文化创意产业聚集区、南部—体育休闲文化聚集区、西部—文化创意产业聚集区。区域文化产业结构、品牌特色、创意引领的文化创意产业己成为区域文化产业发展的主流和引导。</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文化产业特色品牌现己形成。</w:t>
      </w:r>
      <w:r>
        <w:rPr>
          <w:rFonts w:hint="eastAsia" w:ascii="Times New Roman" w:hAnsi="Times New Roman" w:eastAsia="仿宋_GB2312"/>
          <w:color w:val="auto"/>
          <w:sz w:val="32"/>
        </w:rPr>
        <w:t>加大对重点文化产业园区、企业的扶持力度，一批文化产业园区、企业发展成为区域文化产业的中坚力量和骨干企业。文化演艺和文化产品等领域优势凸显，启动“老城津韵——魅力南开”品牌推广活动，“老城津韵”内涵更加丰富。连续举办三届京津冀非遗文化展示活动，启动古文化街旅游景区提升改造工程，提升、改造老城博物馆，形成博物馆集聚区。。</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文化产业协同发展初见成效。</w:t>
      </w:r>
      <w:r>
        <w:rPr>
          <w:rFonts w:hint="eastAsia" w:ascii="Times New Roman" w:hAnsi="Times New Roman" w:eastAsia="仿宋_GB2312"/>
          <w:color w:val="auto"/>
          <w:sz w:val="32"/>
        </w:rPr>
        <w:t>加快京津区域之间文化产业的融合发展，吸引北京东方嘉诚、大悦城集团等文化产业领军企业投资建设新文化项目。京津冀三地共同举办“北京设计周”文化创意产业节活动，组织文化创意企业“创客”项目参赛，并取得优秀奖项。组织参加京津冀文化产业交流及培训活动，参加深圳文博会、北京文创节等文化产业活动，提升区域文化产业的知名度和影响力。</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4" w:name="_Toc46861444"/>
      <w:bookmarkStart w:id="5" w:name="_Toc54513680"/>
      <w:r>
        <w:rPr>
          <w:rFonts w:hint="eastAsia" w:ascii="Times New Roman" w:hAnsi="Times New Roman" w:cs="方正小标宋简体"/>
          <w:bCs/>
          <w:color w:val="auto"/>
          <w:sz w:val="32"/>
          <w:szCs w:val="32"/>
          <w:lang w:eastAsia="zh-Hans"/>
        </w:rPr>
        <w:t>（二）主要问题</w:t>
      </w:r>
      <w:bookmarkEnd w:id="4"/>
      <w:bookmarkEnd w:id="5"/>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文化产业总量仍需提升。</w:t>
      </w:r>
      <w:r>
        <w:rPr>
          <w:rFonts w:hint="eastAsia" w:ascii="Times New Roman" w:hAnsi="Times New Roman" w:eastAsia="仿宋_GB2312"/>
          <w:color w:val="auto"/>
          <w:sz w:val="32"/>
        </w:rPr>
        <w:t>南开区规上文创产业增加值增幅较好，但是整体规模还不够大，发展质量和效益还不够高。产业集聚效应有待提升，文化产业园区发展呈现下滑趋势，具有产业引领和带动辐射的龙头企业较少，小微型文化企业的市场竞争力较弱。</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文化创新融合亟待加强。</w:t>
      </w:r>
      <w:r>
        <w:rPr>
          <w:rFonts w:hint="eastAsia" w:ascii="Times New Roman" w:hAnsi="Times New Roman" w:eastAsia="仿宋_GB2312"/>
          <w:color w:val="auto"/>
          <w:sz w:val="32"/>
        </w:rPr>
        <w:t>南开区文化产业发展业态和模式较为传统，在产业内容、技术、业态等方面的发展有待提升，企业转型升级进展缓慢；支撑文化产业发展的重点产业，如互联网、数字信息产业、软件等产业布局缺乏；文化与科技融合的力度不够，产品附加值难以提升，动漫游戏、新媒体等新型产业发展乏力。</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文化品牌效应还需扩大。</w:t>
      </w:r>
      <w:r>
        <w:rPr>
          <w:rFonts w:hint="eastAsia" w:ascii="Times New Roman" w:hAnsi="Times New Roman" w:eastAsia="仿宋_GB2312"/>
          <w:color w:val="auto"/>
          <w:sz w:val="32"/>
        </w:rPr>
        <w:t>南开区传统文化资源优势显著，但未形成文化优势向品牌优势的转化。演艺活动文化立意不深、主题不够鲜明，古文化街和鼓楼等文化休闲地主题近似，博物馆集聚区、非物质文化遗产品牌效应有待深化，文化演艺对南开知名度和美誉度的扩大效应仍需加强。</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高端文化创意人才缺乏。</w:t>
      </w:r>
      <w:r>
        <w:rPr>
          <w:rFonts w:hint="eastAsia" w:ascii="Times New Roman" w:hAnsi="Times New Roman" w:eastAsia="仿宋_GB2312"/>
          <w:color w:val="auto"/>
          <w:sz w:val="32"/>
        </w:rPr>
        <w:t>文化产业融合了文化、经济、科技等多方面的知识，对人才的要求较高。文化产业经营管理型人才、文化贸易型、拥有现代信息技术手段的高科技型人才、以及既懂文化又懂经济善于经营管理的复合型人才紧缺。</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6" w:name="_Toc46861445"/>
      <w:bookmarkStart w:id="7" w:name="_Toc54513681"/>
      <w:r>
        <w:rPr>
          <w:rFonts w:hint="eastAsia" w:ascii="Times New Roman" w:hAnsi="Times New Roman" w:cs="方正小标宋简体"/>
          <w:bCs/>
          <w:color w:val="auto"/>
          <w:sz w:val="32"/>
          <w:szCs w:val="32"/>
          <w:lang w:eastAsia="zh-Hans"/>
        </w:rPr>
        <w:t>（三）形势</w:t>
      </w:r>
      <w:bookmarkEnd w:id="6"/>
      <w:r>
        <w:rPr>
          <w:rFonts w:hint="eastAsia" w:ascii="Times New Roman" w:hAnsi="Times New Roman" w:cs="方正小标宋简体"/>
          <w:bCs/>
          <w:color w:val="auto"/>
          <w:sz w:val="32"/>
          <w:szCs w:val="32"/>
          <w:lang w:eastAsia="zh-Hans"/>
        </w:rPr>
        <w:t>机遇</w:t>
      </w:r>
      <w:bookmarkEnd w:id="7"/>
    </w:p>
    <w:p>
      <w:pPr>
        <w:adjustRightInd w:val="0"/>
        <w:snapToGrid w:val="0"/>
        <w:spacing w:line="600" w:lineRule="exact"/>
        <w:ind w:firstLine="640" w:firstLineChars="200"/>
        <w:rPr>
          <w:rFonts w:hint="eastAsia" w:ascii="Times New Roman" w:hAnsi="Times New Roman" w:eastAsia="仿宋_GB2312"/>
          <w:color w:val="auto"/>
          <w:sz w:val="32"/>
        </w:rPr>
      </w:pPr>
      <w:r>
        <w:rPr>
          <w:rFonts w:hint="eastAsia" w:ascii="Times New Roman" w:hAnsi="Times New Roman" w:eastAsia="楷体" w:cs="楷体"/>
          <w:b w:val="0"/>
          <w:bCs w:val="0"/>
          <w:color w:val="auto"/>
          <w:sz w:val="32"/>
        </w:rPr>
        <w:t>创新驱动带来文化产业发展新机遇。</w:t>
      </w:r>
      <w:r>
        <w:rPr>
          <w:rFonts w:hint="eastAsia" w:ascii="Times New Roman" w:hAnsi="Times New Roman" w:eastAsia="仿宋_GB2312"/>
          <w:color w:val="auto"/>
          <w:sz w:val="32"/>
        </w:rPr>
        <w:t>党的十九大为文化产业的发展指明了新方向，并不断健全完善文化产业政策保障体系，在主体培育、重点行业、产业融合、文化消费、对外贸易等文化产业相关领域出台一系列政策举措。天津市紧密对接国家产业政策，陆续出台并细化适于发展实际的配套政策，不断优化文化产业政策环境。</w:t>
      </w:r>
    </w:p>
    <w:p>
      <w:pPr>
        <w:keepNext w:val="0"/>
        <w:keepLines w:val="0"/>
        <w:widowControl/>
        <w:suppressLineNumbers w:val="0"/>
        <w:jc w:val="left"/>
        <w:rPr>
          <w:rFonts w:hint="eastAsia" w:ascii="Times New Roman" w:hAnsi="Times New Roman" w:eastAsia="仿宋_GB2312"/>
          <w:color w:val="auto"/>
          <w:sz w:val="32"/>
          <w:lang w:val="en-US" w:eastAsia="zh-CN"/>
        </w:rPr>
      </w:pPr>
      <w:r>
        <w:rPr>
          <w:rFonts w:hint="eastAsia" w:ascii="Times New Roman" w:hAnsi="Times New Roman" w:eastAsia="楷体" w:cs="楷体"/>
          <w:b w:val="0"/>
          <w:bCs w:val="0"/>
          <w:color w:val="auto"/>
          <w:sz w:val="32"/>
          <w:lang w:val="en-US" w:eastAsia="zh-CN"/>
        </w:rPr>
        <w:t xml:space="preserve">   </w:t>
      </w:r>
      <w:r>
        <w:rPr>
          <w:rFonts w:hint="eastAsia" w:ascii="Times New Roman" w:hAnsi="Times New Roman" w:eastAsia="楷体" w:cs="楷体"/>
          <w:b w:val="0"/>
          <w:bCs w:val="0"/>
          <w:color w:val="auto"/>
          <w:sz w:val="32"/>
          <w:lang w:eastAsia="zh-CN"/>
        </w:rPr>
        <w:t>城市融合带来文化产业发展新格局。</w:t>
      </w:r>
      <w:r>
        <w:rPr>
          <w:rFonts w:hint="eastAsia" w:ascii="Times New Roman" w:hAnsi="Times New Roman" w:eastAsia="仿宋_GB2312"/>
          <w:color w:val="auto"/>
          <w:sz w:val="32"/>
          <w:lang w:val="en-US" w:eastAsia="zh-CN"/>
        </w:rPr>
        <w:t>京津冀目标同向、措施一体、优势互补、互利共赢的协同发展新格局助推文化产业一体化进程。天津市围绕全面建设社会主义现代化大都市的远景目标，加快实施扩大内需战略，努力打造国际消费中心城市，为文化文化产业发展营造浓厚氛围。</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跨界融合拓展文化产业发展新空间。</w:t>
      </w:r>
      <w:r>
        <w:rPr>
          <w:rFonts w:hint="eastAsia" w:ascii="Times New Roman" w:hAnsi="Times New Roman" w:eastAsia="仿宋_GB2312"/>
          <w:color w:val="auto"/>
          <w:sz w:val="32"/>
        </w:rPr>
        <w:t>跨界融合已成为产业发展的重要趋势。新形势下，大力发展文化产业，积极促进文化产业与相关产业融合，发展新业态、新模式，培育新动能，更好地服务经济结构调整和产业转型升级，推动文化产业更好更快发展，增强人民群众的获得感和幸福感。</w:t>
      </w:r>
    </w:p>
    <w:p>
      <w:pPr>
        <w:pStyle w:val="2"/>
        <w:adjustRightInd w:val="0"/>
        <w:snapToGrid w:val="0"/>
        <w:spacing w:before="468" w:beforeLines="150" w:after="468" w:afterLines="150" w:line="240" w:lineRule="auto"/>
        <w:jc w:val="center"/>
        <w:rPr>
          <w:rFonts w:ascii="Times New Roman" w:hAnsi="Times New Roman" w:eastAsia="方正小标宋简体" w:cs="黑体"/>
          <w:b w:val="0"/>
          <w:color w:val="auto"/>
          <w:sz w:val="36"/>
          <w:szCs w:val="36"/>
        </w:rPr>
      </w:pPr>
      <w:bookmarkStart w:id="8" w:name="_Toc46861446"/>
      <w:bookmarkStart w:id="9" w:name="_Toc54513682"/>
      <w:r>
        <w:rPr>
          <w:rFonts w:hint="eastAsia" w:ascii="Times New Roman" w:hAnsi="Times New Roman" w:eastAsia="方正小标宋简体" w:cs="黑体"/>
          <w:b w:val="0"/>
          <w:color w:val="auto"/>
          <w:sz w:val="36"/>
          <w:szCs w:val="36"/>
        </w:rPr>
        <w:t>二、总体要求和</w:t>
      </w:r>
      <w:bookmarkEnd w:id="8"/>
      <w:r>
        <w:rPr>
          <w:rFonts w:hint="eastAsia" w:ascii="Times New Roman" w:hAnsi="Times New Roman" w:eastAsia="方正小标宋简体" w:cs="黑体"/>
          <w:b w:val="0"/>
          <w:color w:val="auto"/>
          <w:sz w:val="36"/>
          <w:szCs w:val="36"/>
        </w:rPr>
        <w:t>战略目标</w:t>
      </w:r>
      <w:bookmarkEnd w:id="9"/>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10" w:name="_Toc46861447"/>
      <w:bookmarkStart w:id="11" w:name="_Toc54513683"/>
      <w:r>
        <w:rPr>
          <w:rFonts w:hint="eastAsia" w:ascii="Times New Roman" w:hAnsi="Times New Roman" w:cs="方正小标宋简体"/>
          <w:bCs/>
          <w:color w:val="auto"/>
          <w:sz w:val="32"/>
          <w:szCs w:val="32"/>
          <w:lang w:eastAsia="zh-Hans"/>
        </w:rPr>
        <w:t>（一）指导思想</w:t>
      </w:r>
      <w:bookmarkEnd w:id="10"/>
      <w:bookmarkEnd w:id="11"/>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全面贯彻党的十九大精神，以习近平新时代中国特色社会主义思想为指导，坚持新发展理念，坚持社会主义先进文化前进方向。发挥南开区文化产业自身资源优势，整合现有产业资源，集聚区域发展优势，以优势文化资源为依托，以文旅融合发展为主线，以产业转型升级为抓手，以改革创新引领为动力，着力培育文化领域新动能、新技术、新产业、新业态、新模式，打造特色鲜明的文化品牌与优势文化企业，推进文化产业高质量发展，全面提升文化产业的综合实力和市场竞争力，构建南开区文化产业发展新局面。</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12" w:name="_Toc54513684"/>
      <w:bookmarkStart w:id="13" w:name="_Toc46861448"/>
      <w:r>
        <w:rPr>
          <w:rFonts w:hint="eastAsia" w:ascii="Times New Roman" w:hAnsi="Times New Roman" w:cs="方正小标宋简体"/>
          <w:bCs/>
          <w:color w:val="auto"/>
          <w:sz w:val="32"/>
          <w:szCs w:val="32"/>
          <w:lang w:eastAsia="zh-Hans"/>
        </w:rPr>
        <w:t>（二）基本原则</w:t>
      </w:r>
      <w:bookmarkEnd w:id="12"/>
      <w:bookmarkEnd w:id="13"/>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——坚持正确导向。</w:t>
      </w:r>
      <w:r>
        <w:rPr>
          <w:rFonts w:hint="eastAsia" w:ascii="Times New Roman" w:hAnsi="Times New Roman" w:eastAsia="仿宋_GB2312"/>
          <w:color w:val="auto"/>
          <w:sz w:val="32"/>
        </w:rPr>
        <w:t>坚持社会主义先进文化前进方向，弘扬主旋律，统筹发展公益性文化事业与经营性文化产业，引导文化产业高端化、多样化、高效化发展。</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——坚持创新引领。</w:t>
      </w:r>
      <w:r>
        <w:rPr>
          <w:rFonts w:hint="eastAsia" w:ascii="Times New Roman" w:hAnsi="Times New Roman" w:eastAsia="仿宋_GB2312"/>
          <w:color w:val="auto"/>
          <w:sz w:val="32"/>
        </w:rPr>
        <w:t>运用创新理念、创新方法引领产业融合与升级，培育文化产业发展新技术、新业态、新模</w:t>
      </w:r>
      <w:r>
        <w:rPr>
          <w:rFonts w:hint="eastAsia" w:ascii="Times New Roman" w:hAnsi="Times New Roman" w:eastAsia="仿宋_GB2312"/>
          <w:color w:val="auto"/>
          <w:sz w:val="32"/>
          <w:lang w:eastAsia="zh-CN"/>
        </w:rPr>
        <w:t>业家队伍建</w:t>
      </w:r>
      <w:r>
        <w:rPr>
          <w:rFonts w:hint="eastAsia" w:ascii="Times New Roman" w:hAnsi="Times New Roman" w:eastAsia="仿宋_GB2312"/>
          <w:color w:val="auto"/>
          <w:sz w:val="32"/>
        </w:rPr>
        <w:t>式，坚持以创新引领发展，加快建设创新型文化格局。</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——坚持协同发展。</w:t>
      </w:r>
      <w:r>
        <w:rPr>
          <w:rFonts w:hint="eastAsia" w:ascii="Times New Roman" w:hAnsi="Times New Roman" w:eastAsia="仿宋_GB2312"/>
          <w:color w:val="auto"/>
          <w:sz w:val="32"/>
        </w:rPr>
        <w:t>充分发挥市场在资源配置中的基础性作用，建立开放包容、公平有序的市场竞争环境，推进市场协同、产业协同、区域协同，带动文化产业高质量发展。</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——坚持特色发展。</w:t>
      </w:r>
      <w:r>
        <w:rPr>
          <w:rFonts w:hint="eastAsia" w:ascii="Times New Roman" w:hAnsi="Times New Roman" w:eastAsia="仿宋_GB2312"/>
          <w:color w:val="auto"/>
          <w:sz w:val="32"/>
        </w:rPr>
        <w:t>发掘富有南开特色的文化要素，传承历史文脉，坚持差异化发展道路，用高品质的特色文化资源和产品打造南开走向世界的名片。</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——坚持融合发展。</w:t>
      </w:r>
      <w:r>
        <w:rPr>
          <w:rFonts w:hint="eastAsia" w:ascii="Times New Roman" w:hAnsi="Times New Roman" w:eastAsia="仿宋_GB2312"/>
          <w:color w:val="auto"/>
          <w:sz w:val="32"/>
        </w:rPr>
        <w:t>推进文化产业与其他相关产业的深度融合，全方位冲破资源整合瓶颈，从源头激发原创，从终端促进文化消费，以创意激发产业转型升级。</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14" w:name="_Toc46861449"/>
      <w:bookmarkStart w:id="15" w:name="_Toc54513685"/>
      <w:r>
        <w:rPr>
          <w:rFonts w:hint="eastAsia" w:ascii="Times New Roman" w:hAnsi="Times New Roman" w:cs="方正小标宋简体"/>
          <w:bCs/>
          <w:color w:val="auto"/>
          <w:sz w:val="32"/>
          <w:szCs w:val="32"/>
          <w:lang w:eastAsia="zh-Hans"/>
        </w:rPr>
        <w:t>（三）发展目标</w:t>
      </w:r>
      <w:bookmarkEnd w:id="14"/>
      <w:bookmarkEnd w:id="15"/>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至“十四五”末期，形成文化产业空间布局合理、文化产业体系更加健全、文化创新能力强劲、文化要素保障有力的发展新格局，文化软实力进一步增强，把南开区打造为传统与现代融合发展的文化产业高地，文化产业作为国民经济支柱性产业的地位与作用进一步提升。</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全面融入京津冀协同发展，聚集创意设计产业、文旅融合产业、动漫产业等发展前沿领域和关键产业，实现文创产品精品化、文化创意品牌化、新兴业态多元化、市场体系现代化。深化文化多向融合、传承与创新的发展模式，实施智慧引领、品牌塑造、载体提升、智力引育等重点工程，培育新型文化业态与消费模式，形成文化产业高质量发展体系。</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具体体现为：</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——文化产业增加值有序提高。</w:t>
      </w:r>
      <w:r>
        <w:rPr>
          <w:rFonts w:hint="eastAsia" w:ascii="Times New Roman" w:hAnsi="Times New Roman" w:eastAsia="仿宋_GB2312"/>
          <w:color w:val="auto"/>
          <w:sz w:val="32"/>
        </w:rPr>
        <w:t>到2025年，南开区文化产业增加值占全区GDP的比重稳定在5%以上，文化产业成为南开区重要的战略性新兴产业和国民经济支柱性产业，文化产业的综合竞争力明显增强。</w:t>
      </w:r>
    </w:p>
    <w:p>
      <w:pPr>
        <w:adjustRightInd w:val="0"/>
        <w:snapToGrid w:val="0"/>
        <w:spacing w:line="600" w:lineRule="exact"/>
        <w:ind w:firstLine="640" w:firstLineChars="200"/>
        <w:rPr>
          <w:rFonts w:hint="eastAsia" w:ascii="Times New Roman" w:hAnsi="Times New Roman" w:eastAsia="仿宋_GB2312"/>
          <w:color w:val="auto"/>
          <w:sz w:val="32"/>
        </w:rPr>
      </w:pPr>
      <w:r>
        <w:rPr>
          <w:rFonts w:hint="eastAsia" w:ascii="Times New Roman" w:hAnsi="Times New Roman" w:eastAsia="楷体" w:cs="楷体"/>
          <w:b w:val="0"/>
          <w:bCs w:val="0"/>
          <w:color w:val="auto"/>
          <w:sz w:val="32"/>
        </w:rPr>
        <w:t>——文化产业结构与布局持续优化</w:t>
      </w:r>
      <w:r>
        <w:rPr>
          <w:rFonts w:hint="eastAsia" w:ascii="Times New Roman" w:hAnsi="Times New Roman" w:eastAsia="仿宋_GB2312"/>
          <w:color w:val="auto"/>
          <w:sz w:val="32"/>
        </w:rPr>
        <w:t>。构建以数字内容、创意设计、文化创意与设计服务、文化休闲娱乐为支撑的现代文化产业体系，</w:t>
      </w:r>
      <w:r>
        <w:rPr>
          <w:rFonts w:hint="eastAsia" w:ascii="Times New Roman" w:hAnsi="Times New Roman" w:eastAsia="仿宋_GB2312"/>
          <w:color w:val="auto"/>
          <w:sz w:val="32"/>
          <w:lang w:eastAsia="zh-CN"/>
        </w:rPr>
        <w:t>培育一批</w:t>
      </w:r>
      <w:r>
        <w:rPr>
          <w:rFonts w:hint="eastAsia" w:ascii="Times New Roman" w:hAnsi="Times New Roman" w:eastAsia="仿宋_GB2312"/>
          <w:color w:val="auto"/>
          <w:sz w:val="32"/>
        </w:rPr>
        <w:t>在全国具有一定影响力的特色文化品牌</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全国知名的文化地标打卡地</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——老城文化品牌影响力有效提升</w:t>
      </w:r>
      <w:r>
        <w:rPr>
          <w:rFonts w:hint="eastAsia" w:ascii="Times New Roman" w:hAnsi="Times New Roman" w:eastAsia="仿宋_GB2312"/>
          <w:color w:val="auto"/>
          <w:sz w:val="32"/>
        </w:rPr>
        <w:t>。深度挖掘由老城文化、妈祖文化和民俗文化凝结而成的“老城津韵”独有的资源潜力，融汇和凝练“津善津美、津文津智”的“津韵文化”精神内核，弘扬百年津派文化特色，擦亮天津文化金名片。</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——文化要素支撑体系不断增强</w:t>
      </w:r>
      <w:r>
        <w:rPr>
          <w:rFonts w:hint="eastAsia" w:ascii="Times New Roman" w:hAnsi="Times New Roman" w:eastAsia="仿宋_GB2312"/>
          <w:color w:val="auto"/>
          <w:sz w:val="32"/>
        </w:rPr>
        <w:t>。建成具有地域特色的文化产业园区、文化创意街区等产业集聚区块，</w:t>
      </w:r>
      <w:r>
        <w:rPr>
          <w:rFonts w:hint="eastAsia" w:ascii="Times New Roman" w:hAnsi="Times New Roman" w:eastAsia="仿宋_GB2312"/>
          <w:color w:val="auto"/>
          <w:sz w:val="32"/>
          <w:lang w:eastAsia="zh-CN"/>
        </w:rPr>
        <w:t>吸引</w:t>
      </w:r>
      <w:r>
        <w:rPr>
          <w:rFonts w:hint="eastAsia" w:ascii="Times New Roman" w:hAnsi="Times New Roman" w:eastAsia="仿宋_GB2312"/>
          <w:color w:val="auto"/>
          <w:sz w:val="32"/>
        </w:rPr>
        <w:t>文化创新高端研究机构和研究团队</w:t>
      </w:r>
      <w:r>
        <w:rPr>
          <w:rFonts w:hint="eastAsia" w:ascii="Times New Roman" w:hAnsi="Times New Roman" w:eastAsia="仿宋_GB2312"/>
          <w:color w:val="auto"/>
          <w:sz w:val="32"/>
          <w:lang w:eastAsia="zh-CN"/>
        </w:rPr>
        <w:t>加快</w:t>
      </w:r>
      <w:r>
        <w:rPr>
          <w:rFonts w:hint="eastAsia" w:ascii="Times New Roman" w:hAnsi="Times New Roman" w:eastAsia="仿宋_GB2312"/>
          <w:color w:val="auto"/>
          <w:sz w:val="32"/>
          <w:lang w:val="en-US" w:eastAsia="zh-CN"/>
        </w:rPr>
        <w:t>建设</w:t>
      </w:r>
      <w:r>
        <w:rPr>
          <w:rFonts w:hint="eastAsia" w:ascii="Times New Roman" w:hAnsi="Times New Roman" w:eastAsia="仿宋_GB2312"/>
          <w:color w:val="auto"/>
          <w:sz w:val="32"/>
        </w:rPr>
        <w:t>。搭建文化产业公共服务平台，文化产业发展的人才、资金、科技、知识产权、土地等要素支撑不断增强。</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——文化产业服务体系逐步完善</w:t>
      </w:r>
      <w:r>
        <w:rPr>
          <w:rFonts w:hint="eastAsia" w:ascii="Times New Roman" w:hAnsi="Times New Roman" w:eastAsia="仿宋_GB2312"/>
          <w:color w:val="auto"/>
          <w:sz w:val="32"/>
        </w:rPr>
        <w:t>。以现代公共文化服务体系构建为载体，着力提高文化惠民亲和力。提高全区公共文化服务的公益性、均等性、基本性、便利性水平，有效开展公共文化服务能力提升、社会化和数字化发展、管理体制机制创新。</w:t>
      </w:r>
    </w:p>
    <w:p>
      <w:pPr>
        <w:pStyle w:val="2"/>
        <w:adjustRightInd w:val="0"/>
        <w:snapToGrid w:val="0"/>
        <w:spacing w:before="468" w:beforeLines="150" w:after="468" w:afterLines="150" w:line="240" w:lineRule="auto"/>
        <w:jc w:val="center"/>
        <w:rPr>
          <w:rFonts w:ascii="Times New Roman" w:hAnsi="Times New Roman" w:eastAsia="方正小标宋简体" w:cs="黑体"/>
          <w:b w:val="0"/>
          <w:color w:val="auto"/>
          <w:sz w:val="36"/>
          <w:szCs w:val="36"/>
        </w:rPr>
      </w:pPr>
      <w:bookmarkStart w:id="16" w:name="_Toc46861451"/>
      <w:bookmarkStart w:id="17" w:name="_Toc54513686"/>
      <w:r>
        <w:rPr>
          <w:rFonts w:hint="eastAsia" w:ascii="Times New Roman" w:hAnsi="Times New Roman" w:eastAsia="方正小标宋简体" w:cs="黑体"/>
          <w:b w:val="0"/>
          <w:color w:val="auto"/>
          <w:sz w:val="36"/>
          <w:szCs w:val="36"/>
        </w:rPr>
        <w:t>三、总体布局</w:t>
      </w:r>
      <w:bookmarkEnd w:id="16"/>
      <w:bookmarkEnd w:id="17"/>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围绕“创新南开”的目标定位，按照“布局集中、产业集聚、功能拓展”要求，坚持“特色性、联动性、渐进性”发展原则，充分发挥各区域比较优势，加快推动文化产业园区从“要素集聚、企业集群”向“产业社区、智慧空间”转变，着力培育构建“</w:t>
      </w:r>
      <w:r>
        <w:rPr>
          <w:rFonts w:hint="eastAsia" w:ascii="Times New Roman" w:hAnsi="Times New Roman" w:eastAsia="仿宋_GB2312"/>
          <w:b/>
          <w:bCs/>
          <w:color w:val="auto"/>
          <w:sz w:val="32"/>
        </w:rPr>
        <w:t>创新引领、三区联动、云上赋能</w:t>
      </w:r>
      <w:r>
        <w:rPr>
          <w:rFonts w:hint="eastAsia" w:ascii="Times New Roman" w:hAnsi="Times New Roman" w:eastAsia="仿宋_GB2312"/>
          <w:color w:val="auto"/>
          <w:sz w:val="32"/>
        </w:rPr>
        <w:t>”的文化产业发展格局，为南开区文化产业发展提供良好的载体支撑。</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创新引领</w:t>
      </w:r>
      <w:r>
        <w:rPr>
          <w:rFonts w:hint="eastAsia" w:ascii="Times New Roman" w:hAnsi="Times New Roman" w:eastAsia="仿宋_GB2312"/>
          <w:b w:val="0"/>
          <w:bCs w:val="0"/>
          <w:color w:val="auto"/>
          <w:sz w:val="32"/>
        </w:rPr>
        <w:t>。</w:t>
      </w:r>
      <w:r>
        <w:rPr>
          <w:rFonts w:hint="eastAsia" w:ascii="Times New Roman" w:hAnsi="Times New Roman" w:eastAsia="仿宋_GB2312"/>
          <w:color w:val="auto"/>
          <w:sz w:val="32"/>
        </w:rPr>
        <w:t>发挥区内科技、文化、教育等资源优势，建设科技文化创意产业高水平集聚区，打造南开文化创意产业发展核心区，进一步突出示范引领和融合带动作用。</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三区联动。</w:t>
      </w:r>
      <w:r>
        <w:rPr>
          <w:rFonts w:hint="eastAsia" w:ascii="Times New Roman" w:hAnsi="Times New Roman" w:eastAsia="仿宋_GB2312"/>
          <w:color w:val="auto"/>
          <w:sz w:val="32"/>
        </w:rPr>
        <w:t>充分发挥资源和产业优势，突出战略性重点发展区域，进一步提高北区、南区、西区三个文化创意产业集聚区建设水平，不断提升对全区文化产业发展的辐射带动能力。“北区——老城津韵文化创意集聚区”以古文化街-老城厢为核心，打造具有独特天津文化韵味、创意风格和城市风情的文化产业功能区。“南区——现代休闲文化创意聚集区”以水上公园-天津奥体中心-时代奥城为核心，打造成为具有新颖性、时代性、流行性的现代时尚休闲娱乐文化功能区。“西区——工业主题文化创意聚集区”以长江道-天拖为核心，建设主题鲜明、管理规范、竞争力强的文化创意产业街区。</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云上赋能。</w:t>
      </w:r>
      <w:r>
        <w:rPr>
          <w:rFonts w:hint="eastAsia" w:ascii="Times New Roman" w:hAnsi="Times New Roman" w:eastAsia="仿宋_GB2312"/>
          <w:color w:val="auto"/>
          <w:sz w:val="32"/>
        </w:rPr>
        <w:t>推动文化产业活动云上转移，推动区内各类文化企业、文化组织和文化园区向云上集聚；建立并逐步完善网络型文化企业生命周期为主线的一站式服务体系的内容和服务模式；打造各类服务于企业的云上公共服务平台。</w:t>
      </w:r>
    </w:p>
    <w:p>
      <w:pPr>
        <w:pStyle w:val="2"/>
        <w:adjustRightInd w:val="0"/>
        <w:snapToGrid w:val="0"/>
        <w:spacing w:before="468" w:beforeLines="150" w:after="468" w:afterLines="150" w:line="240" w:lineRule="auto"/>
        <w:jc w:val="center"/>
        <w:rPr>
          <w:rFonts w:ascii="Times New Roman" w:hAnsi="Times New Roman" w:eastAsia="方正小标宋简体" w:cs="黑体"/>
          <w:b w:val="0"/>
          <w:color w:val="auto"/>
          <w:sz w:val="36"/>
          <w:szCs w:val="36"/>
        </w:rPr>
      </w:pPr>
      <w:bookmarkStart w:id="18" w:name="_Toc54513687"/>
      <w:bookmarkStart w:id="19" w:name="_Toc46861454"/>
      <w:bookmarkStart w:id="20" w:name="_Toc49871621"/>
      <w:r>
        <w:rPr>
          <w:rFonts w:hint="eastAsia" w:ascii="Times New Roman" w:hAnsi="Times New Roman" w:eastAsia="方正小标宋简体" w:cs="黑体"/>
          <w:b w:val="0"/>
          <w:color w:val="auto"/>
          <w:sz w:val="36"/>
          <w:szCs w:val="36"/>
        </w:rPr>
        <w:t>四、重点任务</w:t>
      </w:r>
      <w:bookmarkEnd w:id="18"/>
      <w:bookmarkEnd w:id="19"/>
      <w:bookmarkEnd w:id="20"/>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21" w:name="_Toc54513688"/>
      <w:bookmarkStart w:id="22" w:name="_Toc46861456"/>
      <w:bookmarkStart w:id="23" w:name="_Toc49871623"/>
      <w:r>
        <w:rPr>
          <w:rFonts w:hint="eastAsia" w:ascii="Times New Roman" w:hAnsi="Times New Roman" w:cs="方正小标宋简体"/>
          <w:bCs/>
          <w:color w:val="auto"/>
          <w:sz w:val="32"/>
          <w:szCs w:val="32"/>
          <w:lang w:eastAsia="zh-Hans"/>
        </w:rPr>
        <w:t>（一）智慧引领，加快文创产业转型升级</w:t>
      </w:r>
      <w:bookmarkEnd w:id="21"/>
      <w:bookmarkEnd w:id="22"/>
      <w:bookmarkEnd w:id="23"/>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提升南开区文化产业发展的网络化、数字化和智能化水平，将“文化+互联网”的理念运用到文化供需对接服务中，大力发展网络游戏、网络直播、云上文旅、智慧传媒、智慧场馆服务等新业态新模式，鼓励网络视听、移动阅读、在线教育、数字出版、知识服务等新兴网络平台建设。引导文化企业提升数字化生产经营能力和管理水平，鼓励和支持具有自主知识产权、文化产业专属的数字化生产经营与管理软件的研发及使用。坚持高端人才引领文化产业发展，进一步集聚文化产业创新创业人才。依托区域内高校及各类文化产业专业机构，</w:t>
      </w:r>
      <w:r>
        <w:rPr>
          <w:rFonts w:hint="eastAsia" w:ascii="Times New Roman" w:hAnsi="Times New Roman" w:eastAsia="仿宋_GB2312"/>
          <w:color w:val="auto"/>
          <w:sz w:val="32"/>
          <w:lang w:eastAsia="zh-CN"/>
        </w:rPr>
        <w:t>建立智力引进联系机制，共同促进文化产业高端发展。</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24" w:name="_Toc49871625"/>
      <w:bookmarkStart w:id="25" w:name="_Toc46861458"/>
      <w:bookmarkStart w:id="26" w:name="_Toc54513689"/>
      <w:r>
        <w:rPr>
          <w:rFonts w:hint="eastAsia" w:ascii="Times New Roman" w:hAnsi="Times New Roman" w:cs="方正小标宋简体"/>
          <w:bCs/>
          <w:color w:val="auto"/>
          <w:sz w:val="32"/>
          <w:szCs w:val="32"/>
          <w:lang w:eastAsia="zh-Hans"/>
        </w:rPr>
        <w:t>（二）融合创新，深化文化多向融合</w:t>
      </w:r>
      <w:bookmarkEnd w:id="24"/>
      <w:bookmarkEnd w:id="25"/>
      <w:r>
        <w:rPr>
          <w:rFonts w:hint="eastAsia" w:ascii="Times New Roman" w:hAnsi="Times New Roman" w:cs="方正小标宋简体"/>
          <w:bCs/>
          <w:color w:val="auto"/>
          <w:sz w:val="32"/>
          <w:szCs w:val="32"/>
          <w:lang w:eastAsia="zh-Hans"/>
        </w:rPr>
        <w:t>发展</w:t>
      </w:r>
      <w:bookmarkEnd w:id="26"/>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推动南开区文化与旅游、商业的融合发展，大力发展文化旅游业，借助大数据、智能化、数字化发展趋势，构建“文化+”融合新战略，构建“文化+”旅游、科技、金融、体育、教育、商业的融合模式。鼓励特色文化元素、传统手工技艺、非物质文化遗产项目与创意设计、现代科技、时尚元素相结合，形成新产品和新服务。增进京津冀文化领域重大项目合作，深化京津冀三地文化遗产、群众文艺创作、民间文化技艺交流。将文化元素融入旅游，形成特色旅游资源，拓展旅游的文化传播功能。加强文化元素商业领域、商业营销平台的推介植入，鼓励商业设施转型升级，打造文化商业综合体。</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27" w:name="_Toc49871626"/>
      <w:bookmarkStart w:id="28" w:name="_Toc54513690"/>
      <w:bookmarkStart w:id="29" w:name="_Toc46861459"/>
      <w:r>
        <w:rPr>
          <w:rFonts w:hint="eastAsia" w:ascii="Times New Roman" w:hAnsi="Times New Roman" w:cs="方正小标宋简体"/>
          <w:bCs/>
          <w:color w:val="auto"/>
          <w:sz w:val="32"/>
          <w:szCs w:val="32"/>
          <w:lang w:eastAsia="zh-Hans"/>
        </w:rPr>
        <w:t>（三）品牌塑造，聚焦优质文化产品供给</w:t>
      </w:r>
      <w:bookmarkEnd w:id="27"/>
      <w:bookmarkEnd w:id="28"/>
      <w:bookmarkEnd w:id="29"/>
    </w:p>
    <w:p>
      <w:pPr>
        <w:adjustRightInd w:val="0"/>
        <w:snapToGrid w:val="0"/>
        <w:spacing w:line="600" w:lineRule="exact"/>
        <w:ind w:firstLine="640" w:firstLineChars="200"/>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打造南开区文化产业领域品牌园区、品牌地标、品牌企业、品牌活动、品牌产品、品牌人物。创新文化产品体系，丰富创意产品内容，优化场景设计，完善体验体系，把产品做出彩。发挥“老城津韵”“伟人风采”“百年学府”</w:t>
      </w:r>
      <w:r>
        <w:rPr>
          <w:rFonts w:hint="eastAsia" w:ascii="Times New Roman" w:hAnsi="Times New Roman" w:eastAsia="仿宋_GB2312"/>
          <w:color w:val="auto"/>
          <w:sz w:val="32"/>
          <w:lang w:eastAsia="zh-CN"/>
        </w:rPr>
        <w:t>“夜荟经济”</w:t>
      </w:r>
      <w:r>
        <w:rPr>
          <w:rFonts w:hint="eastAsia" w:ascii="Times New Roman" w:hAnsi="Times New Roman" w:eastAsia="仿宋_GB2312"/>
          <w:color w:val="auto"/>
          <w:sz w:val="32"/>
        </w:rPr>
        <w:t>等资源的“超级IP”效应，重点围绕老城津韵、家庭亲子、红色教育、研学知识等领域打造新产品、培育新业态。建设历史文化、民俗文化、非遗文化、红色文化、名人文化相融合的博物馆聚集群。整合开发以“记忆老城”为主题的文化旅游创意产品，体现传统民俗文化魅力。结合老城改造升级、产业跨界融合等新趋势，打造一批爆款网红景点。</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30" w:name="_Toc46861455"/>
      <w:bookmarkStart w:id="31" w:name="_Toc54513691"/>
      <w:bookmarkStart w:id="32" w:name="_Toc49871622"/>
      <w:r>
        <w:rPr>
          <w:rFonts w:hint="eastAsia" w:ascii="Times New Roman" w:hAnsi="Times New Roman" w:cs="方正小标宋简体"/>
          <w:bCs/>
          <w:color w:val="auto"/>
          <w:sz w:val="32"/>
          <w:szCs w:val="32"/>
          <w:lang w:eastAsia="zh-Hans"/>
        </w:rPr>
        <w:t>（四）园区提升，推动产业集群错位发展</w:t>
      </w:r>
      <w:bookmarkEnd w:id="30"/>
      <w:bookmarkEnd w:id="31"/>
      <w:bookmarkEnd w:id="32"/>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加强产业载体建设，进一步完善南开区文化产业园区发展政策，推动园区不断拓展产业链、服务链、供应链，鼓励优质文化创意企业、平台、重大项目的植入，鼓励各层级园区集聚发展、错位发展，鼓励园区加大跨区域合作力度，促进各层次园区发展质量持续提升。推动一批传统园区转型升级，加快建设一批符合文化产业新业态需求的新产业园区，加快以先进信息技术为支撑的、产业发展相关的网络平台建设和虚拟空间打造。</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33" w:name="_Toc46861457"/>
      <w:bookmarkStart w:id="34" w:name="_Toc49871624"/>
      <w:bookmarkStart w:id="35" w:name="_Toc54513692"/>
      <w:r>
        <w:rPr>
          <w:rFonts w:hint="eastAsia" w:ascii="Times New Roman" w:hAnsi="Times New Roman" w:cs="方正小标宋简体"/>
          <w:bCs/>
          <w:color w:val="auto"/>
          <w:sz w:val="32"/>
          <w:szCs w:val="32"/>
          <w:lang w:eastAsia="zh-Hans"/>
        </w:rPr>
        <w:t>（五）项目支撑，</w:t>
      </w:r>
      <w:bookmarkEnd w:id="33"/>
      <w:r>
        <w:rPr>
          <w:rFonts w:hint="eastAsia" w:ascii="Times New Roman" w:hAnsi="Times New Roman" w:cs="方正小标宋简体"/>
          <w:bCs/>
          <w:color w:val="auto"/>
          <w:sz w:val="32"/>
          <w:szCs w:val="32"/>
          <w:lang w:eastAsia="zh-Hans"/>
        </w:rPr>
        <w:t>增创文化产业</w:t>
      </w:r>
      <w:bookmarkEnd w:id="34"/>
      <w:r>
        <w:rPr>
          <w:rFonts w:hint="eastAsia" w:ascii="Times New Roman" w:hAnsi="Times New Roman" w:cs="方正小标宋简体"/>
          <w:bCs/>
          <w:color w:val="auto"/>
          <w:sz w:val="32"/>
          <w:szCs w:val="32"/>
          <w:lang w:eastAsia="zh-Hans"/>
        </w:rPr>
        <w:t>发展优势</w:t>
      </w:r>
      <w:bookmarkEnd w:id="35"/>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围绕激发资源活力、增强资产实力、强化资本动力，建立体现文化创意产业特点的项目投资引导体系。大力支持资本类项目，重点关注网络视听、网络游戏、影视投资、移动阅读、国际传媒服务等领域，在动漫、设计、数字信息等行业加大招商力度，引进国内外知名的文化企业和机构组织入驻南开。选择具有高成长性的项目进行产业化扶持，大力培育精品中小文化企业，培育细分领域的独角兽企业，形成相互促进、开放多元的发展格局。</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36" w:name="_Toc49871627"/>
      <w:bookmarkStart w:id="37" w:name="_Toc54513693"/>
      <w:bookmarkStart w:id="38" w:name="_Toc46861460"/>
      <w:r>
        <w:rPr>
          <w:rFonts w:hint="eastAsia" w:ascii="Times New Roman" w:hAnsi="Times New Roman" w:cs="方正小标宋简体"/>
          <w:bCs/>
          <w:color w:val="auto"/>
          <w:sz w:val="32"/>
          <w:szCs w:val="32"/>
          <w:lang w:eastAsia="zh-Hans"/>
        </w:rPr>
        <w:t>（六）健全市场，激发文化创新创造活力</w:t>
      </w:r>
      <w:bookmarkEnd w:id="36"/>
      <w:bookmarkEnd w:id="37"/>
      <w:bookmarkEnd w:id="38"/>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仿宋_GB2312"/>
          <w:color w:val="auto"/>
          <w:sz w:val="32"/>
        </w:rPr>
        <w:t>培育壮大骨干文化企业，支持中小微文化企业创新发展。激发企业创业热情、创新活力，建立健全企业梯度培育机制，形成企业竞相创新的发展局面。完善文化消费配套设施，支持社会力量在大型商业综合体、中心城区户外空间举行艺术展览和演出活动。健全文化市场监管体系，完善中介服务平台功能等方面进行任务部署。提升文化经济政策服务平台的服务水平。</w:t>
      </w:r>
    </w:p>
    <w:p>
      <w:pPr>
        <w:pStyle w:val="2"/>
        <w:adjustRightInd w:val="0"/>
        <w:snapToGrid w:val="0"/>
        <w:spacing w:before="468" w:beforeLines="150" w:after="468" w:afterLines="150" w:line="240" w:lineRule="auto"/>
        <w:jc w:val="center"/>
        <w:rPr>
          <w:rFonts w:ascii="Times New Roman" w:hAnsi="Times New Roman" w:eastAsia="方正小标宋简体" w:cs="黑体"/>
          <w:b w:val="0"/>
          <w:color w:val="auto"/>
          <w:sz w:val="36"/>
          <w:szCs w:val="36"/>
        </w:rPr>
      </w:pPr>
      <w:bookmarkStart w:id="39" w:name="_Toc54513694"/>
      <w:r>
        <w:rPr>
          <w:rFonts w:hint="eastAsia" w:ascii="Times New Roman" w:hAnsi="Times New Roman" w:eastAsia="方正小标宋简体" w:cs="黑体"/>
          <w:b w:val="0"/>
          <w:color w:val="auto"/>
          <w:sz w:val="36"/>
          <w:szCs w:val="36"/>
        </w:rPr>
        <w:t>五、重点项目</w:t>
      </w:r>
      <w:bookmarkEnd w:id="39"/>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1.智慧服务——整合优化南开文化数字服务。</w:t>
      </w:r>
      <w:r>
        <w:rPr>
          <w:rFonts w:hint="eastAsia" w:ascii="Times New Roman" w:hAnsi="Times New Roman" w:eastAsia="仿宋_GB2312"/>
          <w:color w:val="auto"/>
          <w:sz w:val="32"/>
        </w:rPr>
        <w:t>引入科技企业力量，发展智慧文化，以政务云平台为支撑，建设公共文化服务大数据中心，形成互联互通、有统有分的南开文化云，实现公共服务云上转移。整合南开区域内图书馆、纪念馆、文化馆、博物馆、美术馆等公共文化服务单位信息和数字资源，建成数字图书馆、数字文化馆、数字非遗馆、数字博物馆、数字美术馆等基础项目。建立南开文化消费云平台，依托文化消费云平台大力发展云上阅读、云上观展、云上观演、在线课堂、活动直播等新业态。</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2.智慧推介——开展南开文化产业项目“云推介”。</w:t>
      </w:r>
      <w:r>
        <w:rPr>
          <w:rFonts w:hint="eastAsia" w:ascii="Times New Roman" w:hAnsi="Times New Roman" w:eastAsia="仿宋_GB2312"/>
          <w:color w:val="auto"/>
          <w:sz w:val="32"/>
        </w:rPr>
        <w:t>定期举办南开区重点文化产业项目线上推介会，对南开区文化产业招商引资项目和推广项目进行详细推介，</w:t>
      </w:r>
      <w:r>
        <w:rPr>
          <w:rFonts w:hint="eastAsia" w:ascii="Times New Roman" w:hAnsi="Times New Roman" w:eastAsia="仿宋_GB2312"/>
          <w:color w:val="auto"/>
          <w:sz w:val="32"/>
          <w:lang w:eastAsia="zh-CN"/>
        </w:rPr>
        <w:t>通过</w:t>
      </w:r>
      <w:r>
        <w:rPr>
          <w:rFonts w:hint="eastAsia" w:ascii="Times New Roman" w:hAnsi="Times New Roman" w:eastAsia="仿宋_GB2312"/>
          <w:color w:val="auto"/>
          <w:sz w:val="32"/>
        </w:rPr>
        <w:t>互联网平台实时直播，邀请国内资深行业专家、行业领军人物建言献策。通过电视、网媒、直播平台、搜索引擎等媒介平台，从有震撼效果的形象宣传片到平民化网红视频全方位宣传带有“南开”标签的特色文化品牌。加强短视频、网络直播等对优秀品牌活动的宣传。</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3.智慧平台——建设南开文旅大数据公共服务平台。</w:t>
      </w:r>
      <w:r>
        <w:rPr>
          <w:rFonts w:hint="eastAsia" w:ascii="Times New Roman" w:hAnsi="Times New Roman" w:eastAsia="仿宋_GB2312"/>
          <w:color w:val="auto"/>
          <w:sz w:val="32"/>
        </w:rPr>
        <w:t>建立客流量大数据综合模块，形成南开智慧文旅大数据管理服务云平台。推出文化古迹、非遗展示、网红打卡地、津韵体验等主题项目，提供全面的文旅资源、文旅资讯和文旅内容，让游客享受更加智慧、便捷、高效的文化旅游服务。打造“一部手机游南开”，通过游南开APP、微信公众号和微信小程序，全面覆盖游客在南开的游前、游中、游后的各项需求。</w:t>
      </w:r>
    </w:p>
    <w:p>
      <w:pPr>
        <w:adjustRightInd w:val="0"/>
        <w:snapToGrid w:val="0"/>
        <w:spacing w:line="600" w:lineRule="exact"/>
        <w:ind w:firstLine="640" w:firstLineChars="200"/>
        <w:rPr>
          <w:rFonts w:hint="eastAsia" w:ascii="Times New Roman" w:hAnsi="Times New Roman" w:eastAsia="仿宋_GB2312"/>
          <w:color w:val="auto"/>
          <w:sz w:val="32"/>
        </w:rPr>
      </w:pPr>
      <w:r>
        <w:rPr>
          <w:rFonts w:hint="eastAsia" w:ascii="Times New Roman" w:hAnsi="Times New Roman" w:eastAsia="楷体" w:cs="楷体"/>
          <w:b w:val="0"/>
          <w:bCs w:val="0"/>
          <w:color w:val="auto"/>
          <w:sz w:val="32"/>
        </w:rPr>
        <w:t>4.智力引育——</w:t>
      </w:r>
      <w:r>
        <w:rPr>
          <w:rFonts w:hint="eastAsia" w:ascii="Times New Roman" w:hAnsi="Times New Roman" w:eastAsia="仿宋_GB2312"/>
          <w:color w:val="auto"/>
          <w:sz w:val="32"/>
        </w:rPr>
        <w:t>建设南开文化产业</w:t>
      </w:r>
      <w:r>
        <w:rPr>
          <w:rFonts w:hint="eastAsia" w:ascii="Times New Roman" w:hAnsi="Times New Roman" w:eastAsia="仿宋_GB2312"/>
          <w:color w:val="auto"/>
          <w:sz w:val="32"/>
          <w:lang w:eastAsia="zh-CN"/>
        </w:rPr>
        <w:t>智力引进联系机制</w:t>
      </w:r>
      <w:r>
        <w:rPr>
          <w:rFonts w:hint="eastAsia" w:ascii="Times New Roman" w:hAnsi="Times New Roman" w:eastAsia="仿宋_GB2312"/>
          <w:color w:val="auto"/>
          <w:sz w:val="32"/>
        </w:rPr>
        <w:t>。发挥天津大学、南开大学、天津社会科学院等高校、科研院所资源优势，联系一批文化产业专家、知名企业家以及相关领域有较大影响力的专家，建立南开区文化产业</w:t>
      </w:r>
      <w:r>
        <w:rPr>
          <w:rFonts w:hint="eastAsia" w:ascii="Times New Roman" w:hAnsi="Times New Roman" w:eastAsia="仿宋_GB2312"/>
          <w:color w:val="auto"/>
          <w:sz w:val="32"/>
          <w:lang w:eastAsia="zh-CN"/>
        </w:rPr>
        <w:t>智力引进联系机制</w:t>
      </w:r>
      <w:r>
        <w:rPr>
          <w:rFonts w:hint="eastAsia" w:ascii="Times New Roman" w:hAnsi="Times New Roman" w:eastAsia="仿宋_GB2312"/>
          <w:color w:val="auto"/>
          <w:sz w:val="32"/>
        </w:rPr>
        <w:t>，及时把握国内外文化产业前沿问题，为行业发展提供智力支持。</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5.品牌擦亮——“老城津韵”品牌擦亮工程。</w:t>
      </w:r>
      <w:r>
        <w:rPr>
          <w:rFonts w:hint="eastAsia" w:ascii="Times New Roman" w:hAnsi="Times New Roman" w:eastAsia="仿宋_GB2312"/>
          <w:color w:val="auto"/>
          <w:sz w:val="32"/>
        </w:rPr>
        <w:t>围绕古文化街、天后宫、文庙、广东会馆、老城博物馆等文化资源，打造以“老城津韵”品牌为统领，以品牌街区、品牌企业、品牌商标、文化精品、品牌活动等为内容的品牌体系。依托古文化街、鼓楼街区特定街道打造开放式创意文化艺术街区，基于老城民俗文化、博物馆等资源，激活鼓楼、古文化街创意文旅产业增长空间，将老城片区建成体验休憩的商业中心、文化传承与创意中心、全功能区域旅游服务中心，构造城市形象新坐标，擦亮天津文化金名片。</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6.品牌提升——传统品牌和节庆品牌提升。</w:t>
      </w:r>
      <w:r>
        <w:rPr>
          <w:rFonts w:hint="eastAsia" w:ascii="Times New Roman" w:hAnsi="Times New Roman" w:eastAsia="仿宋_GB2312"/>
          <w:color w:val="auto"/>
          <w:sz w:val="32"/>
        </w:rPr>
        <w:t>提升曲艺、手工等传统民间文化艺术表演和创作活力和动力，培育传承传统曲艺的创新，激发创作活力，扶持新生代</w:t>
      </w:r>
      <w:r>
        <w:rPr>
          <w:rFonts w:hint="eastAsia" w:ascii="Times New Roman" w:hAnsi="Times New Roman" w:eastAsia="仿宋_GB2312"/>
          <w:color w:val="auto"/>
          <w:sz w:val="32"/>
          <w:lang w:eastAsia="zh-CN"/>
        </w:rPr>
        <w:t>曲艺</w:t>
      </w:r>
      <w:r>
        <w:rPr>
          <w:rFonts w:hint="eastAsia" w:ascii="Times New Roman" w:hAnsi="Times New Roman" w:eastAsia="仿宋_GB2312"/>
          <w:color w:val="auto"/>
          <w:sz w:val="32"/>
        </w:rPr>
        <w:t>发展，培育传统曲艺的创新品牌；设置体验面塑、线装书、拓片等古老的传统技艺活动</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开设“非遗学堂”，将泥人张、风筝魏、天津皇会纳入研学项目遴选一批老字号商家、知名文创IP、品牌演艺活动等推向市场，发挥非遗传承人工作室作用，开发非遗体验游项目，鼓励特色文化元素、传统手工技艺与创意设计、现代科技、时尚元素相结合，打造具有天津底蕴的文化艺术品衍生产品。做优中国</w:t>
      </w:r>
      <w:r>
        <w:rPr>
          <w:rFonts w:hint="eastAsia" w:ascii="汉仪大黑简" w:hAnsi="汉仪大黑简" w:eastAsia="汉仪大黑简" w:cs="汉仪大黑简"/>
          <w:color w:val="auto"/>
          <w:sz w:val="32"/>
          <w:lang w:val="en-US" w:eastAsia="zh-CN"/>
        </w:rPr>
        <w:t>·</w:t>
      </w:r>
      <w:r>
        <w:rPr>
          <w:rFonts w:hint="eastAsia" w:ascii="Times New Roman" w:hAnsi="Times New Roman" w:eastAsia="仿宋_GB2312"/>
          <w:color w:val="auto"/>
          <w:sz w:val="32"/>
        </w:rPr>
        <w:t>天津妈祖文化旅游节、天津曲艺文化旅游节等节庆活动，彰显南开文化品牌效应。</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7.品牌打造——红色文化品牌开发打造。</w:t>
      </w:r>
      <w:r>
        <w:rPr>
          <w:rFonts w:hint="eastAsia" w:ascii="Times New Roman" w:hAnsi="Times New Roman" w:eastAsia="仿宋_GB2312"/>
          <w:color w:val="auto"/>
          <w:sz w:val="32"/>
        </w:rPr>
        <w:t>整合红色资源，依托周邓纪念馆、南开中学、广东会馆等红色文化资源，以及博物馆、纪念馆、展览馆资源，打造特色红色文化品牌和线路。深度挖掘南开学校旧址、</w:t>
      </w:r>
      <w:r>
        <w:rPr>
          <w:rFonts w:hint="eastAsia" w:ascii="Times New Roman" w:hAnsi="Times New Roman" w:eastAsia="仿宋_GB2312"/>
          <w:color w:val="auto"/>
          <w:sz w:val="32"/>
          <w:lang w:eastAsia="zh-CN"/>
        </w:rPr>
        <w:t>天津大学建筑群</w:t>
      </w:r>
      <w:r>
        <w:rPr>
          <w:rFonts w:hint="eastAsia" w:ascii="Times New Roman" w:hAnsi="Times New Roman" w:eastAsia="仿宋_GB2312"/>
          <w:color w:val="auto"/>
          <w:sz w:val="32"/>
        </w:rPr>
        <w:t>、天南大建筑群等遗产文博资源，通过“云参观”“网络直播”等形式提升影响力，打造特色传统文化网红打卡地，带动文旅产业发展。拉长产业链，使特色文化资源更好地为社会服务，在服务中得到更好地传承和保护。</w:t>
      </w:r>
    </w:p>
    <w:p>
      <w:pPr>
        <w:adjustRightInd w:val="0"/>
        <w:snapToGrid w:val="0"/>
        <w:spacing w:line="600" w:lineRule="exact"/>
        <w:ind w:firstLine="640" w:firstLineChars="200"/>
        <w:rPr>
          <w:rFonts w:ascii="Times New Roman" w:hAnsi="Times New Roman" w:eastAsia="仿宋_GB2312"/>
          <w:color w:val="auto"/>
          <w:sz w:val="32"/>
        </w:rPr>
      </w:pPr>
      <w:bookmarkStart w:id="40" w:name="_Hlk50477286"/>
      <w:r>
        <w:rPr>
          <w:rFonts w:hint="eastAsia" w:ascii="Times New Roman" w:hAnsi="Times New Roman" w:eastAsia="楷体" w:cs="楷体"/>
          <w:b w:val="0"/>
          <w:bCs w:val="0"/>
          <w:color w:val="auto"/>
          <w:sz w:val="32"/>
        </w:rPr>
        <w:t>8.品牌建设——“书香南开百年学府”研学品牌建设。</w:t>
      </w:r>
      <w:bookmarkEnd w:id="40"/>
      <w:r>
        <w:rPr>
          <w:rFonts w:hint="eastAsia" w:ascii="Times New Roman" w:hAnsi="Times New Roman" w:eastAsia="仿宋_GB2312"/>
          <w:color w:val="auto"/>
          <w:sz w:val="32"/>
        </w:rPr>
        <w:t>依托</w:t>
      </w:r>
      <w:r>
        <w:rPr>
          <w:rFonts w:hint="eastAsia" w:ascii="Times New Roman" w:hAnsi="Times New Roman" w:eastAsia="仿宋_GB2312"/>
          <w:color w:val="auto"/>
          <w:sz w:val="32"/>
          <w:lang w:eastAsia="zh-CN"/>
        </w:rPr>
        <w:t>市属坐落我区的博物馆、区属博物馆和</w:t>
      </w:r>
      <w:r>
        <w:rPr>
          <w:rFonts w:hint="eastAsia" w:ascii="Times New Roman" w:hAnsi="Times New Roman" w:eastAsia="仿宋_GB2312"/>
          <w:color w:val="auto"/>
          <w:sz w:val="32"/>
        </w:rPr>
        <w:t>私人</w:t>
      </w:r>
      <w:r>
        <w:rPr>
          <w:rFonts w:hint="eastAsia" w:ascii="Times New Roman" w:hAnsi="Times New Roman" w:eastAsia="仿宋_GB2312"/>
          <w:color w:val="auto"/>
          <w:sz w:val="32"/>
          <w:lang w:eastAsia="zh-CN"/>
        </w:rPr>
        <w:t>典藏</w:t>
      </w:r>
      <w:r>
        <w:rPr>
          <w:rFonts w:hint="eastAsia" w:ascii="Times New Roman" w:hAnsi="Times New Roman" w:eastAsia="仿宋_GB2312"/>
          <w:color w:val="auto"/>
          <w:sz w:val="32"/>
        </w:rPr>
        <w:t>博物馆，整合非遗传承人、民间艺人等师资力量，打造书香研学基地。依托天津大学、南开大学、南开中学等百年学府，推广“南开”教育研学文化，推出“南开”研学旅游、学府文化旅游和高端学术论坛，发展教育旅游和教育会展产业。</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9.品牌培育——文化产业品牌企业培育。</w:t>
      </w:r>
      <w:r>
        <w:rPr>
          <w:rFonts w:hint="eastAsia" w:ascii="Times New Roman" w:hAnsi="Times New Roman" w:eastAsia="仿宋_GB2312"/>
          <w:color w:val="auto"/>
          <w:sz w:val="32"/>
        </w:rPr>
        <w:t>培育壮大骨干文化企业，支持中小微文化企业创新发展。激发企业创业热情、创新活力，建立健全企业梯度培育机制，着力发展“大而强”，积极培育“小而优”，形成企业竞相发展的生动局面。制定“旗舰计划”，培育龙头文创企业。支持创新性强、增长速度快、发展前景好的优质中小企业，重点提供投融资、专业技术、政策服务，培育“专、精、特、新”文创企业。</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10.载体提升——老城“文旅商”发展聚集区升级。</w:t>
      </w:r>
      <w:r>
        <w:rPr>
          <w:rFonts w:hint="eastAsia" w:ascii="Times New Roman" w:hAnsi="Times New Roman" w:eastAsia="仿宋_GB2312"/>
          <w:color w:val="auto"/>
          <w:sz w:val="32"/>
        </w:rPr>
        <w:t>古文化街旅游景区、鼓楼商业街的提升改造工程，进行数字化升级和智能化管理，完善旅游标识、景观照明、旅游全景等旅游公共服务设施，完善茶社、民宿、酒吧等新业态，促使黄金地段产生黄金价值。以津门特色为主导，兼顾网红品牌和传统品牌相结合，做到品牌化引领、好中选优，突出老字号和非遗小吃，为老城融入时尚元素，让老城焕发新活力。</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11.载体建设——非遗类文化产业载体建设。</w:t>
      </w:r>
      <w:r>
        <w:rPr>
          <w:rFonts w:hint="eastAsia" w:ascii="Times New Roman" w:hAnsi="Times New Roman" w:eastAsia="仿宋_GB2312"/>
          <w:color w:val="auto"/>
          <w:sz w:val="32"/>
        </w:rPr>
        <w:t>在古文化街建设南开非物质文化遗产传承展示区，集中展示非物质文化遗产项目，着力打造非遗文化项目集聚区。加快非遗文化资源的转化利用，利用互联网和视频音频技术，对非遗产品、传统工艺制作流程、非遗传承人故事等，进行记录、展示、直播，实现线上线下联动推进非遗文化保护。推进非物质文化遗产项目市场化、产业化，借“非遗+文创”“非遗+跨界延伸”，推动单一产品向系列产品拓展、产品向服务转变。</w:t>
      </w:r>
    </w:p>
    <w:p>
      <w:pPr>
        <w:adjustRightInd w:val="0"/>
        <w:snapToGrid w:val="0"/>
        <w:spacing w:line="600" w:lineRule="exact"/>
        <w:ind w:firstLine="640" w:firstLineChars="200"/>
        <w:rPr>
          <w:rFonts w:hint="eastAsia" w:ascii="Times New Roman" w:hAnsi="Times New Roman" w:eastAsia="仿宋_GB2312"/>
          <w:color w:val="auto"/>
          <w:sz w:val="32"/>
          <w:lang w:eastAsia="zh-CN"/>
        </w:rPr>
      </w:pPr>
      <w:r>
        <w:rPr>
          <w:rFonts w:hint="eastAsia" w:ascii="Times New Roman" w:hAnsi="Times New Roman" w:eastAsia="楷体" w:cs="楷体"/>
          <w:b w:val="0"/>
          <w:bCs w:val="0"/>
          <w:color w:val="auto"/>
          <w:sz w:val="32"/>
        </w:rPr>
        <w:t>12.园区转型——传统产业园区转型升级。</w:t>
      </w:r>
      <w:r>
        <w:rPr>
          <w:rFonts w:hint="eastAsia" w:ascii="Times New Roman" w:hAnsi="Times New Roman" w:eastAsia="仿宋_GB2312"/>
          <w:color w:val="auto"/>
          <w:sz w:val="32"/>
        </w:rPr>
        <w:t>推动现有文化创意产业园持续升级。鼓</w:t>
      </w:r>
      <w:r>
        <w:rPr>
          <w:rFonts w:hint="eastAsia" w:ascii="Times New Roman" w:hAnsi="Times New Roman" w:eastAsia="仿宋_GB2312"/>
          <w:color w:val="auto"/>
          <w:sz w:val="32"/>
          <w:lang w:eastAsia="zh-CN"/>
        </w:rPr>
        <w:t>标，加快实施扩大内需战略，努力打造国际消费中心城市，为文化文化产业发展营造浓厚氛围。</w:t>
      </w:r>
    </w:p>
    <w:p>
      <w:pPr>
        <w:adjustRightInd w:val="0"/>
        <w:snapToGrid w:val="0"/>
        <w:spacing w:line="600" w:lineRule="exact"/>
        <w:ind w:firstLine="640" w:firstLineChars="200"/>
        <w:rPr>
          <w:rFonts w:hint="eastAsia" w:ascii="Times New Roman" w:hAnsi="Times New Roman" w:eastAsia="仿宋_GB2312"/>
          <w:color w:val="auto"/>
          <w:sz w:val="32"/>
        </w:rPr>
      </w:pPr>
    </w:p>
    <w:p>
      <w:pPr>
        <w:adjustRightInd w:val="0"/>
        <w:snapToGrid w:val="0"/>
        <w:spacing w:line="600" w:lineRule="exact"/>
        <w:ind w:firstLine="640" w:firstLineChars="200"/>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励园区持续改善园区基础设施条件和提升服务水平，培育和推广一批具有自主知识产权的龙头企业和文化产品，不断拓展产业链、服务链、供应链。依托科技创新产业发展带，重点发展应用软件开发、动漫游戏、工业设计、规划设计等文化创意产业。提升文化创意产业园区载体能力，打造全国大学生文化创意产业双创示范基地</w:t>
      </w:r>
      <w:r>
        <w:rPr>
          <w:rFonts w:hint="eastAsia" w:ascii="Times New Roman" w:hAnsi="Times New Roman" w:eastAsia="仿宋_GB2312"/>
          <w:color w:val="auto"/>
          <w:sz w:val="32"/>
          <w:lang w:eastAsia="zh-CN"/>
        </w:rPr>
        <w:t>。</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13.园区优化——“建筑设计园区”建设布局优化。</w:t>
      </w:r>
      <w:r>
        <w:rPr>
          <w:rFonts w:hint="eastAsia" w:ascii="Times New Roman" w:hAnsi="Times New Roman" w:eastAsia="仿宋_GB2312"/>
          <w:color w:val="auto"/>
          <w:sz w:val="32"/>
        </w:rPr>
        <w:t>依托南开区城市设计、建筑设计、勘探设计、广告设计等</w:t>
      </w:r>
      <w:r>
        <w:rPr>
          <w:rFonts w:hint="eastAsia" w:ascii="Times New Roman" w:hAnsi="Times New Roman" w:eastAsia="仿宋_GB2312"/>
          <w:color w:val="auto"/>
          <w:sz w:val="32"/>
          <w:lang w:eastAsia="zh-CN"/>
        </w:rPr>
        <w:t>企业聚集</w:t>
      </w:r>
      <w:r>
        <w:rPr>
          <w:rFonts w:hint="eastAsia" w:ascii="Times New Roman" w:hAnsi="Times New Roman" w:eastAsia="仿宋_GB2312"/>
          <w:color w:val="auto"/>
          <w:sz w:val="32"/>
        </w:rPr>
        <w:t>优势，优化提升建筑设计服务领域资源，加强创意设计服务支撑，培育领军设计机构、高端设计人才、专业化设计园区，构建完整的设计产业链，打造服务于区域经济发展的建筑设计服务集群，更好地服务天津和全国城市化发展。</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14.园区提升——园区新建产业园能级提升。</w:t>
      </w:r>
      <w:r>
        <w:rPr>
          <w:rFonts w:hint="eastAsia" w:ascii="Times New Roman" w:hAnsi="Times New Roman" w:eastAsia="仿宋_GB2312"/>
          <w:color w:val="auto"/>
          <w:sz w:val="32"/>
        </w:rPr>
        <w:t>对新建产业园，鼓励吸引优质文化创意企业、平台、重大项目的植入，提升产业园发展能级。新建产业园要重点发展以智能科技、数字技术等新兴技术手段为特征的动漫游戏产业，培育一批动漫游戏衍生产品的设计研发企业，开发动漫影视舞台作品、游乐设备、服装、玩具、文具等，建设动漫游戏主题休闲娱乐中心，打造动漫游戏主题系列新增长点。</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15.“生活+”打造——打造生活方式+文化空间。</w:t>
      </w:r>
      <w:r>
        <w:rPr>
          <w:rFonts w:hint="eastAsia" w:ascii="Times New Roman" w:hAnsi="Times New Roman" w:eastAsia="仿宋_GB2312"/>
          <w:color w:val="auto"/>
          <w:sz w:val="32"/>
        </w:rPr>
        <w:t>在城市更新中融入文化元素，盘活利用非区属场所和闲置设施资源，与景区、大型商贸中心、书店、酒店等联合开发“图书馆+”“文化馆+”等一批公共文化空间，打造具有南开特色、标志性文化网红新地标。引导和支持园区举办夜间读书沙龙、音乐剧、话剧、艺术展等文艺活动。</w:t>
      </w:r>
      <w:r>
        <w:rPr>
          <w:rFonts w:hint="eastAsia" w:ascii="Times New Roman" w:hAnsi="Times New Roman" w:eastAsia="仿宋_GB2312"/>
          <w:color w:val="auto"/>
          <w:sz w:val="32"/>
          <w:lang w:eastAsia="zh-CN"/>
        </w:rPr>
        <w:t>借鉴先进书店管理经验，</w:t>
      </w:r>
      <w:r>
        <w:rPr>
          <w:rFonts w:hint="eastAsia" w:ascii="Times New Roman" w:hAnsi="Times New Roman" w:eastAsia="仿宋_GB2312"/>
          <w:color w:val="auto"/>
          <w:sz w:val="32"/>
        </w:rPr>
        <w:t>与阿里巴巴、线下书店联名打造或引进精品书店，围绕“生活方式+书”的定义，以“书+X”模式构建体验场景，搭配“影音+咖啡+餐饮+文创”等配套，提供高品质、专业化、差异化服务，增强店面场景化、立体化、智能化展示功能。</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16.商圈赋能——“文化商圈”打造计划。</w:t>
      </w:r>
      <w:r>
        <w:rPr>
          <w:rFonts w:hint="eastAsia" w:ascii="Times New Roman" w:hAnsi="Times New Roman" w:eastAsia="仿宋_GB2312"/>
          <w:color w:val="auto"/>
          <w:sz w:val="32"/>
        </w:rPr>
        <w:t>聚焦高端商务、总部经济，以</w:t>
      </w:r>
      <w:r>
        <w:rPr>
          <w:rFonts w:hint="eastAsia" w:ascii="Times New Roman" w:hAnsi="Times New Roman" w:eastAsia="仿宋_GB2312"/>
          <w:color w:val="auto"/>
          <w:sz w:val="32"/>
          <w:lang w:eastAsia="zh-CN"/>
        </w:rPr>
        <w:t>商业</w:t>
      </w:r>
      <w:r>
        <w:rPr>
          <w:rFonts w:hint="eastAsia" w:ascii="Times New Roman" w:hAnsi="Times New Roman" w:eastAsia="仿宋_GB2312"/>
          <w:color w:val="auto"/>
          <w:sz w:val="32"/>
        </w:rPr>
        <w:t>写字楼等为依托，建设高端总部聚集的片区。推动文化艺术与商业深度融合，加强文化元素在商业领域，鼓励商业设施转型升级，依托现有美食元素，融入了阅读、运动、健康、潮玩等新业态，打造</w:t>
      </w:r>
      <w:r>
        <w:rPr>
          <w:rFonts w:hint="eastAsia" w:ascii="Times New Roman" w:hAnsi="Times New Roman" w:eastAsia="仿宋_GB2312"/>
          <w:color w:val="auto"/>
          <w:sz w:val="32"/>
          <w:lang w:eastAsia="zh-CN"/>
        </w:rPr>
        <w:t>知名</w:t>
      </w:r>
      <w:r>
        <w:rPr>
          <w:rFonts w:hint="eastAsia" w:ascii="Times New Roman" w:hAnsi="Times New Roman" w:eastAsia="仿宋_GB2312"/>
          <w:color w:val="auto"/>
          <w:sz w:val="32"/>
        </w:rPr>
        <w:t>品牌合作打造文化生活空间。打造全时营业商区以及开放展区、时尚慢行街区于一体的24小时“不夜街区”。</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17.人才引育——南开文化产业专业人才引育计划。</w:t>
      </w:r>
      <w:r>
        <w:rPr>
          <w:rFonts w:hint="eastAsia" w:ascii="Times New Roman" w:hAnsi="Times New Roman" w:eastAsia="仿宋_GB2312"/>
          <w:color w:val="auto"/>
          <w:sz w:val="32"/>
        </w:rPr>
        <w:t>聚焦动漫游戏、创意设计、教育培训等重点领域，加快跨界融合人才、青年创意人才和经营管理人才的选拔、引进、培养和推广，制定人才需求清单，实施更加积极的创意人才引进培育政策。对南开区优势文化创意产业引进和培养一批领军人才、经营管理人才和创新团队。培育一批原创动漫和游戏的行业领军企业，大力发展手机动漫、网络动漫、数字游戏等业态。</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18.传承培养——非遗传承人培养计划。</w:t>
      </w:r>
      <w:r>
        <w:rPr>
          <w:rFonts w:hint="eastAsia" w:ascii="Times New Roman" w:hAnsi="Times New Roman" w:eastAsia="仿宋_GB2312"/>
          <w:color w:val="auto"/>
          <w:sz w:val="32"/>
          <w:lang w:eastAsia="zh-CN"/>
        </w:rPr>
        <w:t>鼓励</w:t>
      </w:r>
      <w:r>
        <w:rPr>
          <w:rFonts w:hint="eastAsia" w:ascii="Times New Roman" w:hAnsi="Times New Roman" w:eastAsia="仿宋_GB2312"/>
          <w:color w:val="auto"/>
          <w:sz w:val="32"/>
        </w:rPr>
        <w:t>非物质文化遗产保护项目，联合传承人共同推出小班制、模块化、逐级深入的课程内容。推荐优秀学员参加中国非物质文化遗产传承人群研修培训计划，培养代表性传承人的后续力量。实施“寻找工匠”培养计划，打造南开非遗志愿服务队伍，传播非遗文化，通过文化公益活动，服务广大居民，实现非遗传承。鼓励文化产业职业教育和师徒传承相结合，强化技能培训，培养一批文化产业实用型人才。</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19.行业管理——文化行业管理规范和专业化培训。</w:t>
      </w:r>
      <w:r>
        <w:rPr>
          <w:rFonts w:hint="eastAsia" w:ascii="Times New Roman" w:hAnsi="Times New Roman" w:eastAsia="仿宋_GB2312"/>
          <w:color w:val="auto"/>
          <w:sz w:val="32"/>
        </w:rPr>
        <w:t>通过线上线下相结合等方式，免费开展行业管理人员行业规范培训，以及文博场馆从业人员专业培训和疫情防控知识培训，鼓励行业协会组织专业化社会培训。</w:t>
      </w:r>
    </w:p>
    <w:p>
      <w:pPr>
        <w:pStyle w:val="2"/>
        <w:adjustRightInd w:val="0"/>
        <w:snapToGrid w:val="0"/>
        <w:spacing w:before="468" w:beforeLines="150" w:after="468" w:afterLines="150" w:line="240" w:lineRule="auto"/>
        <w:jc w:val="center"/>
        <w:rPr>
          <w:rFonts w:ascii="Times New Roman" w:hAnsi="Times New Roman" w:eastAsia="方正小标宋简体" w:cs="黑体"/>
          <w:b w:val="0"/>
          <w:color w:val="auto"/>
          <w:sz w:val="36"/>
          <w:szCs w:val="36"/>
        </w:rPr>
      </w:pPr>
      <w:bookmarkStart w:id="41" w:name="_Toc46861467"/>
      <w:bookmarkStart w:id="42" w:name="_Toc54513695"/>
      <w:r>
        <w:rPr>
          <w:rFonts w:hint="eastAsia" w:ascii="Times New Roman" w:hAnsi="Times New Roman" w:eastAsia="方正小标宋简体" w:cs="黑体"/>
          <w:b w:val="0"/>
          <w:color w:val="auto"/>
          <w:sz w:val="36"/>
          <w:szCs w:val="36"/>
        </w:rPr>
        <w:t>六、保障措施</w:t>
      </w:r>
      <w:bookmarkEnd w:id="41"/>
      <w:bookmarkEnd w:id="42"/>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43" w:name="_Toc46861468"/>
      <w:bookmarkStart w:id="44" w:name="_Toc54513696"/>
      <w:r>
        <w:rPr>
          <w:rFonts w:hint="eastAsia" w:ascii="Times New Roman" w:hAnsi="Times New Roman" w:cs="方正小标宋简体"/>
          <w:bCs/>
          <w:color w:val="auto"/>
          <w:sz w:val="32"/>
          <w:szCs w:val="32"/>
          <w:lang w:eastAsia="zh-Hans"/>
        </w:rPr>
        <w:t>（一）组织保障</w:t>
      </w:r>
      <w:bookmarkEnd w:id="43"/>
      <w:bookmarkEnd w:id="44"/>
    </w:p>
    <w:p>
      <w:pPr>
        <w:adjustRightInd w:val="0"/>
        <w:snapToGrid w:val="0"/>
        <w:spacing w:line="600" w:lineRule="exact"/>
        <w:ind w:firstLine="643" w:firstLineChars="200"/>
        <w:rPr>
          <w:rFonts w:ascii="Times New Roman" w:hAnsi="Times New Roman" w:eastAsia="仿宋_GB2312"/>
          <w:color w:val="auto"/>
          <w:sz w:val="32"/>
        </w:rPr>
      </w:pPr>
      <w:r>
        <w:rPr>
          <w:rFonts w:hint="eastAsia" w:ascii="Times New Roman" w:hAnsi="Times New Roman" w:eastAsia="楷体" w:cs="楷体"/>
          <w:b/>
          <w:bCs/>
          <w:color w:val="auto"/>
          <w:sz w:val="32"/>
        </w:rPr>
        <w:t>优化文化协同发展体制机制。</w:t>
      </w:r>
      <w:r>
        <w:rPr>
          <w:rFonts w:hint="eastAsia" w:ascii="Times New Roman" w:hAnsi="Times New Roman" w:eastAsia="仿宋_GB2312"/>
          <w:color w:val="auto"/>
          <w:sz w:val="32"/>
        </w:rPr>
        <w:t>坚持大文化的发展理念，强化文化发展领导小组及办公室职能，形成区宣传、文旅、发改、商务、财税等部门的协同合作机制，积极对接国家、天津市关于科技创新、文化发展、战略性新兴产业发展等政策，共同推进南开区文化建设。细化落实实施方案。坚持市区联动、多方联手，针对“津韵”品牌活动打造、公共文化服务创新、历史文化传承、特色文化产业发展等，制定具体推进方案及实施细则。深化文化融入机制，在南开区商业发展、产业升级、城市更新过程中凸显文化功能，将文化发展纳入各专项规划的决策体系。</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45" w:name="_Toc54513697"/>
      <w:bookmarkStart w:id="46" w:name="_Toc46861469"/>
      <w:r>
        <w:rPr>
          <w:rFonts w:hint="eastAsia" w:ascii="Times New Roman" w:hAnsi="Times New Roman" w:cs="方正小标宋简体"/>
          <w:bCs/>
          <w:color w:val="auto"/>
          <w:sz w:val="32"/>
          <w:szCs w:val="32"/>
          <w:lang w:eastAsia="zh-Hans"/>
        </w:rPr>
        <w:t>（二）资金保障</w:t>
      </w:r>
      <w:bookmarkEnd w:id="45"/>
      <w:bookmarkEnd w:id="46"/>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加大资金投入力度。</w:t>
      </w:r>
      <w:r>
        <w:rPr>
          <w:rFonts w:hint="eastAsia" w:ascii="Times New Roman" w:hAnsi="Times New Roman" w:eastAsia="仿宋_GB2312"/>
          <w:color w:val="auto"/>
          <w:sz w:val="32"/>
        </w:rPr>
        <w:t>加大区政府对文化发展的投入力度，增加文化发展专项资金额度，加强绩效评估，进一步保障重大文化项目、公共文化服务和文化产业项目的建设实施。</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创新资金投入方式。</w:t>
      </w:r>
      <w:r>
        <w:rPr>
          <w:rFonts w:hint="eastAsia" w:ascii="Times New Roman" w:hAnsi="Times New Roman" w:eastAsia="仿宋_GB2312"/>
          <w:color w:val="auto"/>
          <w:sz w:val="32"/>
        </w:rPr>
        <w:t>通过政府服务购买、项目补贴、以奖代补等方式，鼓励和引导社会力量提供公共文化和服务，形成以政府为主，社会、企业各方共同参与南开区文化建设的格局。创新文旅产业的投融资渠道，引导金融资本与文旅产业的融合、对接，引导文化类风险投资基金和专业投资机构落户南开区，推出特色文化融资产品，满足文旅产业的融资需求。寻求搭建政府融资平台，吸引民营资本投资南开文旅产业，为文旅产业发展提供资金保障。</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支持文化金融服务与产品创新。</w:t>
      </w:r>
      <w:r>
        <w:rPr>
          <w:rFonts w:hint="eastAsia" w:ascii="Times New Roman" w:hAnsi="Times New Roman" w:eastAsia="仿宋_GB2312"/>
          <w:color w:val="auto"/>
          <w:sz w:val="32"/>
        </w:rPr>
        <w:t>支持具备高成长性的中小文化企业通过发行各类型债券拓宽融资渠道。探索文化金融公共服务机制。鼓励社会机构参与，并形成在行业研究、活动运作、投融资对接、信息信用处理等方面的专业服务优势，将文化金融合作落到实处。</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47" w:name="_Toc46861470"/>
      <w:bookmarkStart w:id="48" w:name="_Toc54513698"/>
      <w:r>
        <w:rPr>
          <w:rFonts w:hint="eastAsia" w:ascii="Times New Roman" w:hAnsi="Times New Roman" w:cs="方正小标宋简体"/>
          <w:bCs/>
          <w:color w:val="auto"/>
          <w:sz w:val="32"/>
          <w:szCs w:val="32"/>
          <w:lang w:eastAsia="zh-Hans"/>
        </w:rPr>
        <w:t>（三）人才保障</w:t>
      </w:r>
      <w:bookmarkEnd w:id="47"/>
      <w:bookmarkEnd w:id="48"/>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强化人才引进培育力度。</w:t>
      </w:r>
      <w:r>
        <w:rPr>
          <w:rFonts w:hint="eastAsia" w:ascii="Times New Roman" w:hAnsi="Times New Roman" w:eastAsia="仿宋_GB2312"/>
          <w:color w:val="auto"/>
          <w:sz w:val="32"/>
        </w:rPr>
        <w:t>充分发挥名校优势，引育原创性与应用型人才，完善产教融合机制，深化推动文教结合。支持天南大等高等院校、科研机构与文化产业园区、规模以上文化企业合作建设文化科技平台、产业人才培训基地、文化成果转化基地等。</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拓宽人才引进渠道。</w:t>
      </w:r>
      <w:r>
        <w:rPr>
          <w:rFonts w:hint="eastAsia" w:ascii="Times New Roman" w:hAnsi="Times New Roman" w:eastAsia="仿宋_GB2312"/>
          <w:color w:val="auto"/>
          <w:sz w:val="32"/>
        </w:rPr>
        <w:t>吸引国内外著名高校、科研机构到南开区设立分支机构。通过建立工作室等形式，为优秀文化人才提供展示、演出、比赛、评比、交流等机会，吸引优秀人才入驻南开。吸引南开大院大所以及民非组织的专业人才主动加入文化发展的队伍。</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创新人才的激励机制。</w:t>
      </w:r>
      <w:r>
        <w:rPr>
          <w:rFonts w:hint="eastAsia" w:ascii="Times New Roman" w:hAnsi="Times New Roman" w:eastAsia="仿宋_GB2312"/>
          <w:color w:val="auto"/>
          <w:sz w:val="32"/>
        </w:rPr>
        <w:t>通过专项资金扶持、办公场地提供、融资服务便利等建立挖掘创新人才的激励机制。加大对文化领军人才的政策支持，鼓励孵化器与优秀社会资源、高校资源合作，建立文化人才培养基地，开展产业链式培养。</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49" w:name="_Toc54513699"/>
      <w:bookmarkStart w:id="50" w:name="_Toc46861471"/>
      <w:r>
        <w:rPr>
          <w:rFonts w:hint="eastAsia" w:ascii="Times New Roman" w:hAnsi="Times New Roman" w:cs="方正小标宋简体"/>
          <w:bCs/>
          <w:color w:val="auto"/>
          <w:sz w:val="32"/>
          <w:szCs w:val="32"/>
          <w:lang w:eastAsia="zh-Hans"/>
        </w:rPr>
        <w:t>（四）政策保障</w:t>
      </w:r>
      <w:bookmarkEnd w:id="49"/>
      <w:bookmarkEnd w:id="50"/>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落实现有政策。</w:t>
      </w:r>
      <w:r>
        <w:rPr>
          <w:rFonts w:hint="eastAsia" w:ascii="Times New Roman" w:hAnsi="Times New Roman" w:eastAsia="仿宋_GB2312"/>
          <w:color w:val="auto"/>
          <w:sz w:val="32"/>
        </w:rPr>
        <w:t>切实贯彻落实、用足用好国家、市出台的文化产业扶持与优惠政策，确保“黄金政策”发挥“黄金效益”。</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优化扶持政策。</w:t>
      </w:r>
      <w:r>
        <w:rPr>
          <w:rFonts w:hint="eastAsia" w:ascii="Times New Roman" w:hAnsi="Times New Roman" w:eastAsia="仿宋_GB2312"/>
          <w:color w:val="auto"/>
          <w:sz w:val="32"/>
        </w:rPr>
        <w:t>整合区宣传、文化、商务、科技、旅游、体育等相关单位政策和资源，用足用好区各委办的招商、产业促进政策。优化南开区文化产业专项资金的管理使用办法,进一步提升财政资金的使用效益。</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加强产权保护。</w:t>
      </w:r>
      <w:r>
        <w:rPr>
          <w:rFonts w:hint="eastAsia" w:ascii="Times New Roman" w:hAnsi="Times New Roman" w:eastAsia="仿宋_GB2312"/>
          <w:color w:val="auto"/>
          <w:sz w:val="32"/>
        </w:rPr>
        <w:t>加强社会资本参与和知识产权保护，充分发挥区域文化资源优势，积极鼓励和引导社会资本投资文化企业，探索制定文化捐赠奖励政策。加强文化知识产权保护，完善知识产权评估体系，鼓励知识产权评估机构发展，加大知识产权宣传力度，营造有利于推进知识产权保护的舆论环境。</w:t>
      </w:r>
    </w:p>
    <w:p>
      <w:pPr>
        <w:pStyle w:val="3"/>
        <w:adjustRightInd w:val="0"/>
        <w:snapToGrid w:val="0"/>
        <w:spacing w:before="156" w:after="156" w:line="600" w:lineRule="exact"/>
        <w:ind w:firstLine="640" w:firstLineChars="200"/>
        <w:jc w:val="left"/>
        <w:rPr>
          <w:rFonts w:ascii="Times New Roman" w:hAnsi="Times New Roman" w:cs="方正小标宋简体"/>
          <w:bCs/>
          <w:color w:val="auto"/>
          <w:sz w:val="32"/>
          <w:szCs w:val="32"/>
          <w:lang w:eastAsia="zh-Hans"/>
        </w:rPr>
      </w:pPr>
      <w:bookmarkStart w:id="51" w:name="_Toc46861472"/>
      <w:bookmarkStart w:id="52" w:name="_Toc54513700"/>
      <w:r>
        <w:rPr>
          <w:rFonts w:hint="eastAsia" w:ascii="Times New Roman" w:hAnsi="Times New Roman" w:cs="方正小标宋简体"/>
          <w:bCs/>
          <w:color w:val="auto"/>
          <w:sz w:val="32"/>
          <w:szCs w:val="32"/>
          <w:lang w:eastAsia="zh-Hans"/>
        </w:rPr>
        <w:t>（五）环境保障</w:t>
      </w:r>
      <w:bookmarkEnd w:id="51"/>
      <w:bookmarkEnd w:id="52"/>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建立</w:t>
      </w:r>
      <w:r>
        <w:rPr>
          <w:rFonts w:hint="eastAsia" w:ascii="Times New Roman" w:hAnsi="Times New Roman" w:eastAsia="楷体" w:cs="楷体"/>
          <w:b w:val="0"/>
          <w:bCs w:val="0"/>
          <w:color w:val="auto"/>
          <w:sz w:val="32"/>
          <w:lang w:val="en-US" w:eastAsia="zh-CN"/>
        </w:rPr>
        <w:t>公共服务</w:t>
      </w:r>
      <w:r>
        <w:rPr>
          <w:rFonts w:hint="eastAsia" w:ascii="Times New Roman" w:hAnsi="Times New Roman" w:eastAsia="楷体" w:cs="楷体"/>
          <w:b w:val="0"/>
          <w:bCs w:val="0"/>
          <w:color w:val="auto"/>
          <w:sz w:val="32"/>
        </w:rPr>
        <w:t>平台。</w:t>
      </w:r>
      <w:r>
        <w:rPr>
          <w:rFonts w:hint="eastAsia" w:ascii="Times New Roman" w:hAnsi="Times New Roman" w:eastAsia="仿宋_GB2312"/>
          <w:color w:val="auto"/>
          <w:sz w:val="32"/>
        </w:rPr>
        <w:t>推动区内各类文化企业、文化组织和文化园区向云上集聚。建立并逐步完善网络型文化企业生命周期为主线的一站式服务体系的内容和服务模式。完善云上办理工商、税务、金融、保险、通信等各类综合业务标准流程。打造各类服务于企业的云上公共服务平台，包括信息发布平台、公共技术平台、网络办公平台、投融资平台、个人云上工作室等，加强政府、企业和行业组织的信息交流，引导和扩大文化企业的文化产品服务供给。</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提升</w:t>
      </w:r>
      <w:r>
        <w:rPr>
          <w:rFonts w:hint="eastAsia" w:ascii="Times New Roman" w:hAnsi="Times New Roman" w:eastAsia="楷体" w:cs="楷体"/>
          <w:b w:val="0"/>
          <w:bCs w:val="0"/>
          <w:color w:val="auto"/>
          <w:sz w:val="32"/>
          <w:lang w:val="en-US" w:eastAsia="zh-CN"/>
        </w:rPr>
        <w:t>公共</w:t>
      </w:r>
      <w:r>
        <w:rPr>
          <w:rFonts w:hint="eastAsia" w:ascii="Times New Roman" w:hAnsi="Times New Roman" w:eastAsia="楷体" w:cs="楷体"/>
          <w:b w:val="0"/>
          <w:bCs w:val="0"/>
          <w:color w:val="auto"/>
          <w:sz w:val="32"/>
        </w:rPr>
        <w:t>服务水平。</w:t>
      </w:r>
      <w:r>
        <w:rPr>
          <w:rFonts w:hint="eastAsia" w:ascii="Times New Roman" w:hAnsi="Times New Roman" w:eastAsia="仿宋_GB2312"/>
          <w:color w:val="auto"/>
          <w:sz w:val="32"/>
        </w:rPr>
        <w:t>提供政策咨询、项目落地“一站式”服务，精准对接、及时反馈企业需求，鼓励平台引入加盟机制，在文化创意产业功能区、文化创意产业园区、文创空间等设立分站或窗口，形成一个中心、多点布局、多线贯穿的服务格局。加快建设文化创意产业功能区专业化服务平台，面向文化艺术、动漫游戏、数字出版、设计服务等领域，提供创意研发、设备共用、标准研制、检验检测、信息共享、技术示范服务，发挥平台共享要素资源、降低企业成本、提高效率效益等作用。</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放宽文化市场准入。</w:t>
      </w:r>
      <w:r>
        <w:rPr>
          <w:rFonts w:hint="eastAsia" w:ascii="Times New Roman" w:hAnsi="Times New Roman" w:eastAsia="仿宋_GB2312"/>
          <w:color w:val="auto"/>
          <w:sz w:val="32"/>
        </w:rPr>
        <w:t>充分发挥政府和市场作用，鼓励社会团体、行业协会等社会主体参与文化产业重要工程。建立文化企业合作机制，实现资源对接共享。加强版权保护，健全文化市场监管体系等方面进行任务部署。</w:t>
      </w:r>
    </w:p>
    <w:p>
      <w:pPr>
        <w:adjustRightInd w:val="0"/>
        <w:snapToGrid w:val="0"/>
        <w:spacing w:line="600" w:lineRule="exact"/>
        <w:ind w:firstLine="640" w:firstLineChars="200"/>
        <w:rPr>
          <w:rFonts w:ascii="Times New Roman" w:hAnsi="Times New Roman" w:eastAsia="仿宋_GB2312"/>
          <w:color w:val="auto"/>
          <w:sz w:val="32"/>
        </w:rPr>
      </w:pPr>
      <w:r>
        <w:rPr>
          <w:rFonts w:hint="eastAsia" w:ascii="Times New Roman" w:hAnsi="Times New Roman" w:eastAsia="楷体" w:cs="楷体"/>
          <w:b w:val="0"/>
          <w:bCs w:val="0"/>
          <w:color w:val="auto"/>
          <w:sz w:val="32"/>
        </w:rPr>
        <w:t>完善消费激励引导机制。</w:t>
      </w:r>
      <w:r>
        <w:rPr>
          <w:rFonts w:hint="eastAsia" w:ascii="Times New Roman" w:hAnsi="Times New Roman" w:eastAsia="仿宋_GB2312"/>
          <w:color w:val="auto"/>
          <w:sz w:val="32"/>
        </w:rPr>
        <w:t>探索居民文化消费补贴政策，扩大文化消费规模。开展主题宣传，丰富载体形式，培育健康的文化消费理念。优化文化消费设施环境，加大文化消费配套设施投入力度。</w:t>
      </w: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p>
      <w:pPr>
        <w:adjustRightInd w:val="0"/>
        <w:snapToGrid w:val="0"/>
        <w:spacing w:line="600" w:lineRule="exact"/>
        <w:ind w:firstLine="640" w:firstLineChars="200"/>
        <w:rPr>
          <w:rFonts w:ascii="Times New Roman" w:hAnsi="Times New Roman" w:eastAsia="仿宋_GB2312"/>
          <w:color w:val="auto"/>
          <w:sz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249543916"/>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14</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1E"/>
    <w:rsid w:val="0000432E"/>
    <w:rsid w:val="00004424"/>
    <w:rsid w:val="00004742"/>
    <w:rsid w:val="000047ED"/>
    <w:rsid w:val="00005CB4"/>
    <w:rsid w:val="00010AF0"/>
    <w:rsid w:val="00020595"/>
    <w:rsid w:val="00030729"/>
    <w:rsid w:val="00031375"/>
    <w:rsid w:val="00033CCC"/>
    <w:rsid w:val="000346A3"/>
    <w:rsid w:val="000373B7"/>
    <w:rsid w:val="00040416"/>
    <w:rsid w:val="0004371E"/>
    <w:rsid w:val="00044211"/>
    <w:rsid w:val="00045969"/>
    <w:rsid w:val="0004752D"/>
    <w:rsid w:val="000503D4"/>
    <w:rsid w:val="0005150D"/>
    <w:rsid w:val="00054943"/>
    <w:rsid w:val="00054E66"/>
    <w:rsid w:val="000579EA"/>
    <w:rsid w:val="00062A6C"/>
    <w:rsid w:val="00064481"/>
    <w:rsid w:val="00064BCD"/>
    <w:rsid w:val="000665E5"/>
    <w:rsid w:val="00071A26"/>
    <w:rsid w:val="00072207"/>
    <w:rsid w:val="00072EEB"/>
    <w:rsid w:val="00075014"/>
    <w:rsid w:val="000833E0"/>
    <w:rsid w:val="00083D63"/>
    <w:rsid w:val="000852EA"/>
    <w:rsid w:val="00085D79"/>
    <w:rsid w:val="000910AE"/>
    <w:rsid w:val="000911B2"/>
    <w:rsid w:val="00091C4A"/>
    <w:rsid w:val="00095F1F"/>
    <w:rsid w:val="000A0C74"/>
    <w:rsid w:val="000A7004"/>
    <w:rsid w:val="000B3F62"/>
    <w:rsid w:val="000C6841"/>
    <w:rsid w:val="000C7101"/>
    <w:rsid w:val="000D0F63"/>
    <w:rsid w:val="000D1C33"/>
    <w:rsid w:val="000D2B7F"/>
    <w:rsid w:val="000F602B"/>
    <w:rsid w:val="00102A2B"/>
    <w:rsid w:val="0010420C"/>
    <w:rsid w:val="00104796"/>
    <w:rsid w:val="001056A7"/>
    <w:rsid w:val="00105793"/>
    <w:rsid w:val="001072D2"/>
    <w:rsid w:val="00110A8E"/>
    <w:rsid w:val="001112CA"/>
    <w:rsid w:val="00122886"/>
    <w:rsid w:val="00122C1E"/>
    <w:rsid w:val="00124C60"/>
    <w:rsid w:val="00124C7E"/>
    <w:rsid w:val="00125FC9"/>
    <w:rsid w:val="00127005"/>
    <w:rsid w:val="0012791C"/>
    <w:rsid w:val="0013132F"/>
    <w:rsid w:val="00135C5D"/>
    <w:rsid w:val="00136FA3"/>
    <w:rsid w:val="00140AD5"/>
    <w:rsid w:val="00142E52"/>
    <w:rsid w:val="00150E04"/>
    <w:rsid w:val="00154A3A"/>
    <w:rsid w:val="00154FD0"/>
    <w:rsid w:val="00160085"/>
    <w:rsid w:val="001611DA"/>
    <w:rsid w:val="001622EB"/>
    <w:rsid w:val="001624B1"/>
    <w:rsid w:val="00167932"/>
    <w:rsid w:val="001700AD"/>
    <w:rsid w:val="00170367"/>
    <w:rsid w:val="001709E9"/>
    <w:rsid w:val="0017428C"/>
    <w:rsid w:val="00177F6B"/>
    <w:rsid w:val="00181040"/>
    <w:rsid w:val="001859D1"/>
    <w:rsid w:val="00185D3E"/>
    <w:rsid w:val="0018730E"/>
    <w:rsid w:val="00187370"/>
    <w:rsid w:val="001954A0"/>
    <w:rsid w:val="001B1AD8"/>
    <w:rsid w:val="001B1E36"/>
    <w:rsid w:val="001B3004"/>
    <w:rsid w:val="001C2EA2"/>
    <w:rsid w:val="001D628B"/>
    <w:rsid w:val="001D6D6E"/>
    <w:rsid w:val="001E1A1A"/>
    <w:rsid w:val="001F0845"/>
    <w:rsid w:val="001F12E0"/>
    <w:rsid w:val="001F49A6"/>
    <w:rsid w:val="00201530"/>
    <w:rsid w:val="00204538"/>
    <w:rsid w:val="00206F14"/>
    <w:rsid w:val="00210D50"/>
    <w:rsid w:val="00210F4D"/>
    <w:rsid w:val="002124BD"/>
    <w:rsid w:val="0021486D"/>
    <w:rsid w:val="00214D98"/>
    <w:rsid w:val="0022321D"/>
    <w:rsid w:val="00225710"/>
    <w:rsid w:val="00231417"/>
    <w:rsid w:val="00233CFD"/>
    <w:rsid w:val="00234AF3"/>
    <w:rsid w:val="002439CF"/>
    <w:rsid w:val="002440BD"/>
    <w:rsid w:val="00245768"/>
    <w:rsid w:val="00254E0E"/>
    <w:rsid w:val="00256C9C"/>
    <w:rsid w:val="00257B35"/>
    <w:rsid w:val="00275634"/>
    <w:rsid w:val="00276ADC"/>
    <w:rsid w:val="00276B4A"/>
    <w:rsid w:val="00277728"/>
    <w:rsid w:val="00280229"/>
    <w:rsid w:val="00281B9B"/>
    <w:rsid w:val="00294547"/>
    <w:rsid w:val="0029785A"/>
    <w:rsid w:val="00297DC4"/>
    <w:rsid w:val="002A0B20"/>
    <w:rsid w:val="002A14C3"/>
    <w:rsid w:val="002B4047"/>
    <w:rsid w:val="002B5B01"/>
    <w:rsid w:val="002C1A11"/>
    <w:rsid w:val="002C6C10"/>
    <w:rsid w:val="002D4FC0"/>
    <w:rsid w:val="002D6AA5"/>
    <w:rsid w:val="002D6F48"/>
    <w:rsid w:val="002E3F32"/>
    <w:rsid w:val="002F0010"/>
    <w:rsid w:val="002F2984"/>
    <w:rsid w:val="002F4CD9"/>
    <w:rsid w:val="002F4F70"/>
    <w:rsid w:val="003017B4"/>
    <w:rsid w:val="00302730"/>
    <w:rsid w:val="0030329A"/>
    <w:rsid w:val="0030540E"/>
    <w:rsid w:val="00305E19"/>
    <w:rsid w:val="00307AD7"/>
    <w:rsid w:val="00310A3D"/>
    <w:rsid w:val="00311584"/>
    <w:rsid w:val="00313EC3"/>
    <w:rsid w:val="003170E1"/>
    <w:rsid w:val="00322B5E"/>
    <w:rsid w:val="00325413"/>
    <w:rsid w:val="00330428"/>
    <w:rsid w:val="00330753"/>
    <w:rsid w:val="00330A7F"/>
    <w:rsid w:val="00330F8C"/>
    <w:rsid w:val="00331D49"/>
    <w:rsid w:val="0033316A"/>
    <w:rsid w:val="003433B1"/>
    <w:rsid w:val="00343C98"/>
    <w:rsid w:val="00351E0A"/>
    <w:rsid w:val="00354813"/>
    <w:rsid w:val="0035589C"/>
    <w:rsid w:val="00355970"/>
    <w:rsid w:val="003571B2"/>
    <w:rsid w:val="00360A9D"/>
    <w:rsid w:val="003614ED"/>
    <w:rsid w:val="0037190B"/>
    <w:rsid w:val="00371C53"/>
    <w:rsid w:val="00373590"/>
    <w:rsid w:val="00376B36"/>
    <w:rsid w:val="00377BBF"/>
    <w:rsid w:val="00377C29"/>
    <w:rsid w:val="0038098A"/>
    <w:rsid w:val="00383B69"/>
    <w:rsid w:val="003901BA"/>
    <w:rsid w:val="003905CF"/>
    <w:rsid w:val="00391169"/>
    <w:rsid w:val="00391C7C"/>
    <w:rsid w:val="00397676"/>
    <w:rsid w:val="003A329B"/>
    <w:rsid w:val="003A648C"/>
    <w:rsid w:val="003B737D"/>
    <w:rsid w:val="003C1533"/>
    <w:rsid w:val="003C1FB0"/>
    <w:rsid w:val="003D4158"/>
    <w:rsid w:val="003D6D44"/>
    <w:rsid w:val="003E3BD0"/>
    <w:rsid w:val="003E3D21"/>
    <w:rsid w:val="003E5F8D"/>
    <w:rsid w:val="003E6F13"/>
    <w:rsid w:val="003E776F"/>
    <w:rsid w:val="003F21CD"/>
    <w:rsid w:val="003F2834"/>
    <w:rsid w:val="003F5287"/>
    <w:rsid w:val="003F52B5"/>
    <w:rsid w:val="00400C87"/>
    <w:rsid w:val="00401E7D"/>
    <w:rsid w:val="00402C3B"/>
    <w:rsid w:val="00402CEA"/>
    <w:rsid w:val="004033FA"/>
    <w:rsid w:val="00403D98"/>
    <w:rsid w:val="004051E3"/>
    <w:rsid w:val="004062D1"/>
    <w:rsid w:val="00410701"/>
    <w:rsid w:val="00412D27"/>
    <w:rsid w:val="004134BF"/>
    <w:rsid w:val="004134FC"/>
    <w:rsid w:val="004200B6"/>
    <w:rsid w:val="00422E12"/>
    <w:rsid w:val="004238B7"/>
    <w:rsid w:val="00423BB0"/>
    <w:rsid w:val="0042447A"/>
    <w:rsid w:val="004250BD"/>
    <w:rsid w:val="00427748"/>
    <w:rsid w:val="0043242D"/>
    <w:rsid w:val="00440E47"/>
    <w:rsid w:val="004410FC"/>
    <w:rsid w:val="0044731C"/>
    <w:rsid w:val="00451E0C"/>
    <w:rsid w:val="00465011"/>
    <w:rsid w:val="00466EC3"/>
    <w:rsid w:val="0047409D"/>
    <w:rsid w:val="00483B49"/>
    <w:rsid w:val="00492C59"/>
    <w:rsid w:val="004937EF"/>
    <w:rsid w:val="004A0FC2"/>
    <w:rsid w:val="004A1661"/>
    <w:rsid w:val="004A2147"/>
    <w:rsid w:val="004A70CA"/>
    <w:rsid w:val="004A7409"/>
    <w:rsid w:val="004B4B62"/>
    <w:rsid w:val="004B5C6C"/>
    <w:rsid w:val="004B7D54"/>
    <w:rsid w:val="004C6115"/>
    <w:rsid w:val="004C6B84"/>
    <w:rsid w:val="004D4C5D"/>
    <w:rsid w:val="004D617F"/>
    <w:rsid w:val="004E0572"/>
    <w:rsid w:val="004E0D49"/>
    <w:rsid w:val="004E2C18"/>
    <w:rsid w:val="004E3BA8"/>
    <w:rsid w:val="004E3F9C"/>
    <w:rsid w:val="004F263C"/>
    <w:rsid w:val="004F3E42"/>
    <w:rsid w:val="004F56A3"/>
    <w:rsid w:val="00502CD8"/>
    <w:rsid w:val="00503F04"/>
    <w:rsid w:val="005052E2"/>
    <w:rsid w:val="00507D8B"/>
    <w:rsid w:val="00510055"/>
    <w:rsid w:val="00510E34"/>
    <w:rsid w:val="0051221C"/>
    <w:rsid w:val="005155C2"/>
    <w:rsid w:val="00515D18"/>
    <w:rsid w:val="00516556"/>
    <w:rsid w:val="00517231"/>
    <w:rsid w:val="005176F3"/>
    <w:rsid w:val="00517E53"/>
    <w:rsid w:val="00523D21"/>
    <w:rsid w:val="005326E6"/>
    <w:rsid w:val="005417DC"/>
    <w:rsid w:val="00542F9D"/>
    <w:rsid w:val="005432ED"/>
    <w:rsid w:val="005462C4"/>
    <w:rsid w:val="005470DF"/>
    <w:rsid w:val="005474AC"/>
    <w:rsid w:val="00547A46"/>
    <w:rsid w:val="00551825"/>
    <w:rsid w:val="0056140C"/>
    <w:rsid w:val="00563321"/>
    <w:rsid w:val="00571F57"/>
    <w:rsid w:val="00574FF8"/>
    <w:rsid w:val="00583102"/>
    <w:rsid w:val="00583220"/>
    <w:rsid w:val="00583AFE"/>
    <w:rsid w:val="005858E2"/>
    <w:rsid w:val="005900FC"/>
    <w:rsid w:val="005904A4"/>
    <w:rsid w:val="00591C84"/>
    <w:rsid w:val="00596915"/>
    <w:rsid w:val="005969D1"/>
    <w:rsid w:val="005A0C60"/>
    <w:rsid w:val="005A5B1F"/>
    <w:rsid w:val="005B3E98"/>
    <w:rsid w:val="005B4CA0"/>
    <w:rsid w:val="005B4F56"/>
    <w:rsid w:val="005B6A3C"/>
    <w:rsid w:val="005C1797"/>
    <w:rsid w:val="005C2A35"/>
    <w:rsid w:val="005C3386"/>
    <w:rsid w:val="005C4789"/>
    <w:rsid w:val="005C5E56"/>
    <w:rsid w:val="005E3316"/>
    <w:rsid w:val="005E42AB"/>
    <w:rsid w:val="005E6AD2"/>
    <w:rsid w:val="005E6F6B"/>
    <w:rsid w:val="005F1E05"/>
    <w:rsid w:val="005F3FE8"/>
    <w:rsid w:val="005F54DB"/>
    <w:rsid w:val="005F58EE"/>
    <w:rsid w:val="005F5913"/>
    <w:rsid w:val="005F5FB8"/>
    <w:rsid w:val="005F6AE4"/>
    <w:rsid w:val="005F729C"/>
    <w:rsid w:val="00601D89"/>
    <w:rsid w:val="0060510C"/>
    <w:rsid w:val="00607F92"/>
    <w:rsid w:val="00610386"/>
    <w:rsid w:val="00621F83"/>
    <w:rsid w:val="00624B27"/>
    <w:rsid w:val="00625A90"/>
    <w:rsid w:val="00633549"/>
    <w:rsid w:val="00637F29"/>
    <w:rsid w:val="00642767"/>
    <w:rsid w:val="00642E41"/>
    <w:rsid w:val="0064330A"/>
    <w:rsid w:val="00647912"/>
    <w:rsid w:val="00647C85"/>
    <w:rsid w:val="006549F5"/>
    <w:rsid w:val="00662B3F"/>
    <w:rsid w:val="00665A74"/>
    <w:rsid w:val="00671908"/>
    <w:rsid w:val="00673252"/>
    <w:rsid w:val="006810F5"/>
    <w:rsid w:val="00681BC7"/>
    <w:rsid w:val="00683318"/>
    <w:rsid w:val="006878B8"/>
    <w:rsid w:val="006902EE"/>
    <w:rsid w:val="00690A32"/>
    <w:rsid w:val="006921DB"/>
    <w:rsid w:val="006954E8"/>
    <w:rsid w:val="006956F2"/>
    <w:rsid w:val="00696C0A"/>
    <w:rsid w:val="006A1EC7"/>
    <w:rsid w:val="006A3806"/>
    <w:rsid w:val="006A4C24"/>
    <w:rsid w:val="006B1614"/>
    <w:rsid w:val="006B1F72"/>
    <w:rsid w:val="006B218C"/>
    <w:rsid w:val="006B4FB4"/>
    <w:rsid w:val="006B6B20"/>
    <w:rsid w:val="006B7350"/>
    <w:rsid w:val="006C09E2"/>
    <w:rsid w:val="006C4DDD"/>
    <w:rsid w:val="006C7191"/>
    <w:rsid w:val="006D664E"/>
    <w:rsid w:val="006E779D"/>
    <w:rsid w:val="006F0EA6"/>
    <w:rsid w:val="006F35A0"/>
    <w:rsid w:val="006F3F1C"/>
    <w:rsid w:val="0070044C"/>
    <w:rsid w:val="00702CD0"/>
    <w:rsid w:val="00712DDD"/>
    <w:rsid w:val="00713F3E"/>
    <w:rsid w:val="00717661"/>
    <w:rsid w:val="0072267F"/>
    <w:rsid w:val="007238CB"/>
    <w:rsid w:val="0073040C"/>
    <w:rsid w:val="00730E5B"/>
    <w:rsid w:val="007337A5"/>
    <w:rsid w:val="0073415B"/>
    <w:rsid w:val="00734BB0"/>
    <w:rsid w:val="00735E23"/>
    <w:rsid w:val="00747955"/>
    <w:rsid w:val="007501CC"/>
    <w:rsid w:val="00751AE8"/>
    <w:rsid w:val="007535B3"/>
    <w:rsid w:val="00756B1F"/>
    <w:rsid w:val="00760C97"/>
    <w:rsid w:val="007626E9"/>
    <w:rsid w:val="00764C98"/>
    <w:rsid w:val="00765E91"/>
    <w:rsid w:val="007746AC"/>
    <w:rsid w:val="00776628"/>
    <w:rsid w:val="0077704C"/>
    <w:rsid w:val="00781CE2"/>
    <w:rsid w:val="00784082"/>
    <w:rsid w:val="00785033"/>
    <w:rsid w:val="00785CFD"/>
    <w:rsid w:val="00786487"/>
    <w:rsid w:val="00791AC6"/>
    <w:rsid w:val="00791CEA"/>
    <w:rsid w:val="0079239B"/>
    <w:rsid w:val="0079248A"/>
    <w:rsid w:val="007970E9"/>
    <w:rsid w:val="007A4C8F"/>
    <w:rsid w:val="007A6617"/>
    <w:rsid w:val="007A6DA4"/>
    <w:rsid w:val="007B0A3C"/>
    <w:rsid w:val="007B2AE4"/>
    <w:rsid w:val="007B768F"/>
    <w:rsid w:val="007B7CD5"/>
    <w:rsid w:val="007C2754"/>
    <w:rsid w:val="007C2847"/>
    <w:rsid w:val="007D2F95"/>
    <w:rsid w:val="007D4296"/>
    <w:rsid w:val="007D6573"/>
    <w:rsid w:val="007D72A5"/>
    <w:rsid w:val="007E2415"/>
    <w:rsid w:val="007E2E5F"/>
    <w:rsid w:val="007F2044"/>
    <w:rsid w:val="007F2897"/>
    <w:rsid w:val="007F7A62"/>
    <w:rsid w:val="00800CD3"/>
    <w:rsid w:val="00803C56"/>
    <w:rsid w:val="0080519B"/>
    <w:rsid w:val="00806B85"/>
    <w:rsid w:val="00806D06"/>
    <w:rsid w:val="0080768C"/>
    <w:rsid w:val="00812265"/>
    <w:rsid w:val="00816207"/>
    <w:rsid w:val="00816EE0"/>
    <w:rsid w:val="00830F4F"/>
    <w:rsid w:val="0083245C"/>
    <w:rsid w:val="008333EA"/>
    <w:rsid w:val="0083491A"/>
    <w:rsid w:val="00834949"/>
    <w:rsid w:val="008366F2"/>
    <w:rsid w:val="008410CB"/>
    <w:rsid w:val="00841AC3"/>
    <w:rsid w:val="0084500B"/>
    <w:rsid w:val="00845C21"/>
    <w:rsid w:val="00845D37"/>
    <w:rsid w:val="00847E1B"/>
    <w:rsid w:val="00850565"/>
    <w:rsid w:val="008573D8"/>
    <w:rsid w:val="0086050F"/>
    <w:rsid w:val="00860D33"/>
    <w:rsid w:val="00863AD9"/>
    <w:rsid w:val="00864A17"/>
    <w:rsid w:val="00872515"/>
    <w:rsid w:val="0087288C"/>
    <w:rsid w:val="00881435"/>
    <w:rsid w:val="00881F8B"/>
    <w:rsid w:val="00882E52"/>
    <w:rsid w:val="00884367"/>
    <w:rsid w:val="00884E48"/>
    <w:rsid w:val="00896C2D"/>
    <w:rsid w:val="0089720B"/>
    <w:rsid w:val="008A0921"/>
    <w:rsid w:val="008A173E"/>
    <w:rsid w:val="008A359E"/>
    <w:rsid w:val="008A42E4"/>
    <w:rsid w:val="008A6324"/>
    <w:rsid w:val="008A64B2"/>
    <w:rsid w:val="008B176F"/>
    <w:rsid w:val="008B17F1"/>
    <w:rsid w:val="008B36CE"/>
    <w:rsid w:val="008B7B3D"/>
    <w:rsid w:val="008C163A"/>
    <w:rsid w:val="008C3520"/>
    <w:rsid w:val="008C3E25"/>
    <w:rsid w:val="008C483D"/>
    <w:rsid w:val="008D3D0F"/>
    <w:rsid w:val="008D4BD8"/>
    <w:rsid w:val="008D5E46"/>
    <w:rsid w:val="008E0B1C"/>
    <w:rsid w:val="008E12CA"/>
    <w:rsid w:val="008F3DC2"/>
    <w:rsid w:val="0090055F"/>
    <w:rsid w:val="00901D24"/>
    <w:rsid w:val="0090257E"/>
    <w:rsid w:val="00905577"/>
    <w:rsid w:val="00907022"/>
    <w:rsid w:val="0091668E"/>
    <w:rsid w:val="00916A19"/>
    <w:rsid w:val="0091748C"/>
    <w:rsid w:val="00923772"/>
    <w:rsid w:val="00927704"/>
    <w:rsid w:val="00930553"/>
    <w:rsid w:val="00934844"/>
    <w:rsid w:val="00937F20"/>
    <w:rsid w:val="009413B2"/>
    <w:rsid w:val="00944C9F"/>
    <w:rsid w:val="0094590C"/>
    <w:rsid w:val="00946022"/>
    <w:rsid w:val="009476C2"/>
    <w:rsid w:val="00950CAF"/>
    <w:rsid w:val="00952DE6"/>
    <w:rsid w:val="00952FB6"/>
    <w:rsid w:val="009536F6"/>
    <w:rsid w:val="00957443"/>
    <w:rsid w:val="00965A32"/>
    <w:rsid w:val="009660A7"/>
    <w:rsid w:val="009677F4"/>
    <w:rsid w:val="00970DC3"/>
    <w:rsid w:val="00975344"/>
    <w:rsid w:val="00975B58"/>
    <w:rsid w:val="00975FFB"/>
    <w:rsid w:val="0098004E"/>
    <w:rsid w:val="00980D5A"/>
    <w:rsid w:val="00982AAB"/>
    <w:rsid w:val="00982C72"/>
    <w:rsid w:val="00984A73"/>
    <w:rsid w:val="00991D5F"/>
    <w:rsid w:val="00992AAF"/>
    <w:rsid w:val="009A1A5A"/>
    <w:rsid w:val="009A1FBA"/>
    <w:rsid w:val="009A1FBB"/>
    <w:rsid w:val="009B2D55"/>
    <w:rsid w:val="009B3E3A"/>
    <w:rsid w:val="009B4A66"/>
    <w:rsid w:val="009B4B48"/>
    <w:rsid w:val="009C4CE5"/>
    <w:rsid w:val="009C55FE"/>
    <w:rsid w:val="009C6DD3"/>
    <w:rsid w:val="009D00A8"/>
    <w:rsid w:val="009D14D2"/>
    <w:rsid w:val="009D30AB"/>
    <w:rsid w:val="009D36AE"/>
    <w:rsid w:val="009E3062"/>
    <w:rsid w:val="009E378A"/>
    <w:rsid w:val="009E3F3F"/>
    <w:rsid w:val="009E4B9E"/>
    <w:rsid w:val="009E4D2E"/>
    <w:rsid w:val="009E5150"/>
    <w:rsid w:val="009E6D70"/>
    <w:rsid w:val="009E758B"/>
    <w:rsid w:val="009F0C3A"/>
    <w:rsid w:val="00A00D19"/>
    <w:rsid w:val="00A07EFF"/>
    <w:rsid w:val="00A12091"/>
    <w:rsid w:val="00A1402E"/>
    <w:rsid w:val="00A15F96"/>
    <w:rsid w:val="00A20D71"/>
    <w:rsid w:val="00A32202"/>
    <w:rsid w:val="00A32881"/>
    <w:rsid w:val="00A331BB"/>
    <w:rsid w:val="00A4371F"/>
    <w:rsid w:val="00A46326"/>
    <w:rsid w:val="00A46C4D"/>
    <w:rsid w:val="00A51A02"/>
    <w:rsid w:val="00A64A41"/>
    <w:rsid w:val="00A65CCB"/>
    <w:rsid w:val="00A80F8B"/>
    <w:rsid w:val="00A91968"/>
    <w:rsid w:val="00A91ADD"/>
    <w:rsid w:val="00A934E9"/>
    <w:rsid w:val="00AA26DF"/>
    <w:rsid w:val="00AA3D5C"/>
    <w:rsid w:val="00AA6703"/>
    <w:rsid w:val="00AB2A16"/>
    <w:rsid w:val="00AB2F54"/>
    <w:rsid w:val="00AC3307"/>
    <w:rsid w:val="00AC6A00"/>
    <w:rsid w:val="00AC7D56"/>
    <w:rsid w:val="00AD0FEF"/>
    <w:rsid w:val="00AD2DD9"/>
    <w:rsid w:val="00AD5889"/>
    <w:rsid w:val="00AE1B32"/>
    <w:rsid w:val="00AE25EC"/>
    <w:rsid w:val="00AF0666"/>
    <w:rsid w:val="00AF13DC"/>
    <w:rsid w:val="00B004EC"/>
    <w:rsid w:val="00B006D7"/>
    <w:rsid w:val="00B04F36"/>
    <w:rsid w:val="00B050DC"/>
    <w:rsid w:val="00B113A7"/>
    <w:rsid w:val="00B1258B"/>
    <w:rsid w:val="00B1724F"/>
    <w:rsid w:val="00B17422"/>
    <w:rsid w:val="00B17873"/>
    <w:rsid w:val="00B20240"/>
    <w:rsid w:val="00B210E7"/>
    <w:rsid w:val="00B26A5C"/>
    <w:rsid w:val="00B3214A"/>
    <w:rsid w:val="00B32DFC"/>
    <w:rsid w:val="00B33122"/>
    <w:rsid w:val="00B405B5"/>
    <w:rsid w:val="00B42641"/>
    <w:rsid w:val="00B50F95"/>
    <w:rsid w:val="00B61648"/>
    <w:rsid w:val="00B6183C"/>
    <w:rsid w:val="00B72D28"/>
    <w:rsid w:val="00B82B9C"/>
    <w:rsid w:val="00B8349E"/>
    <w:rsid w:val="00B91F10"/>
    <w:rsid w:val="00B93B2E"/>
    <w:rsid w:val="00BB2ED5"/>
    <w:rsid w:val="00BB4082"/>
    <w:rsid w:val="00BB453D"/>
    <w:rsid w:val="00BB57AB"/>
    <w:rsid w:val="00BC49E5"/>
    <w:rsid w:val="00BC57D4"/>
    <w:rsid w:val="00BD4992"/>
    <w:rsid w:val="00BD5622"/>
    <w:rsid w:val="00BD6739"/>
    <w:rsid w:val="00BD78CC"/>
    <w:rsid w:val="00BE0F9E"/>
    <w:rsid w:val="00BE3845"/>
    <w:rsid w:val="00BE3F62"/>
    <w:rsid w:val="00BF27E5"/>
    <w:rsid w:val="00BF362C"/>
    <w:rsid w:val="00BF40D2"/>
    <w:rsid w:val="00BF4334"/>
    <w:rsid w:val="00BF5730"/>
    <w:rsid w:val="00BF58A8"/>
    <w:rsid w:val="00C007E1"/>
    <w:rsid w:val="00C015F9"/>
    <w:rsid w:val="00C04A0F"/>
    <w:rsid w:val="00C124D8"/>
    <w:rsid w:val="00C126B0"/>
    <w:rsid w:val="00C12940"/>
    <w:rsid w:val="00C14D74"/>
    <w:rsid w:val="00C16F69"/>
    <w:rsid w:val="00C2438E"/>
    <w:rsid w:val="00C327AE"/>
    <w:rsid w:val="00C3666E"/>
    <w:rsid w:val="00C36B47"/>
    <w:rsid w:val="00C41B46"/>
    <w:rsid w:val="00C4207E"/>
    <w:rsid w:val="00C42A30"/>
    <w:rsid w:val="00C4694E"/>
    <w:rsid w:val="00C5132E"/>
    <w:rsid w:val="00C535DA"/>
    <w:rsid w:val="00C55B97"/>
    <w:rsid w:val="00C6559A"/>
    <w:rsid w:val="00C70FA1"/>
    <w:rsid w:val="00C710D2"/>
    <w:rsid w:val="00C73F32"/>
    <w:rsid w:val="00C748F5"/>
    <w:rsid w:val="00C82032"/>
    <w:rsid w:val="00C82531"/>
    <w:rsid w:val="00C832F4"/>
    <w:rsid w:val="00C855E0"/>
    <w:rsid w:val="00C941B3"/>
    <w:rsid w:val="00C951BA"/>
    <w:rsid w:val="00C9650A"/>
    <w:rsid w:val="00CA1880"/>
    <w:rsid w:val="00CA6E4E"/>
    <w:rsid w:val="00CA7F4A"/>
    <w:rsid w:val="00CB28DF"/>
    <w:rsid w:val="00CB2C83"/>
    <w:rsid w:val="00CB49E2"/>
    <w:rsid w:val="00CB7D2E"/>
    <w:rsid w:val="00CC4137"/>
    <w:rsid w:val="00CC47BA"/>
    <w:rsid w:val="00CC509F"/>
    <w:rsid w:val="00CC6126"/>
    <w:rsid w:val="00CC74FC"/>
    <w:rsid w:val="00CC7FA3"/>
    <w:rsid w:val="00CD076D"/>
    <w:rsid w:val="00CD0A54"/>
    <w:rsid w:val="00CD1D15"/>
    <w:rsid w:val="00CD791A"/>
    <w:rsid w:val="00CE0FB3"/>
    <w:rsid w:val="00CE183F"/>
    <w:rsid w:val="00CE3F3A"/>
    <w:rsid w:val="00CE509C"/>
    <w:rsid w:val="00CE6D92"/>
    <w:rsid w:val="00CE73E5"/>
    <w:rsid w:val="00CF6F55"/>
    <w:rsid w:val="00CF76F7"/>
    <w:rsid w:val="00D00F04"/>
    <w:rsid w:val="00D0190E"/>
    <w:rsid w:val="00D10AD2"/>
    <w:rsid w:val="00D12847"/>
    <w:rsid w:val="00D20729"/>
    <w:rsid w:val="00D23CB0"/>
    <w:rsid w:val="00D33E9B"/>
    <w:rsid w:val="00D36DE3"/>
    <w:rsid w:val="00D42FD6"/>
    <w:rsid w:val="00D43A4C"/>
    <w:rsid w:val="00D446BC"/>
    <w:rsid w:val="00D46038"/>
    <w:rsid w:val="00D46A91"/>
    <w:rsid w:val="00D534FD"/>
    <w:rsid w:val="00D56770"/>
    <w:rsid w:val="00D57CFE"/>
    <w:rsid w:val="00D66768"/>
    <w:rsid w:val="00D72285"/>
    <w:rsid w:val="00D752F8"/>
    <w:rsid w:val="00D9012C"/>
    <w:rsid w:val="00D9464E"/>
    <w:rsid w:val="00DA3C7F"/>
    <w:rsid w:val="00DA48E5"/>
    <w:rsid w:val="00DA6298"/>
    <w:rsid w:val="00DA64AC"/>
    <w:rsid w:val="00DB472A"/>
    <w:rsid w:val="00DC3C3F"/>
    <w:rsid w:val="00DC4312"/>
    <w:rsid w:val="00DC6AEA"/>
    <w:rsid w:val="00DD40BF"/>
    <w:rsid w:val="00DD48F8"/>
    <w:rsid w:val="00DE6C58"/>
    <w:rsid w:val="00DF2187"/>
    <w:rsid w:val="00DF498F"/>
    <w:rsid w:val="00E03058"/>
    <w:rsid w:val="00E073DC"/>
    <w:rsid w:val="00E0761A"/>
    <w:rsid w:val="00E1140D"/>
    <w:rsid w:val="00E14311"/>
    <w:rsid w:val="00E3272F"/>
    <w:rsid w:val="00E34C11"/>
    <w:rsid w:val="00E36DDE"/>
    <w:rsid w:val="00E42DD4"/>
    <w:rsid w:val="00E4771D"/>
    <w:rsid w:val="00E55344"/>
    <w:rsid w:val="00E600E5"/>
    <w:rsid w:val="00E6181B"/>
    <w:rsid w:val="00E61934"/>
    <w:rsid w:val="00E64FA6"/>
    <w:rsid w:val="00E672E1"/>
    <w:rsid w:val="00E71E82"/>
    <w:rsid w:val="00E745C5"/>
    <w:rsid w:val="00E7557A"/>
    <w:rsid w:val="00E779FA"/>
    <w:rsid w:val="00E8096D"/>
    <w:rsid w:val="00E82B7B"/>
    <w:rsid w:val="00E85AEF"/>
    <w:rsid w:val="00E906F0"/>
    <w:rsid w:val="00E923F6"/>
    <w:rsid w:val="00E96E7D"/>
    <w:rsid w:val="00EA165E"/>
    <w:rsid w:val="00EB5C3E"/>
    <w:rsid w:val="00EC1AB1"/>
    <w:rsid w:val="00EC3035"/>
    <w:rsid w:val="00EC5E3F"/>
    <w:rsid w:val="00EC6E5D"/>
    <w:rsid w:val="00EC78EB"/>
    <w:rsid w:val="00ED09EF"/>
    <w:rsid w:val="00EE2FC7"/>
    <w:rsid w:val="00EE3F31"/>
    <w:rsid w:val="00EF1F00"/>
    <w:rsid w:val="00EF68A4"/>
    <w:rsid w:val="00EF78B4"/>
    <w:rsid w:val="00F0099D"/>
    <w:rsid w:val="00F0177B"/>
    <w:rsid w:val="00F030EE"/>
    <w:rsid w:val="00F04289"/>
    <w:rsid w:val="00F04F79"/>
    <w:rsid w:val="00F13D8C"/>
    <w:rsid w:val="00F16DB2"/>
    <w:rsid w:val="00F21B9B"/>
    <w:rsid w:val="00F22799"/>
    <w:rsid w:val="00F250BE"/>
    <w:rsid w:val="00F27566"/>
    <w:rsid w:val="00F30091"/>
    <w:rsid w:val="00F302E1"/>
    <w:rsid w:val="00F30A01"/>
    <w:rsid w:val="00F3322D"/>
    <w:rsid w:val="00F3486C"/>
    <w:rsid w:val="00F3631D"/>
    <w:rsid w:val="00F3658C"/>
    <w:rsid w:val="00F37E20"/>
    <w:rsid w:val="00F4636A"/>
    <w:rsid w:val="00F47449"/>
    <w:rsid w:val="00F502E1"/>
    <w:rsid w:val="00F5267B"/>
    <w:rsid w:val="00F55F31"/>
    <w:rsid w:val="00F57331"/>
    <w:rsid w:val="00F62341"/>
    <w:rsid w:val="00F6695B"/>
    <w:rsid w:val="00F67D9D"/>
    <w:rsid w:val="00F706F0"/>
    <w:rsid w:val="00F70D58"/>
    <w:rsid w:val="00F7233B"/>
    <w:rsid w:val="00F74338"/>
    <w:rsid w:val="00F80D74"/>
    <w:rsid w:val="00F82693"/>
    <w:rsid w:val="00F831EC"/>
    <w:rsid w:val="00F84744"/>
    <w:rsid w:val="00F864E0"/>
    <w:rsid w:val="00F94F06"/>
    <w:rsid w:val="00F9791E"/>
    <w:rsid w:val="00FA1EE4"/>
    <w:rsid w:val="00FA51C4"/>
    <w:rsid w:val="00FB2577"/>
    <w:rsid w:val="00FB3F71"/>
    <w:rsid w:val="00FB42BC"/>
    <w:rsid w:val="00FC2F24"/>
    <w:rsid w:val="00FC3CEC"/>
    <w:rsid w:val="00FC471D"/>
    <w:rsid w:val="00FD0979"/>
    <w:rsid w:val="00FD54AB"/>
    <w:rsid w:val="00FD58EE"/>
    <w:rsid w:val="00FD5D4A"/>
    <w:rsid w:val="00FD6C62"/>
    <w:rsid w:val="00FD7C34"/>
    <w:rsid w:val="00FE1B23"/>
    <w:rsid w:val="00FF0CA1"/>
    <w:rsid w:val="00FF1B89"/>
    <w:rsid w:val="00FF534E"/>
    <w:rsid w:val="01874BE6"/>
    <w:rsid w:val="01BB1397"/>
    <w:rsid w:val="02023EDC"/>
    <w:rsid w:val="02D53F21"/>
    <w:rsid w:val="038F7AF0"/>
    <w:rsid w:val="03E105C4"/>
    <w:rsid w:val="03F92116"/>
    <w:rsid w:val="0463473A"/>
    <w:rsid w:val="046A48F9"/>
    <w:rsid w:val="048A6FE8"/>
    <w:rsid w:val="04EA1992"/>
    <w:rsid w:val="04F56653"/>
    <w:rsid w:val="05286EBB"/>
    <w:rsid w:val="056952CE"/>
    <w:rsid w:val="05F2599E"/>
    <w:rsid w:val="06355C60"/>
    <w:rsid w:val="06364E83"/>
    <w:rsid w:val="072C75F5"/>
    <w:rsid w:val="0763463F"/>
    <w:rsid w:val="07962567"/>
    <w:rsid w:val="07AA7513"/>
    <w:rsid w:val="07CE0EB7"/>
    <w:rsid w:val="07EE2A9A"/>
    <w:rsid w:val="080D04DB"/>
    <w:rsid w:val="082B448E"/>
    <w:rsid w:val="085B4B27"/>
    <w:rsid w:val="087B6E83"/>
    <w:rsid w:val="08AD2AA4"/>
    <w:rsid w:val="08CC61D0"/>
    <w:rsid w:val="09622CCB"/>
    <w:rsid w:val="097F46F2"/>
    <w:rsid w:val="0A4B05AC"/>
    <w:rsid w:val="0B812795"/>
    <w:rsid w:val="0BD97707"/>
    <w:rsid w:val="0C3E587E"/>
    <w:rsid w:val="0D62798C"/>
    <w:rsid w:val="0D8843E5"/>
    <w:rsid w:val="0DC504CD"/>
    <w:rsid w:val="0DFD4E61"/>
    <w:rsid w:val="0E24718C"/>
    <w:rsid w:val="0F0F07EA"/>
    <w:rsid w:val="0FB52756"/>
    <w:rsid w:val="101C6459"/>
    <w:rsid w:val="10895C6F"/>
    <w:rsid w:val="11604F49"/>
    <w:rsid w:val="11A17D5A"/>
    <w:rsid w:val="11EB02EA"/>
    <w:rsid w:val="12730EF0"/>
    <w:rsid w:val="12CB46C5"/>
    <w:rsid w:val="130C6D65"/>
    <w:rsid w:val="131E4369"/>
    <w:rsid w:val="14404ADC"/>
    <w:rsid w:val="14915890"/>
    <w:rsid w:val="15020B67"/>
    <w:rsid w:val="152A27D3"/>
    <w:rsid w:val="153A5A68"/>
    <w:rsid w:val="157F7CFC"/>
    <w:rsid w:val="15DF2024"/>
    <w:rsid w:val="160626DE"/>
    <w:rsid w:val="16AB7710"/>
    <w:rsid w:val="17205816"/>
    <w:rsid w:val="17375565"/>
    <w:rsid w:val="1795423F"/>
    <w:rsid w:val="17C64EAF"/>
    <w:rsid w:val="17FD53CC"/>
    <w:rsid w:val="18F43949"/>
    <w:rsid w:val="1921679F"/>
    <w:rsid w:val="192F4B60"/>
    <w:rsid w:val="1AF84275"/>
    <w:rsid w:val="1B01595F"/>
    <w:rsid w:val="1B373CD4"/>
    <w:rsid w:val="1B544E6C"/>
    <w:rsid w:val="1B772CF6"/>
    <w:rsid w:val="1C177DA6"/>
    <w:rsid w:val="1C2E40CE"/>
    <w:rsid w:val="1CA35D90"/>
    <w:rsid w:val="1CA36907"/>
    <w:rsid w:val="1CD67154"/>
    <w:rsid w:val="1CFE3BF6"/>
    <w:rsid w:val="1D010B61"/>
    <w:rsid w:val="1D102663"/>
    <w:rsid w:val="1D611B49"/>
    <w:rsid w:val="1D6C4972"/>
    <w:rsid w:val="1D9A2E1C"/>
    <w:rsid w:val="1DF17D71"/>
    <w:rsid w:val="1E2760A6"/>
    <w:rsid w:val="1E2E6903"/>
    <w:rsid w:val="1E2F6F71"/>
    <w:rsid w:val="1EC44EFA"/>
    <w:rsid w:val="1ED84465"/>
    <w:rsid w:val="1F9E1F35"/>
    <w:rsid w:val="1FCD41A4"/>
    <w:rsid w:val="1FE45DB3"/>
    <w:rsid w:val="20776C57"/>
    <w:rsid w:val="207D1F9C"/>
    <w:rsid w:val="209C576F"/>
    <w:rsid w:val="20D04375"/>
    <w:rsid w:val="2170696D"/>
    <w:rsid w:val="21912A45"/>
    <w:rsid w:val="21B975DE"/>
    <w:rsid w:val="23101470"/>
    <w:rsid w:val="232320A0"/>
    <w:rsid w:val="234D3993"/>
    <w:rsid w:val="2365283E"/>
    <w:rsid w:val="23675A6F"/>
    <w:rsid w:val="24215DBC"/>
    <w:rsid w:val="244E7ABB"/>
    <w:rsid w:val="24D165AA"/>
    <w:rsid w:val="2512374C"/>
    <w:rsid w:val="25AE7341"/>
    <w:rsid w:val="262604F0"/>
    <w:rsid w:val="266B5568"/>
    <w:rsid w:val="26820413"/>
    <w:rsid w:val="26DF4452"/>
    <w:rsid w:val="26FE982A"/>
    <w:rsid w:val="27612E78"/>
    <w:rsid w:val="27870584"/>
    <w:rsid w:val="27D26F99"/>
    <w:rsid w:val="28386C65"/>
    <w:rsid w:val="292A31D5"/>
    <w:rsid w:val="293E4EF7"/>
    <w:rsid w:val="295D355D"/>
    <w:rsid w:val="29E20B7C"/>
    <w:rsid w:val="2A3139F3"/>
    <w:rsid w:val="2ADD2E8F"/>
    <w:rsid w:val="2B7F8E6A"/>
    <w:rsid w:val="2BC6415F"/>
    <w:rsid w:val="2C3E2362"/>
    <w:rsid w:val="2C935A6A"/>
    <w:rsid w:val="2C9D2D5D"/>
    <w:rsid w:val="2CAC4723"/>
    <w:rsid w:val="2D3B33BE"/>
    <w:rsid w:val="2D7A1BB4"/>
    <w:rsid w:val="2D8E709E"/>
    <w:rsid w:val="2ECE598E"/>
    <w:rsid w:val="2F324668"/>
    <w:rsid w:val="2F5215E6"/>
    <w:rsid w:val="2FA796C8"/>
    <w:rsid w:val="2FAE2969"/>
    <w:rsid w:val="2FF65212"/>
    <w:rsid w:val="300B75A7"/>
    <w:rsid w:val="301B1F1E"/>
    <w:rsid w:val="302358CA"/>
    <w:rsid w:val="309703E1"/>
    <w:rsid w:val="309E4C96"/>
    <w:rsid w:val="313F2BA9"/>
    <w:rsid w:val="31544B9E"/>
    <w:rsid w:val="31571E88"/>
    <w:rsid w:val="317B445F"/>
    <w:rsid w:val="31947E5B"/>
    <w:rsid w:val="3248490F"/>
    <w:rsid w:val="3376582F"/>
    <w:rsid w:val="34321AFA"/>
    <w:rsid w:val="3444278E"/>
    <w:rsid w:val="34B774D7"/>
    <w:rsid w:val="34F60E43"/>
    <w:rsid w:val="350D567C"/>
    <w:rsid w:val="351D7238"/>
    <w:rsid w:val="35290FC6"/>
    <w:rsid w:val="35354BE6"/>
    <w:rsid w:val="3536604E"/>
    <w:rsid w:val="35372B0A"/>
    <w:rsid w:val="354D36B1"/>
    <w:rsid w:val="355B4D81"/>
    <w:rsid w:val="36A93E33"/>
    <w:rsid w:val="37F83DCD"/>
    <w:rsid w:val="37FB6FCF"/>
    <w:rsid w:val="387A0CFC"/>
    <w:rsid w:val="38B046CE"/>
    <w:rsid w:val="39604705"/>
    <w:rsid w:val="39E76CB8"/>
    <w:rsid w:val="3A0F2063"/>
    <w:rsid w:val="3A834EC4"/>
    <w:rsid w:val="3B581A1C"/>
    <w:rsid w:val="3C2D1F27"/>
    <w:rsid w:val="3C2F73BC"/>
    <w:rsid w:val="3CC022ED"/>
    <w:rsid w:val="3CE86168"/>
    <w:rsid w:val="3D5505FC"/>
    <w:rsid w:val="3DA859A1"/>
    <w:rsid w:val="3DB15248"/>
    <w:rsid w:val="3E09684D"/>
    <w:rsid w:val="3E284EAE"/>
    <w:rsid w:val="3E766F3C"/>
    <w:rsid w:val="3E775614"/>
    <w:rsid w:val="3F55F7ED"/>
    <w:rsid w:val="3F71752E"/>
    <w:rsid w:val="3FDBFE23"/>
    <w:rsid w:val="3FF36EB8"/>
    <w:rsid w:val="3FF56132"/>
    <w:rsid w:val="40D53D38"/>
    <w:rsid w:val="40E8544E"/>
    <w:rsid w:val="419F3E16"/>
    <w:rsid w:val="41E15F51"/>
    <w:rsid w:val="42077FE5"/>
    <w:rsid w:val="422F4ADB"/>
    <w:rsid w:val="42A0677A"/>
    <w:rsid w:val="42C5603E"/>
    <w:rsid w:val="42F33D6B"/>
    <w:rsid w:val="437A39A0"/>
    <w:rsid w:val="439F9DA4"/>
    <w:rsid w:val="43DF1C0E"/>
    <w:rsid w:val="447A2AAF"/>
    <w:rsid w:val="44A7659F"/>
    <w:rsid w:val="44D17974"/>
    <w:rsid w:val="459549D2"/>
    <w:rsid w:val="459B38C0"/>
    <w:rsid w:val="45FD0213"/>
    <w:rsid w:val="46630152"/>
    <w:rsid w:val="4785310A"/>
    <w:rsid w:val="47D62C18"/>
    <w:rsid w:val="48335CCD"/>
    <w:rsid w:val="484B0833"/>
    <w:rsid w:val="487F0908"/>
    <w:rsid w:val="49626F79"/>
    <w:rsid w:val="496374EC"/>
    <w:rsid w:val="496F0C07"/>
    <w:rsid w:val="497238CE"/>
    <w:rsid w:val="498B796F"/>
    <w:rsid w:val="49E82CFC"/>
    <w:rsid w:val="49F7475D"/>
    <w:rsid w:val="4A923D6C"/>
    <w:rsid w:val="4B0F7E83"/>
    <w:rsid w:val="4B2005A0"/>
    <w:rsid w:val="4B3B1B30"/>
    <w:rsid w:val="4B5F37DC"/>
    <w:rsid w:val="4B813606"/>
    <w:rsid w:val="4B931825"/>
    <w:rsid w:val="4BA86C3E"/>
    <w:rsid w:val="4C472871"/>
    <w:rsid w:val="4CEE506D"/>
    <w:rsid w:val="4D3873B4"/>
    <w:rsid w:val="4DEC66B5"/>
    <w:rsid w:val="4DFA553B"/>
    <w:rsid w:val="4E260D56"/>
    <w:rsid w:val="4EAB1BB7"/>
    <w:rsid w:val="4F5F242A"/>
    <w:rsid w:val="4F9D16AB"/>
    <w:rsid w:val="4FB64D32"/>
    <w:rsid w:val="4FBE306A"/>
    <w:rsid w:val="501E5C6E"/>
    <w:rsid w:val="5098082B"/>
    <w:rsid w:val="50C24557"/>
    <w:rsid w:val="5135261C"/>
    <w:rsid w:val="516915E2"/>
    <w:rsid w:val="51BE1E1B"/>
    <w:rsid w:val="51FA55D4"/>
    <w:rsid w:val="52A25951"/>
    <w:rsid w:val="52D216D8"/>
    <w:rsid w:val="532B08BE"/>
    <w:rsid w:val="53FAD3FD"/>
    <w:rsid w:val="550675CE"/>
    <w:rsid w:val="55597118"/>
    <w:rsid w:val="562C28B6"/>
    <w:rsid w:val="56564C2B"/>
    <w:rsid w:val="573274C2"/>
    <w:rsid w:val="57883C5E"/>
    <w:rsid w:val="57E44287"/>
    <w:rsid w:val="57ED328E"/>
    <w:rsid w:val="587A5173"/>
    <w:rsid w:val="58E90C48"/>
    <w:rsid w:val="58FC081B"/>
    <w:rsid w:val="59325CE8"/>
    <w:rsid w:val="59B12D0F"/>
    <w:rsid w:val="59E36E72"/>
    <w:rsid w:val="5A2A41D3"/>
    <w:rsid w:val="5A6B1555"/>
    <w:rsid w:val="5B04661B"/>
    <w:rsid w:val="5B5B040D"/>
    <w:rsid w:val="5C320184"/>
    <w:rsid w:val="5C3B3CEE"/>
    <w:rsid w:val="5C913F02"/>
    <w:rsid w:val="5D174C2E"/>
    <w:rsid w:val="5D444EB4"/>
    <w:rsid w:val="5F4623C7"/>
    <w:rsid w:val="5FBF74BF"/>
    <w:rsid w:val="5FE852B0"/>
    <w:rsid w:val="5FFF1CE6"/>
    <w:rsid w:val="616323A8"/>
    <w:rsid w:val="62CF1E34"/>
    <w:rsid w:val="63130ED4"/>
    <w:rsid w:val="633317D2"/>
    <w:rsid w:val="63B60F24"/>
    <w:rsid w:val="63E73156"/>
    <w:rsid w:val="63F57D16"/>
    <w:rsid w:val="63F727C2"/>
    <w:rsid w:val="63F84BF1"/>
    <w:rsid w:val="644F3235"/>
    <w:rsid w:val="646F306D"/>
    <w:rsid w:val="6495791C"/>
    <w:rsid w:val="64F75132"/>
    <w:rsid w:val="65B305FE"/>
    <w:rsid w:val="65F34190"/>
    <w:rsid w:val="6634292C"/>
    <w:rsid w:val="663719C3"/>
    <w:rsid w:val="66587E44"/>
    <w:rsid w:val="6734405A"/>
    <w:rsid w:val="67695572"/>
    <w:rsid w:val="67C902DA"/>
    <w:rsid w:val="695A7F0C"/>
    <w:rsid w:val="6983218C"/>
    <w:rsid w:val="698414F1"/>
    <w:rsid w:val="69C853A1"/>
    <w:rsid w:val="6A997A8A"/>
    <w:rsid w:val="6B657052"/>
    <w:rsid w:val="6B6E536C"/>
    <w:rsid w:val="6BC04013"/>
    <w:rsid w:val="6BE17D7B"/>
    <w:rsid w:val="6C19156A"/>
    <w:rsid w:val="6C403BC7"/>
    <w:rsid w:val="6C7421EB"/>
    <w:rsid w:val="6D7F4ACD"/>
    <w:rsid w:val="6E45129E"/>
    <w:rsid w:val="6E617BA5"/>
    <w:rsid w:val="6E6C13F5"/>
    <w:rsid w:val="6F293178"/>
    <w:rsid w:val="6F8E5DD9"/>
    <w:rsid w:val="6FB12EBB"/>
    <w:rsid w:val="6FB8475B"/>
    <w:rsid w:val="6FC5543F"/>
    <w:rsid w:val="700D5BB4"/>
    <w:rsid w:val="70A8196C"/>
    <w:rsid w:val="70E923BD"/>
    <w:rsid w:val="71760F94"/>
    <w:rsid w:val="71BE0FC7"/>
    <w:rsid w:val="725C4A6A"/>
    <w:rsid w:val="72B82FB0"/>
    <w:rsid w:val="72DC4906"/>
    <w:rsid w:val="72F945D5"/>
    <w:rsid w:val="730271D5"/>
    <w:rsid w:val="73A66C70"/>
    <w:rsid w:val="73C838F6"/>
    <w:rsid w:val="741D07F8"/>
    <w:rsid w:val="746D1635"/>
    <w:rsid w:val="7480676E"/>
    <w:rsid w:val="74A16527"/>
    <w:rsid w:val="750D49EA"/>
    <w:rsid w:val="754F24E4"/>
    <w:rsid w:val="7565502E"/>
    <w:rsid w:val="75BD7D26"/>
    <w:rsid w:val="75CD0334"/>
    <w:rsid w:val="76207FD0"/>
    <w:rsid w:val="767D8544"/>
    <w:rsid w:val="76981551"/>
    <w:rsid w:val="76EC1C8F"/>
    <w:rsid w:val="775FE8A7"/>
    <w:rsid w:val="77CE64A0"/>
    <w:rsid w:val="782B0DA5"/>
    <w:rsid w:val="78340DCE"/>
    <w:rsid w:val="786F7443"/>
    <w:rsid w:val="79675BA5"/>
    <w:rsid w:val="79894B98"/>
    <w:rsid w:val="79A258A6"/>
    <w:rsid w:val="79B6743A"/>
    <w:rsid w:val="79C96C54"/>
    <w:rsid w:val="7A0E027C"/>
    <w:rsid w:val="7A1A3167"/>
    <w:rsid w:val="7A3A0C33"/>
    <w:rsid w:val="7A922DD1"/>
    <w:rsid w:val="7ADE5E21"/>
    <w:rsid w:val="7B970D81"/>
    <w:rsid w:val="7C330CCC"/>
    <w:rsid w:val="7CB644AD"/>
    <w:rsid w:val="7CFBDD19"/>
    <w:rsid w:val="7D096B93"/>
    <w:rsid w:val="7D317058"/>
    <w:rsid w:val="7DAD43F7"/>
    <w:rsid w:val="7DF35B84"/>
    <w:rsid w:val="7E3B4978"/>
    <w:rsid w:val="7EAE97D9"/>
    <w:rsid w:val="7F6F42D5"/>
    <w:rsid w:val="7FEFBF24"/>
    <w:rsid w:val="7FF544FF"/>
    <w:rsid w:val="7FF77AD2"/>
    <w:rsid w:val="AE4FBFFD"/>
    <w:rsid w:val="B77B71D6"/>
    <w:rsid w:val="BF77C965"/>
    <w:rsid w:val="D8AD41C2"/>
    <w:rsid w:val="E7B56337"/>
    <w:rsid w:val="E7FE9806"/>
    <w:rsid w:val="F4FFAD74"/>
    <w:rsid w:val="F5EB6E6B"/>
    <w:rsid w:val="FBF6DE23"/>
    <w:rsid w:val="FDB9ECEE"/>
    <w:rsid w:val="FF3FE262"/>
    <w:rsid w:val="FFFB0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50" w:beforeLines="50" w:after="50" w:afterLines="50" w:line="360" w:lineRule="auto"/>
      <w:outlineLvl w:val="1"/>
    </w:pPr>
    <w:rPr>
      <w:rFonts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6">
    <w:name w:val="Balloon Text"/>
    <w:basedOn w:val="1"/>
    <w:link w:val="23"/>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Emphasis"/>
    <w:basedOn w:val="13"/>
    <w:qFormat/>
    <w:uiPriority w:val="0"/>
    <w:rPr>
      <w:i/>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character" w:customStyle="1" w:styleId="17">
    <w:name w:val="标题 1 字符"/>
    <w:basedOn w:val="13"/>
    <w:link w:val="2"/>
    <w:qFormat/>
    <w:uiPriority w:val="0"/>
    <w:rPr>
      <w:b/>
      <w:bCs/>
      <w:kern w:val="44"/>
      <w:sz w:val="44"/>
      <w:szCs w:val="44"/>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页脚 字符"/>
    <w:basedOn w:val="13"/>
    <w:link w:val="7"/>
    <w:qFormat/>
    <w:uiPriority w:val="99"/>
    <w:rPr>
      <w:kern w:val="2"/>
      <w:sz w:val="18"/>
      <w:szCs w:val="18"/>
    </w:rPr>
  </w:style>
  <w:style w:type="paragraph" w:customStyle="1" w:styleId="22">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23">
    <w:name w:val="批注框文本 字符"/>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2045</Words>
  <Characters>11658</Characters>
  <Lines>97</Lines>
  <Paragraphs>27</Paragraphs>
  <TotalTime>4</TotalTime>
  <ScaleCrop>false</ScaleCrop>
  <LinksUpToDate>false</LinksUpToDate>
  <CharactersWithSpaces>13676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2021-03-03T10:09:00Z</dcterms:created>
  <dc:creator>lenovo</dc:creator>
  <cp:lastModifiedBy>雪可</cp:lastModifiedBy>
  <cp:lastPrinted>2021-05-14T14:40:00Z</cp:lastPrinted>
  <dcterms:modified xsi:type="dcterms:W3CDTF">2022-03-08T07:15:55Z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057F2D8836544917B3FFE4E9943E7962</vt:lpwstr>
  </property>
</Properties>
</file>