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方正小标宋简体" w:eastAsia="方正小标宋简体"/>
          <w:sz w:val="44"/>
          <w:szCs w:val="44"/>
        </w:rPr>
      </w:pPr>
      <w:r>
        <w:rPr>
          <w:rFonts w:hint="eastAsia" w:ascii="方正小标宋简体" w:eastAsia="方正小标宋简体"/>
          <w:sz w:val="44"/>
          <w:szCs w:val="44"/>
        </w:rPr>
        <w:tab/>
      </w:r>
      <w:r>
        <w:rPr>
          <w:rFonts w:hint="eastAsia" w:ascii="方正小标宋简体" w:eastAsia="方正小标宋简体"/>
          <w:sz w:val="44"/>
          <w:szCs w:val="44"/>
        </w:rPr>
        <w:tab/>
      </w:r>
      <w:r>
        <w:rPr>
          <w:rFonts w:hint="eastAsia" w:ascii="方正小标宋简体" w:eastAsia="方正小标宋简体"/>
          <w:sz w:val="44"/>
          <w:szCs w:val="44"/>
        </w:rPr>
        <w:tab/>
      </w:r>
      <w:r>
        <w:rPr>
          <w:rFonts w:hint="eastAsia" w:ascii="方正小标宋简体" w:eastAsia="方正小标宋简体"/>
          <w:sz w:val="44"/>
          <w:szCs w:val="44"/>
        </w:rPr>
        <w:tab/>
      </w:r>
      <w:r>
        <w:rPr>
          <w:rFonts w:hint="eastAsia" w:ascii="方正小标宋简体" w:eastAsia="方正小标宋简体"/>
          <w:sz w:val="44"/>
          <w:szCs w:val="44"/>
        </w:rPr>
        <w:tab/>
      </w:r>
      <w:r>
        <w:rPr>
          <w:rFonts w:hint="eastAsia" w:ascii="方正小标宋简体" w:eastAsia="方正小标宋简体"/>
          <w:sz w:val="44"/>
          <w:szCs w:val="44"/>
        </w:rPr>
        <w:tab/>
      </w:r>
      <w:r>
        <w:rPr>
          <w:rFonts w:hint="eastAsia" w:ascii="方正小标宋简体" w:eastAsia="方正小标宋简体"/>
          <w:sz w:val="44"/>
          <w:szCs w:val="44"/>
        </w:rPr>
        <w:tab/>
      </w:r>
      <w:r>
        <w:rPr>
          <w:rFonts w:hint="eastAsia" w:ascii="方正小标宋简体" w:eastAsia="方正小标宋简体"/>
          <w:sz w:val="44"/>
          <w:szCs w:val="44"/>
        </w:rPr>
        <w:tab/>
      </w:r>
    </w:p>
    <w:p>
      <w:pPr>
        <w:spacing w:line="240" w:lineRule="auto"/>
        <w:ind w:firstLine="0" w:firstLineChars="0"/>
        <w:jc w:val="center"/>
        <w:rPr>
          <w:rFonts w:ascii="方正小标宋简体" w:eastAsia="方正小标宋简体"/>
          <w:sz w:val="84"/>
          <w:szCs w:val="84"/>
        </w:rPr>
      </w:pPr>
      <w:r>
        <w:rPr>
          <w:rFonts w:hint="eastAsia" w:ascii="方正小标宋简体" w:eastAsia="方正小标宋简体"/>
          <w:sz w:val="84"/>
          <w:szCs w:val="84"/>
        </w:rPr>
        <w:t>天津市南开区生态环境准入清单</w:t>
      </w:r>
    </w:p>
    <w:p>
      <w:pPr>
        <w:spacing w:line="240" w:lineRule="auto"/>
        <w:ind w:firstLine="0" w:firstLineChars="0"/>
        <w:jc w:val="center"/>
        <w:rPr>
          <w:rFonts w:ascii="方正小标宋简体" w:eastAsia="方正小标宋简体"/>
          <w:sz w:val="84"/>
          <w:szCs w:val="84"/>
        </w:rPr>
      </w:pPr>
    </w:p>
    <w:p>
      <w:pPr>
        <w:spacing w:line="240" w:lineRule="auto"/>
        <w:ind w:firstLine="0" w:firstLineChars="0"/>
        <w:jc w:val="center"/>
        <w:rPr>
          <w:rFonts w:ascii="方正小标宋简体" w:eastAsia="方正小标宋简体"/>
          <w:sz w:val="84"/>
          <w:szCs w:val="84"/>
        </w:rPr>
      </w:pPr>
    </w:p>
    <w:p>
      <w:pPr>
        <w:spacing w:line="240" w:lineRule="auto"/>
        <w:ind w:firstLine="0" w:firstLineChars="0"/>
        <w:jc w:val="center"/>
        <w:rPr>
          <w:rFonts w:ascii="方正小标宋简体" w:eastAsia="方正小标宋简体"/>
          <w:sz w:val="84"/>
          <w:szCs w:val="84"/>
        </w:rPr>
      </w:pPr>
    </w:p>
    <w:p>
      <w:pPr>
        <w:spacing w:line="240" w:lineRule="auto"/>
        <w:ind w:firstLine="0" w:firstLineChars="0"/>
        <w:jc w:val="center"/>
        <w:rPr>
          <w:rFonts w:ascii="方正小标宋简体" w:eastAsia="方正小标宋简体"/>
          <w:sz w:val="52"/>
          <w:szCs w:val="52"/>
        </w:rPr>
      </w:pPr>
      <w:r>
        <w:rPr>
          <w:rFonts w:hint="eastAsia" w:ascii="方正小标宋简体" w:eastAsia="方正小标宋简体"/>
          <w:sz w:val="52"/>
          <w:szCs w:val="52"/>
        </w:rPr>
        <w:t>南开区生态环境局</w:t>
      </w:r>
    </w:p>
    <w:p>
      <w:pPr>
        <w:spacing w:line="240" w:lineRule="auto"/>
        <w:ind w:firstLine="0" w:firstLineChars="0"/>
        <w:jc w:val="center"/>
        <w:rPr>
          <w:rFonts w:ascii="方正小标宋简体" w:eastAsia="方正小标宋简体"/>
          <w:sz w:val="52"/>
          <w:szCs w:val="52"/>
        </w:rPr>
      </w:pPr>
      <w:r>
        <w:rPr>
          <w:rFonts w:hint="eastAsia" w:ascii="方正小标宋简体" w:eastAsia="方正小标宋简体"/>
          <w:sz w:val="52"/>
          <w:szCs w:val="52"/>
        </w:rPr>
        <w:t>2024年11月</w:t>
      </w:r>
    </w:p>
    <w:p>
      <w:pPr>
        <w:ind w:firstLine="0" w:firstLineChars="0"/>
        <w:jc w:val="center"/>
        <w:rPr>
          <w:rFonts w:ascii="方正小标宋简体" w:eastAsia="方正小标宋简体"/>
          <w:sz w:val="44"/>
          <w:szCs w:val="44"/>
        </w:rPr>
      </w:pPr>
    </w:p>
    <w:p>
      <w:pPr>
        <w:ind w:firstLine="0" w:firstLineChars="0"/>
        <w:jc w:val="center"/>
        <w:rPr>
          <w:rFonts w:ascii="方正小标宋简体" w:eastAsia="方正小标宋简体"/>
          <w:sz w:val="44"/>
          <w:szCs w:val="44"/>
        </w:rPr>
      </w:pPr>
    </w:p>
    <w:p>
      <w:pPr>
        <w:ind w:firstLine="0" w:firstLineChars="0"/>
        <w:jc w:val="center"/>
        <w:rPr>
          <w:rFonts w:ascii="方正小标宋简体" w:eastAsia="方正小标宋简体"/>
          <w:sz w:val="44"/>
          <w:szCs w:val="44"/>
        </w:rPr>
      </w:pPr>
    </w:p>
    <w:sdt>
      <w:sdtPr>
        <w:rPr>
          <w:rFonts w:hint="eastAsia" w:ascii="黑体" w:hAnsi="黑体" w:eastAsia="黑体" w:cs="黑体"/>
          <w:sz w:val="48"/>
          <w:szCs w:val="48"/>
        </w:rPr>
        <w:id w:val="804113612"/>
        <w:docPartObj>
          <w:docPartGallery w:val="Table of Contents"/>
          <w:docPartUnique/>
        </w:docPartObj>
      </w:sdtPr>
      <w:sdtEndPr>
        <w:rPr>
          <w:rFonts w:hint="eastAsia" w:asciiTheme="minorHAnsi" w:hAnsiTheme="minorHAnsi" w:eastAsiaTheme="minorEastAsia" w:cstheme="minorBidi"/>
          <w:sz w:val="20"/>
          <w:szCs w:val="20"/>
        </w:rPr>
      </w:sdtEndPr>
      <w:sdtContent>
        <w:p>
          <w:pPr>
            <w:spacing w:line="240" w:lineRule="auto"/>
            <w:ind w:firstLine="0" w:firstLineChars="0"/>
            <w:jc w:val="center"/>
            <w:rPr>
              <w:sz w:val="48"/>
              <w:szCs w:val="48"/>
            </w:rPr>
          </w:pPr>
          <w:r>
            <w:rPr>
              <w:rFonts w:ascii="宋体" w:hAnsi="宋体" w:eastAsia="宋体"/>
              <w:sz w:val="48"/>
              <w:szCs w:val="48"/>
            </w:rPr>
            <w:t>目录</w:t>
          </w:r>
        </w:p>
        <w:p>
          <w:pPr>
            <w:pStyle w:val="25"/>
            <w:tabs>
              <w:tab w:val="right" w:leader="dot" w:pos="13958"/>
            </w:tabs>
            <w:rPr>
              <w:rFonts w:hint="eastAsia"/>
            </w:rPr>
          </w:pPr>
          <w:r>
            <w:fldChar w:fldCharType="begin"/>
          </w:r>
          <w:r>
            <w:instrText xml:space="preserve">TOC \o "1-3" \h \u </w:instrText>
          </w:r>
          <w:r>
            <w:fldChar w:fldCharType="separate"/>
          </w:r>
        </w:p>
        <w:p>
          <w:pPr>
            <w:pStyle w:val="8"/>
            <w:tabs>
              <w:tab w:val="right" w:leader="dot" w:pos="13958"/>
            </w:tabs>
            <w:ind w:firstLine="720"/>
            <w:rPr>
              <w:sz w:val="36"/>
              <w:szCs w:val="36"/>
            </w:rPr>
          </w:pPr>
          <w:r>
            <w:fldChar w:fldCharType="begin"/>
          </w:r>
          <w:r>
            <w:instrText xml:space="preserve"> HYPERLINK \l "_Toc1946176489" </w:instrText>
          </w:r>
          <w:r>
            <w:fldChar w:fldCharType="separate"/>
          </w:r>
          <w:r>
            <w:rPr>
              <w:rFonts w:hint="eastAsia" w:ascii="方正小标宋简体" w:eastAsia="方正小标宋简体"/>
              <w:sz w:val="36"/>
              <w:szCs w:val="36"/>
            </w:rPr>
            <w:t>天津市生态环境准入清单南开区区级管控要求</w:t>
          </w:r>
          <w:r>
            <w:rPr>
              <w:sz w:val="36"/>
              <w:szCs w:val="36"/>
            </w:rPr>
            <w:tab/>
          </w:r>
          <w:r>
            <w:rPr>
              <w:sz w:val="36"/>
              <w:szCs w:val="36"/>
            </w:rPr>
            <w:fldChar w:fldCharType="begin"/>
          </w:r>
          <w:r>
            <w:rPr>
              <w:sz w:val="36"/>
              <w:szCs w:val="36"/>
            </w:rPr>
            <w:instrText xml:space="preserve"> PAGEREF _Toc1946176489 </w:instrText>
          </w:r>
          <w:r>
            <w:rPr>
              <w:sz w:val="36"/>
              <w:szCs w:val="36"/>
            </w:rPr>
            <w:fldChar w:fldCharType="separate"/>
          </w:r>
          <w:r>
            <w:rPr>
              <w:sz w:val="36"/>
              <w:szCs w:val="36"/>
            </w:rPr>
            <w:t>- 1 -</w:t>
          </w:r>
          <w:r>
            <w:rPr>
              <w:sz w:val="36"/>
              <w:szCs w:val="36"/>
            </w:rPr>
            <w:fldChar w:fldCharType="end"/>
          </w:r>
          <w:r>
            <w:rPr>
              <w:sz w:val="36"/>
              <w:szCs w:val="36"/>
            </w:rPr>
            <w:fldChar w:fldCharType="end"/>
          </w:r>
        </w:p>
        <w:p>
          <w:pPr>
            <w:pStyle w:val="8"/>
            <w:tabs>
              <w:tab w:val="right" w:leader="dot" w:pos="13958"/>
            </w:tabs>
            <w:ind w:firstLine="720"/>
            <w:rPr>
              <w:sz w:val="36"/>
              <w:szCs w:val="36"/>
            </w:rPr>
          </w:pPr>
          <w:r>
            <w:fldChar w:fldCharType="begin"/>
          </w:r>
          <w:r>
            <w:instrText xml:space="preserve"> HYPERLINK \l "_Toc1706261083" </w:instrText>
          </w:r>
          <w:r>
            <w:fldChar w:fldCharType="separate"/>
          </w:r>
          <w:r>
            <w:rPr>
              <w:rFonts w:hint="eastAsia" w:ascii="方正小标宋简体" w:eastAsia="方正小标宋简体"/>
              <w:sz w:val="36"/>
              <w:szCs w:val="36"/>
            </w:rPr>
            <w:t>天津市生态环境准入清单南开区单元管控要求</w:t>
          </w:r>
          <w:r>
            <w:rPr>
              <w:sz w:val="36"/>
              <w:szCs w:val="36"/>
            </w:rPr>
            <w:tab/>
          </w:r>
          <w:r>
            <w:rPr>
              <w:sz w:val="36"/>
              <w:szCs w:val="36"/>
            </w:rPr>
            <w:fldChar w:fldCharType="begin"/>
          </w:r>
          <w:r>
            <w:rPr>
              <w:sz w:val="36"/>
              <w:szCs w:val="36"/>
            </w:rPr>
            <w:instrText xml:space="preserve"> PAGEREF _Toc1706261083 </w:instrText>
          </w:r>
          <w:r>
            <w:rPr>
              <w:sz w:val="36"/>
              <w:szCs w:val="36"/>
            </w:rPr>
            <w:fldChar w:fldCharType="separate"/>
          </w:r>
          <w:r>
            <w:rPr>
              <w:sz w:val="36"/>
              <w:szCs w:val="36"/>
            </w:rPr>
            <w:t>- 8 -</w:t>
          </w:r>
          <w:r>
            <w:rPr>
              <w:sz w:val="36"/>
              <w:szCs w:val="36"/>
            </w:rPr>
            <w:fldChar w:fldCharType="end"/>
          </w:r>
          <w:r>
            <w:rPr>
              <w:sz w:val="36"/>
              <w:szCs w:val="36"/>
            </w:rPr>
            <w:fldChar w:fldCharType="end"/>
          </w:r>
        </w:p>
        <w:p>
          <w:pPr>
            <w:pStyle w:val="8"/>
            <w:tabs>
              <w:tab w:val="right" w:leader="dot" w:pos="13958"/>
            </w:tabs>
            <w:ind w:firstLine="720"/>
            <w:rPr>
              <w:sz w:val="36"/>
              <w:szCs w:val="36"/>
            </w:rPr>
          </w:pPr>
          <w:r>
            <w:fldChar w:fldCharType="begin"/>
          </w:r>
          <w:r>
            <w:instrText xml:space="preserve"> HYPERLINK \l "_Toc1818882120" </w:instrText>
          </w:r>
          <w:r>
            <w:fldChar w:fldCharType="separate"/>
          </w:r>
          <w:r>
            <w:rPr>
              <w:rFonts w:ascii="仿宋" w:hAnsi="仿宋"/>
              <w:bCs/>
              <w:sz w:val="36"/>
              <w:szCs w:val="36"/>
            </w:rPr>
            <w:t>1</w:t>
          </w:r>
          <w:r>
            <w:rPr>
              <w:rFonts w:hint="eastAsia" w:ascii="仿宋" w:hAnsi="仿宋"/>
              <w:bCs/>
              <w:sz w:val="36"/>
              <w:szCs w:val="36"/>
            </w:rPr>
            <w:t>、优先保护单元管控要求</w:t>
          </w:r>
          <w:r>
            <w:rPr>
              <w:sz w:val="36"/>
              <w:szCs w:val="36"/>
            </w:rPr>
            <w:tab/>
          </w:r>
          <w:r>
            <w:rPr>
              <w:sz w:val="36"/>
              <w:szCs w:val="36"/>
            </w:rPr>
            <w:fldChar w:fldCharType="begin"/>
          </w:r>
          <w:r>
            <w:rPr>
              <w:sz w:val="36"/>
              <w:szCs w:val="36"/>
            </w:rPr>
            <w:instrText xml:space="preserve"> PAGEREF _Toc1818882120 </w:instrText>
          </w:r>
          <w:r>
            <w:rPr>
              <w:sz w:val="36"/>
              <w:szCs w:val="36"/>
            </w:rPr>
            <w:fldChar w:fldCharType="separate"/>
          </w:r>
          <w:r>
            <w:rPr>
              <w:sz w:val="36"/>
              <w:szCs w:val="36"/>
            </w:rPr>
            <w:t>- 8 -</w:t>
          </w:r>
          <w:r>
            <w:rPr>
              <w:sz w:val="36"/>
              <w:szCs w:val="36"/>
            </w:rPr>
            <w:fldChar w:fldCharType="end"/>
          </w:r>
          <w:r>
            <w:rPr>
              <w:sz w:val="36"/>
              <w:szCs w:val="36"/>
            </w:rPr>
            <w:fldChar w:fldCharType="end"/>
          </w:r>
        </w:p>
        <w:p>
          <w:pPr>
            <w:pStyle w:val="8"/>
            <w:tabs>
              <w:tab w:val="right" w:leader="dot" w:pos="13958"/>
            </w:tabs>
            <w:ind w:firstLine="720"/>
            <w:rPr>
              <w:sz w:val="36"/>
              <w:szCs w:val="36"/>
            </w:rPr>
          </w:pPr>
          <w:r>
            <w:fldChar w:fldCharType="begin"/>
          </w:r>
          <w:r>
            <w:instrText xml:space="preserve"> HYPERLINK \l "_Toc118466284" </w:instrText>
          </w:r>
          <w:r>
            <w:fldChar w:fldCharType="separate"/>
          </w:r>
          <w:r>
            <w:rPr>
              <w:rFonts w:hint="eastAsia" w:ascii="仿宋" w:hAnsi="仿宋"/>
              <w:bCs/>
              <w:sz w:val="36"/>
              <w:szCs w:val="36"/>
            </w:rPr>
            <w:t>2、重点管控单元管控要求</w:t>
          </w:r>
          <w:r>
            <w:rPr>
              <w:sz w:val="36"/>
              <w:szCs w:val="36"/>
            </w:rPr>
            <w:tab/>
          </w:r>
          <w:r>
            <w:rPr>
              <w:sz w:val="36"/>
              <w:szCs w:val="36"/>
            </w:rPr>
            <w:fldChar w:fldCharType="begin"/>
          </w:r>
          <w:r>
            <w:rPr>
              <w:sz w:val="36"/>
              <w:szCs w:val="36"/>
            </w:rPr>
            <w:instrText xml:space="preserve"> PAGEREF _Toc118466284 </w:instrText>
          </w:r>
          <w:r>
            <w:rPr>
              <w:sz w:val="36"/>
              <w:szCs w:val="36"/>
            </w:rPr>
            <w:fldChar w:fldCharType="separate"/>
          </w:r>
          <w:r>
            <w:rPr>
              <w:sz w:val="36"/>
              <w:szCs w:val="36"/>
            </w:rPr>
            <w:t>- 11 -</w:t>
          </w:r>
          <w:r>
            <w:rPr>
              <w:sz w:val="36"/>
              <w:szCs w:val="36"/>
            </w:rPr>
            <w:fldChar w:fldCharType="end"/>
          </w:r>
          <w:r>
            <w:rPr>
              <w:sz w:val="36"/>
              <w:szCs w:val="36"/>
            </w:rPr>
            <w:fldChar w:fldCharType="end"/>
          </w:r>
        </w:p>
        <w:p>
          <w:pPr>
            <w:pStyle w:val="8"/>
            <w:tabs>
              <w:tab w:val="right" w:leader="dot" w:pos="13958"/>
            </w:tabs>
            <w:ind w:firstLine="560"/>
            <w:rPr>
              <w:rFonts w:hint="eastAsia" w:asciiTheme="minorHAnsi" w:hAnsiTheme="minorHAnsi" w:eastAsiaTheme="minorEastAsia" w:cstheme="minorBidi"/>
            </w:rPr>
          </w:pPr>
          <w:r>
            <w:rPr>
              <w:rFonts w:asciiTheme="minorHAnsi" w:hAnsiTheme="minorHAnsi" w:eastAsiaTheme="minorEastAsia" w:cstheme="minorBidi"/>
            </w:rPr>
            <w:fldChar w:fldCharType="end"/>
          </w:r>
        </w:p>
      </w:sdtContent>
    </w:sdt>
    <w:p>
      <w:pPr>
        <w:ind w:firstLine="560"/>
        <w:sectPr>
          <w:footerReference r:id="rId5" w:type="default"/>
          <w:pgSz w:w="16838" w:h="11906" w:orient="landscape"/>
          <w:pgMar w:top="1800" w:right="1440" w:bottom="1800" w:left="1440" w:header="851" w:footer="992" w:gutter="0"/>
          <w:pgNumType w:fmt="numberInDash"/>
          <w:cols w:space="425" w:num="1"/>
          <w:docGrid w:type="lines" w:linePitch="381" w:charSpace="0"/>
        </w:sectPr>
      </w:pPr>
    </w:p>
    <w:p>
      <w:pPr>
        <w:ind w:firstLine="0" w:firstLineChars="0"/>
        <w:jc w:val="center"/>
        <w:outlineLvl w:val="0"/>
        <w:rPr>
          <w:rFonts w:eastAsia="方正小标宋简体"/>
        </w:rPr>
      </w:pPr>
      <w:bookmarkStart w:id="0" w:name="_Toc1946176489"/>
      <w:r>
        <w:rPr>
          <w:rFonts w:hint="eastAsia" w:ascii="方正小标宋简体" w:eastAsia="方正小标宋简体"/>
          <w:sz w:val="44"/>
          <w:szCs w:val="44"/>
        </w:rPr>
        <w:t>天津市生态环境准入清单南开区区级管控要求</w:t>
      </w:r>
      <w:bookmarkEnd w:id="0"/>
    </w:p>
    <w:p>
      <w:pPr>
        <w:ind w:firstLine="560"/>
      </w:pPr>
    </w:p>
    <w:tbl>
      <w:tblPr>
        <w:tblStyle w:val="10"/>
        <w:tblW w:w="51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9795"/>
        <w:gridCol w:w="3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blHeader/>
          <w:jc w:val="center"/>
        </w:trPr>
        <w:tc>
          <w:tcPr>
            <w:tcW w:w="491" w:type="pct"/>
            <w:vAlign w:val="center"/>
          </w:tcPr>
          <w:p>
            <w:pPr>
              <w:pStyle w:val="17"/>
              <w:rPr>
                <w:rFonts w:eastAsia="仿宋_GB2312"/>
              </w:rPr>
            </w:pPr>
            <w:r>
              <w:rPr>
                <w:rFonts w:eastAsia="仿宋_GB2312"/>
              </w:rPr>
              <w:t>管控维度</w:t>
            </w:r>
          </w:p>
        </w:tc>
        <w:tc>
          <w:tcPr>
            <w:tcW w:w="3363" w:type="pct"/>
            <w:vAlign w:val="center"/>
          </w:tcPr>
          <w:p>
            <w:pPr>
              <w:pStyle w:val="17"/>
              <w:rPr>
                <w:rFonts w:eastAsia="仿宋_GB2312"/>
              </w:rPr>
            </w:pPr>
            <w:r>
              <w:rPr>
                <w:rFonts w:eastAsia="仿宋_GB2312"/>
              </w:rPr>
              <w:t>环境准入及管控要求</w:t>
            </w:r>
          </w:p>
        </w:tc>
        <w:tc>
          <w:tcPr>
            <w:tcW w:w="1145" w:type="pct"/>
            <w:vAlign w:val="center"/>
          </w:tcPr>
          <w:p>
            <w:pPr>
              <w:pStyle w:val="17"/>
              <w:rPr>
                <w:rFonts w:eastAsia="仿宋_GB2312"/>
              </w:rPr>
            </w:pPr>
            <w:r>
              <w:rPr>
                <w:rFonts w:eastAsia="仿宋_GB2312"/>
              </w:rPr>
              <w:t>文件依据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91" w:type="pct"/>
            <w:vMerge w:val="restart"/>
            <w:vAlign w:val="center"/>
          </w:tcPr>
          <w:p>
            <w:pPr>
              <w:pStyle w:val="17"/>
              <w:rPr>
                <w:rFonts w:eastAsia="仿宋_GB2312"/>
              </w:rPr>
            </w:pPr>
            <w:r>
              <w:rPr>
                <w:rFonts w:eastAsia="仿宋_GB2312"/>
              </w:rPr>
              <w:t>空间布局约束</w:t>
            </w:r>
          </w:p>
          <w:p>
            <w:pPr>
              <w:pStyle w:val="17"/>
              <w:rPr>
                <w:rFonts w:eastAsia="仿宋_GB2312"/>
              </w:rPr>
            </w:pPr>
          </w:p>
        </w:tc>
        <w:tc>
          <w:tcPr>
            <w:tcW w:w="3363" w:type="pct"/>
            <w:shd w:val="clear" w:color="auto" w:fill="auto"/>
          </w:tcPr>
          <w:p>
            <w:pPr>
              <w:widowControl/>
              <w:snapToGrid/>
              <w:spacing w:line="240" w:lineRule="auto"/>
              <w:ind w:firstLine="0" w:firstLineChars="0"/>
              <w:jc w:val="left"/>
              <w:rPr>
                <w:rFonts w:eastAsia="仿宋_GB2312"/>
              </w:rPr>
            </w:pPr>
            <w:r>
              <w:rPr>
                <w:rFonts w:hint="eastAsia" w:eastAsia="仿宋_GB2312"/>
              </w:rPr>
              <w:t>1</w:t>
            </w:r>
            <w:r>
              <w:rPr>
                <w:rFonts w:hint="default" w:eastAsia="仿宋_GB2312"/>
                <w:lang w:val="en"/>
              </w:rPr>
              <w:t>.</w:t>
            </w:r>
            <w:r>
              <w:rPr>
                <w:rFonts w:eastAsia="仿宋_GB2312"/>
              </w:rPr>
              <w:t>生态保护红线按照国家、天津市有关要求进行严格管控</w:t>
            </w:r>
            <w:r>
              <w:rPr>
                <w:rFonts w:hint="eastAsia" w:eastAsia="仿宋_GB2312"/>
              </w:rPr>
              <w:t>。</w:t>
            </w:r>
            <w:bookmarkStart w:id="1" w:name="_Hlk176968166"/>
            <w:r>
              <w:rPr>
                <w:rFonts w:hint="eastAsia" w:eastAsia="仿宋_GB2312"/>
              </w:rPr>
              <w:t>生态保护红线内，</w:t>
            </w:r>
            <w:bookmarkEnd w:id="1"/>
            <w:r>
              <w:rPr>
                <w:rFonts w:hint="eastAsia" w:eastAsia="仿宋_GB2312"/>
              </w:rPr>
              <w:t>自然保护地核心保护区原则上禁止人为活动；</w:t>
            </w:r>
            <w:bookmarkStart w:id="2" w:name="_Hlk176968147"/>
            <w:r>
              <w:rPr>
                <w:rFonts w:hint="eastAsia" w:eastAsia="仿宋_GB2312"/>
              </w:rPr>
              <w:t>自然保护地核心保护区外禁止开发性、生产性建设活动，</w:t>
            </w:r>
            <w:bookmarkEnd w:id="2"/>
            <w:r>
              <w:rPr>
                <w:rFonts w:hint="eastAsia" w:eastAsia="仿宋_GB2312"/>
              </w:rPr>
              <w:t>在符合法律法规的前提下，仅允许对生态功能不造成破坏的有限人为活动。生态保护红线内，自然保护区、风景名胜区、自然公园、饮用水水源保护区、一级河道等区域的保护和管理措施，依照相关法律法规执行。</w:t>
            </w:r>
          </w:p>
          <w:p>
            <w:pPr>
              <w:ind w:firstLine="0" w:firstLineChars="0"/>
              <w:rPr>
                <w:rFonts w:eastAsia="仿宋_GB2312"/>
              </w:rPr>
            </w:pPr>
            <w:r>
              <w:rPr>
                <w:rFonts w:hint="eastAsia" w:eastAsia="仿宋_GB2312"/>
              </w:rPr>
              <w:t>2</w:t>
            </w:r>
            <w:r>
              <w:rPr>
                <w:rFonts w:hint="default" w:eastAsia="仿宋_GB2312"/>
                <w:lang w:val="en"/>
              </w:rPr>
              <w:t>.</w:t>
            </w:r>
            <w:r>
              <w:rPr>
                <w:rFonts w:eastAsia="仿宋_GB2312"/>
              </w:rPr>
              <w:t>强化国土空间规划和用途管制，科学推进国土绿化行动，不断增强生态系统自我修复能力和陆地碳汇功能。</w:t>
            </w:r>
          </w:p>
          <w:p>
            <w:pPr>
              <w:ind w:firstLine="0" w:firstLineChars="0"/>
              <w:rPr>
                <w:rFonts w:eastAsia="仿宋_GB2312"/>
              </w:rPr>
            </w:pPr>
            <w:r>
              <w:rPr>
                <w:rFonts w:hint="eastAsia" w:eastAsia="仿宋_GB2312"/>
              </w:rPr>
              <w:t>3</w:t>
            </w:r>
            <w:r>
              <w:rPr>
                <w:rFonts w:hint="default" w:eastAsia="仿宋_GB2312"/>
                <w:lang w:val="en"/>
              </w:rPr>
              <w:t>.</w:t>
            </w:r>
            <w:r>
              <w:rPr>
                <w:rFonts w:eastAsia="仿宋_GB2312"/>
              </w:rPr>
              <w:t>大运河沿岸区域严格落实《大运河天津段核心监控区国土空间管控细则（试行）》</w:t>
            </w:r>
            <w:r>
              <w:rPr>
                <w:rFonts w:hint="eastAsia" w:eastAsia="仿宋_GB2312"/>
              </w:rPr>
              <w:t>《大运河天津段核心监控区禁止类清单》</w:t>
            </w:r>
            <w:r>
              <w:rPr>
                <w:rFonts w:eastAsia="仿宋_GB2312"/>
              </w:rPr>
              <w:t>要求。</w:t>
            </w:r>
          </w:p>
          <w:p>
            <w:pPr>
              <w:ind w:firstLine="0" w:firstLineChars="0"/>
              <w:rPr>
                <w:rFonts w:eastAsia="仿宋_GB2312"/>
              </w:rPr>
            </w:pPr>
            <w:r>
              <w:rPr>
                <w:rFonts w:hint="eastAsia" w:eastAsia="仿宋_GB2312"/>
              </w:rPr>
              <w:t>4</w:t>
            </w:r>
            <w:r>
              <w:rPr>
                <w:rFonts w:hint="default" w:eastAsia="仿宋_GB2312"/>
                <w:lang w:val="en"/>
              </w:rPr>
              <w:t>.</w:t>
            </w:r>
            <w:r>
              <w:rPr>
                <w:rFonts w:eastAsia="仿宋_GB2312"/>
              </w:rPr>
              <w:t xml:space="preserve">在各级园区的基础上，划分“三区一线”，实施区别化政策引导，保障工业核心用地，保护制造业发展空间，引导零星工业用地减量化调整，提高土地利用效率。 </w:t>
            </w:r>
          </w:p>
          <w:p>
            <w:pPr>
              <w:ind w:firstLine="0" w:firstLineChars="0"/>
              <w:rPr>
                <w:rFonts w:eastAsia="仿宋_GB2312"/>
              </w:rPr>
            </w:pPr>
            <w:r>
              <w:rPr>
                <w:rFonts w:hint="eastAsia" w:eastAsia="仿宋_GB2312"/>
              </w:rPr>
              <w:t>5</w:t>
            </w:r>
            <w:r>
              <w:rPr>
                <w:rFonts w:hint="default" w:eastAsia="仿宋_GB2312"/>
                <w:lang w:val="en"/>
              </w:rPr>
              <w:t>.</w:t>
            </w:r>
            <w:r>
              <w:rPr>
                <w:rFonts w:eastAsia="仿宋_GB2312"/>
              </w:rPr>
              <w:t>禁止新建燃煤锅炉及工业炉窑，除在建项目外，不再新增煤电装机规模。</w:t>
            </w:r>
          </w:p>
          <w:p>
            <w:pPr>
              <w:ind w:firstLine="0" w:firstLineChars="0"/>
              <w:rPr>
                <w:rFonts w:eastAsia="仿宋_GB2312"/>
                <w:b/>
                <w:bCs/>
              </w:rPr>
            </w:pPr>
          </w:p>
          <w:p>
            <w:pPr>
              <w:ind w:firstLine="0" w:firstLineChars="0"/>
              <w:rPr>
                <w:rFonts w:eastAsia="仿宋_GB2312"/>
                <w:b/>
                <w:bCs/>
              </w:rPr>
            </w:pPr>
          </w:p>
          <w:p>
            <w:pPr>
              <w:ind w:firstLine="0" w:firstLineChars="0"/>
              <w:rPr>
                <w:rFonts w:eastAsia="仿宋_GB2312"/>
                <w:b/>
                <w:bCs/>
              </w:rPr>
            </w:pPr>
          </w:p>
        </w:tc>
        <w:tc>
          <w:tcPr>
            <w:tcW w:w="1145" w:type="pct"/>
            <w:vAlign w:val="center"/>
          </w:tcPr>
          <w:p>
            <w:pPr>
              <w:spacing w:line="240" w:lineRule="auto"/>
              <w:ind w:firstLine="0" w:firstLineChars="0"/>
              <w:rPr>
                <w:rFonts w:eastAsia="仿宋_GB2312"/>
              </w:rPr>
            </w:pPr>
            <w:r>
              <w:rPr>
                <w:rFonts w:hint="eastAsia" w:eastAsia="仿宋_GB2312"/>
              </w:rPr>
              <w:t>1</w:t>
            </w:r>
            <w:bookmarkStart w:id="3" w:name="_Hlk176968196"/>
            <w:r>
              <w:rPr>
                <w:rFonts w:hint="default" w:eastAsia="仿宋_GB2312"/>
                <w:lang w:val="en"/>
              </w:rPr>
              <w:t>.</w:t>
            </w:r>
            <w:r>
              <w:rPr>
                <w:rFonts w:hint="eastAsia" w:eastAsia="仿宋_GB2312"/>
              </w:rPr>
              <w:t>《自然资源部 生态环境部 国家林业和草原局关于加强生态保护红线管理的通知（试行）（自然资发〔2022〕142号）、《天津市人民代表大会常务委员会关于加强生态保护红线管理的决定》</w:t>
            </w:r>
            <w:r>
              <w:rPr>
                <w:rFonts w:eastAsia="仿宋_GB2312"/>
              </w:rPr>
              <w:t>《</w:t>
            </w:r>
            <w:r>
              <w:rPr>
                <w:rFonts w:hint="eastAsia" w:eastAsia="仿宋_GB2312"/>
              </w:rPr>
              <w:t>天津市人民政府关于做好生态保护红线管理工作的通知</w:t>
            </w:r>
            <w:r>
              <w:rPr>
                <w:rFonts w:eastAsia="仿宋_GB2312"/>
              </w:rPr>
              <w:t>》</w:t>
            </w:r>
            <w:r>
              <w:rPr>
                <w:rFonts w:hint="eastAsia" w:eastAsia="仿宋_GB2312"/>
              </w:rPr>
              <w:t>（津政规〔2024〕5号）</w:t>
            </w:r>
            <w:bookmarkEnd w:id="3"/>
            <w:r>
              <w:rPr>
                <w:rFonts w:eastAsia="仿宋_GB2312"/>
              </w:rPr>
              <w:t xml:space="preserve"> </w:t>
            </w:r>
          </w:p>
          <w:p>
            <w:pPr>
              <w:spacing w:line="240" w:lineRule="auto"/>
              <w:ind w:firstLine="0" w:firstLineChars="0"/>
              <w:rPr>
                <w:rFonts w:eastAsia="仿宋_GB2312"/>
              </w:rPr>
            </w:pPr>
            <w:r>
              <w:rPr>
                <w:rFonts w:hint="eastAsia" w:eastAsia="仿宋_GB2312"/>
              </w:rPr>
              <w:t>2</w:t>
            </w:r>
            <w:r>
              <w:rPr>
                <w:rFonts w:hint="default" w:eastAsia="仿宋_GB2312"/>
                <w:lang w:val="en"/>
              </w:rPr>
              <w:t>.</w:t>
            </w:r>
            <w:r>
              <w:rPr>
                <w:rFonts w:hint="eastAsia" w:eastAsia="仿宋_GB2312"/>
              </w:rPr>
              <w:t>《</w:t>
            </w:r>
            <w:r>
              <w:rPr>
                <w:rFonts w:eastAsia="仿宋_GB2312"/>
              </w:rPr>
              <w:t>天津市减污降碳协同增效实施方案》</w:t>
            </w:r>
          </w:p>
          <w:p>
            <w:pPr>
              <w:spacing w:line="240" w:lineRule="auto"/>
              <w:ind w:firstLine="0" w:firstLineChars="0"/>
              <w:rPr>
                <w:rFonts w:eastAsia="仿宋_GB2312"/>
              </w:rPr>
            </w:pPr>
            <w:r>
              <w:rPr>
                <w:rFonts w:hint="eastAsia" w:eastAsia="仿宋_GB2312"/>
              </w:rPr>
              <w:t>3</w:t>
            </w:r>
            <w:r>
              <w:rPr>
                <w:rFonts w:hint="default" w:eastAsia="仿宋_GB2312"/>
                <w:lang w:val="en"/>
              </w:rPr>
              <w:t>.</w:t>
            </w:r>
            <w:r>
              <w:rPr>
                <w:rFonts w:hint="eastAsia" w:eastAsia="仿宋_GB2312"/>
              </w:rPr>
              <w:t>《</w:t>
            </w:r>
            <w:r>
              <w:rPr>
                <w:rFonts w:eastAsia="仿宋_GB2312"/>
              </w:rPr>
              <w:t>大运河天津段核心监控区国土空间管控细则（试行）》</w:t>
            </w:r>
          </w:p>
          <w:p>
            <w:pPr>
              <w:spacing w:line="240" w:lineRule="auto"/>
              <w:ind w:firstLine="0" w:firstLineChars="0"/>
              <w:rPr>
                <w:rFonts w:eastAsia="仿宋_GB2312"/>
              </w:rPr>
            </w:pPr>
            <w:r>
              <w:rPr>
                <w:rFonts w:hint="eastAsia" w:eastAsia="仿宋_GB2312"/>
              </w:rPr>
              <w:t>《大运河天津段核心监控区禁止类清单》</w:t>
            </w:r>
          </w:p>
          <w:p>
            <w:pPr>
              <w:spacing w:line="240" w:lineRule="auto"/>
              <w:ind w:firstLine="0" w:firstLineChars="0"/>
              <w:rPr>
                <w:rFonts w:eastAsia="仿宋_GB2312"/>
              </w:rPr>
            </w:pPr>
            <w:r>
              <w:rPr>
                <w:rFonts w:hint="eastAsia" w:eastAsia="仿宋_GB2312"/>
              </w:rPr>
              <w:t>4</w:t>
            </w:r>
            <w:r>
              <w:rPr>
                <w:rFonts w:hint="default" w:eastAsia="仿宋_GB2312"/>
                <w:lang w:val="en"/>
              </w:rPr>
              <w:t>.</w:t>
            </w:r>
            <w:r>
              <w:rPr>
                <w:rFonts w:eastAsia="仿宋_GB2312"/>
              </w:rPr>
              <w:t>《天津市工业布局规划（2022-2035年）》</w:t>
            </w:r>
          </w:p>
          <w:p>
            <w:pPr>
              <w:spacing w:line="240" w:lineRule="auto"/>
              <w:ind w:firstLine="0" w:firstLineChars="0"/>
              <w:rPr>
                <w:rFonts w:eastAsia="仿宋_GB2312"/>
                <w:b/>
                <w:bCs/>
              </w:rPr>
            </w:pPr>
            <w:r>
              <w:rPr>
                <w:rFonts w:hint="eastAsia" w:eastAsia="仿宋_GB2312"/>
              </w:rPr>
              <w:t>5</w:t>
            </w:r>
            <w:r>
              <w:rPr>
                <w:rFonts w:hint="default" w:eastAsia="仿宋_GB2312"/>
                <w:lang w:val="en"/>
              </w:rPr>
              <w:t>.</w:t>
            </w:r>
            <w:r>
              <w:rPr>
                <w:rFonts w:eastAsia="仿宋_GB2312"/>
              </w:rPr>
              <w:t>《天津市生态环境保护“十四五”规划》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91" w:type="pct"/>
            <w:vMerge w:val="continue"/>
            <w:vAlign w:val="center"/>
          </w:tcPr>
          <w:p>
            <w:pPr>
              <w:pStyle w:val="17"/>
              <w:rPr>
                <w:rFonts w:eastAsia="仿宋_GB2312"/>
              </w:rPr>
            </w:pPr>
          </w:p>
        </w:tc>
        <w:tc>
          <w:tcPr>
            <w:tcW w:w="3363" w:type="pct"/>
            <w:shd w:val="clear" w:color="auto" w:fill="auto"/>
          </w:tcPr>
          <w:p>
            <w:pPr>
              <w:ind w:firstLine="0" w:firstLineChars="0"/>
              <w:rPr>
                <w:rFonts w:eastAsia="仿宋_GB2312"/>
              </w:rPr>
            </w:pPr>
            <w:r>
              <w:rPr>
                <w:rFonts w:hint="eastAsia" w:eastAsia="仿宋_GB2312"/>
              </w:rPr>
              <w:t>6.继续严格落实“三线一单”、大运河核心监控区、历史文化保护街区和历史建筑等资源保护机制要求，严守环境准入负面清单。</w:t>
            </w:r>
          </w:p>
          <w:p>
            <w:pPr>
              <w:ind w:firstLine="0" w:firstLineChars="0"/>
              <w:rPr>
                <w:rFonts w:eastAsia="仿宋_GB2312"/>
              </w:rPr>
            </w:pPr>
            <w:r>
              <w:rPr>
                <w:rFonts w:hint="eastAsia" w:eastAsia="仿宋_GB2312"/>
              </w:rPr>
              <w:t>7.根据水质目标和水功能区规划要求，明确区域环境准入条件，细化功能分区，实施差别化环境准入政策，严格控制涉及重金属等环境敏感项目的准入。</w:t>
            </w:r>
          </w:p>
        </w:tc>
        <w:tc>
          <w:tcPr>
            <w:tcW w:w="1145" w:type="pct"/>
            <w:vAlign w:val="center"/>
          </w:tcPr>
          <w:p>
            <w:pPr>
              <w:ind w:firstLine="0" w:firstLineChars="0"/>
              <w:rPr>
                <w:rFonts w:eastAsia="仿宋_GB2312"/>
              </w:rPr>
            </w:pPr>
            <w:r>
              <w:rPr>
                <w:rFonts w:hint="eastAsia" w:eastAsia="仿宋_GB2312"/>
              </w:rPr>
              <w:t>6-7</w:t>
            </w:r>
            <w:r>
              <w:rPr>
                <w:rFonts w:hint="default" w:eastAsia="仿宋_GB2312"/>
                <w:lang w:val="en"/>
              </w:rPr>
              <w:t>.</w:t>
            </w:r>
            <w:r>
              <w:rPr>
                <w:rFonts w:hint="eastAsia" w:eastAsia="仿宋_GB2312"/>
              </w:rPr>
              <w:t>南开区生态环境保护“十四五”规划（南开政办发〔2021〕13号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91" w:type="pct"/>
            <w:vMerge w:val="restart"/>
            <w:vAlign w:val="center"/>
          </w:tcPr>
          <w:p>
            <w:pPr>
              <w:pStyle w:val="17"/>
              <w:rPr>
                <w:rFonts w:eastAsia="仿宋_GB2312"/>
              </w:rPr>
            </w:pPr>
            <w:r>
              <w:rPr>
                <w:rFonts w:eastAsia="仿宋_GB2312"/>
              </w:rPr>
              <w:t>污染物排放管控</w:t>
            </w:r>
          </w:p>
        </w:tc>
        <w:tc>
          <w:tcPr>
            <w:tcW w:w="3363" w:type="pct"/>
            <w:shd w:val="clear" w:color="auto" w:fill="auto"/>
          </w:tcPr>
          <w:p>
            <w:pPr>
              <w:ind w:firstLine="0" w:firstLineChars="0"/>
              <w:rPr>
                <w:rFonts w:eastAsia="仿宋_GB2312"/>
              </w:rPr>
            </w:pPr>
            <w:r>
              <w:rPr>
                <w:rFonts w:hint="eastAsia" w:eastAsia="仿宋_GB2312"/>
                <w:lang w:val="en"/>
              </w:rPr>
              <w:t>8</w:t>
            </w:r>
            <w:r>
              <w:rPr>
                <w:rFonts w:hint="default" w:eastAsia="仿宋_GB2312"/>
                <w:lang w:val="en"/>
              </w:rPr>
              <w:t>.</w:t>
            </w:r>
            <w:r>
              <w:rPr>
                <w:rFonts w:eastAsia="仿宋_GB2312"/>
              </w:rPr>
              <w:t>按照以新带老、增产减污、总量减少的原则，结合生态环境质量状况，实行重点污染物（氮氧化物、挥发性有机物两项大气污染物和化学需氧量、氨氮两项水污染物）排放总量控制指标差异化替代。</w:t>
            </w:r>
          </w:p>
          <w:p>
            <w:pPr>
              <w:ind w:firstLine="0" w:firstLineChars="0"/>
              <w:rPr>
                <w:rFonts w:eastAsia="仿宋_GB2312"/>
              </w:rPr>
            </w:pPr>
            <w:r>
              <w:rPr>
                <w:rFonts w:hint="eastAsia" w:eastAsia="仿宋_GB2312"/>
              </w:rPr>
              <w:t>9</w:t>
            </w:r>
            <w:r>
              <w:rPr>
                <w:rFonts w:hint="default" w:eastAsia="仿宋_GB2312"/>
                <w:lang w:val="en"/>
              </w:rPr>
              <w:t>.</w:t>
            </w:r>
            <w:r>
              <w:rPr>
                <w:rFonts w:eastAsia="仿宋_GB2312"/>
              </w:rPr>
              <w:t>严格涉重金属项目环境准入，落实国家确定的相关总量控制指标，新（改、扩）建涉重金属重点行业建设项目实施“等量替代”或“减量替代”。</w:t>
            </w:r>
          </w:p>
          <w:p>
            <w:pPr>
              <w:ind w:firstLine="0" w:firstLineChars="0"/>
              <w:rPr>
                <w:rFonts w:eastAsia="仿宋_GB2312"/>
                <w:b/>
                <w:bCs/>
                <w:color w:val="FF0000"/>
              </w:rPr>
            </w:pPr>
            <w:r>
              <w:rPr>
                <w:rFonts w:hint="eastAsia" w:eastAsia="仿宋_GB2312"/>
              </w:rPr>
              <w:t>10</w:t>
            </w:r>
            <w:r>
              <w:rPr>
                <w:rFonts w:hint="default" w:eastAsia="仿宋_GB2312"/>
                <w:lang w:val="en"/>
              </w:rPr>
              <w:t>.</w:t>
            </w:r>
            <w:r>
              <w:rPr>
                <w:rFonts w:eastAsia="仿宋_GB2312"/>
              </w:rPr>
              <w:t>坚决遏制高耗能、高排放、低水平项目盲目发展。</w:t>
            </w:r>
          </w:p>
          <w:p>
            <w:pPr>
              <w:ind w:firstLine="0" w:firstLineChars="0"/>
              <w:rPr>
                <w:rFonts w:eastAsia="仿宋_GB2312"/>
              </w:rPr>
            </w:pPr>
            <w:r>
              <w:rPr>
                <w:rFonts w:hint="eastAsia" w:eastAsia="仿宋_GB2312"/>
              </w:rPr>
              <w:t>11</w:t>
            </w:r>
            <w:r>
              <w:rPr>
                <w:rFonts w:hint="default" w:eastAsia="仿宋_GB2312"/>
                <w:lang w:val="en"/>
              </w:rPr>
              <w:t>.</w:t>
            </w:r>
            <w:r>
              <w:rPr>
                <w:rFonts w:hint="eastAsia" w:eastAsia="仿宋_GB2312"/>
              </w:rPr>
              <w:t>严格落实</w:t>
            </w:r>
            <w:r>
              <w:rPr>
                <w:rFonts w:eastAsia="仿宋_GB2312"/>
              </w:rPr>
              <w:t>《关于京津冀大气污染传输通道城市执行大气污染物特别排放限值的公告》</w:t>
            </w:r>
            <w:r>
              <w:rPr>
                <w:rFonts w:hint="eastAsia" w:eastAsia="仿宋_GB2312"/>
              </w:rPr>
              <w:t>，全面实施国家大气污染物排放标准中的</w:t>
            </w:r>
            <w:r>
              <w:rPr>
                <w:rFonts w:eastAsia="仿宋_GB2312"/>
              </w:rPr>
              <w:t>二氧化硫、氮氧化物、颗粒物和挥发性有机物特别排放限值</w:t>
            </w:r>
            <w:r>
              <w:rPr>
                <w:rFonts w:hint="eastAsia" w:eastAsia="仿宋_GB2312"/>
              </w:rPr>
              <w:t>。</w:t>
            </w:r>
          </w:p>
          <w:p>
            <w:pPr>
              <w:ind w:firstLine="0" w:firstLineChars="0"/>
              <w:rPr>
                <w:rFonts w:eastAsia="仿宋_GB2312"/>
              </w:rPr>
            </w:pPr>
            <w:r>
              <w:rPr>
                <w:rFonts w:hint="eastAsia" w:eastAsia="仿宋_GB2312"/>
              </w:rPr>
              <w:t>12</w:t>
            </w:r>
            <w:r>
              <w:rPr>
                <w:rFonts w:hint="default" w:eastAsia="仿宋_GB2312"/>
                <w:lang w:val="en"/>
              </w:rPr>
              <w:t>.</w:t>
            </w:r>
            <w:r>
              <w:rPr>
                <w:rFonts w:eastAsia="仿宋_GB2312"/>
              </w:rPr>
              <w:t>加大PM</w:t>
            </w:r>
            <w:r>
              <w:rPr>
                <w:rFonts w:eastAsia="仿宋_GB2312"/>
                <w:vertAlign w:val="subscript"/>
              </w:rPr>
              <w:t>2.5</w:t>
            </w:r>
            <w:r>
              <w:rPr>
                <w:rFonts w:eastAsia="仿宋_GB2312"/>
              </w:rPr>
              <w:t>和臭氧污染共同前体物VOCs、氮氧化物减排力度，选择治理技术时统筹考虑治污效果和温室气体排放水平。强化VOCs源头治理，严格新、改、扩建涉VOCs排放建设项目环境准入门槛，推进低VOCs含量原辅材料的源头替代。</w:t>
            </w:r>
          </w:p>
          <w:p>
            <w:pPr>
              <w:ind w:firstLine="0" w:firstLineChars="0"/>
              <w:rPr>
                <w:rFonts w:eastAsia="仿宋_GB2312"/>
              </w:rPr>
            </w:pPr>
            <w:r>
              <w:rPr>
                <w:rFonts w:hint="eastAsia" w:eastAsia="仿宋_GB2312"/>
              </w:rPr>
              <w:t>13</w:t>
            </w:r>
            <w:r>
              <w:rPr>
                <w:rFonts w:hint="default" w:eastAsia="仿宋_GB2312"/>
                <w:lang w:val="en"/>
              </w:rPr>
              <w:t>.</w:t>
            </w:r>
            <w:r>
              <w:rPr>
                <w:rFonts w:eastAsia="仿宋_GB2312"/>
              </w:rPr>
              <w:t>严格落实禁止使用高排放非道路移动机械区域的规定。</w:t>
            </w:r>
          </w:p>
          <w:p>
            <w:pPr>
              <w:ind w:firstLine="0" w:firstLineChars="0"/>
              <w:rPr>
                <w:rFonts w:eastAsia="仿宋_GB2312"/>
                <w:b/>
                <w:bCs/>
              </w:rPr>
            </w:pPr>
            <w:r>
              <w:rPr>
                <w:rFonts w:hint="eastAsia" w:eastAsia="仿宋_GB2312"/>
              </w:rPr>
              <w:t>1</w:t>
            </w:r>
            <w:r>
              <w:rPr>
                <w:rFonts w:hint="eastAsia" w:eastAsia="仿宋_GB2312"/>
                <w:lang w:val="en"/>
              </w:rPr>
              <w:t>4</w:t>
            </w:r>
            <w:r>
              <w:rPr>
                <w:rFonts w:hint="default" w:eastAsia="仿宋_GB2312"/>
                <w:lang w:val="en"/>
              </w:rPr>
              <w:t>.</w:t>
            </w:r>
            <w:r>
              <w:rPr>
                <w:rFonts w:eastAsia="仿宋_GB2312"/>
              </w:rPr>
              <w:t>强化固体废物污染防治。全面禁止进口固体废物，推进电力、冶金、建材、化工等重点行业大宗固体废弃物综合利用，有序限制、禁止部分塑料制品生产、销售和使用，推广使用可降解可循环易回收的替代产品</w:t>
            </w:r>
            <w:r>
              <w:rPr>
                <w:rFonts w:hint="eastAsia" w:eastAsia="仿宋_GB2312"/>
              </w:rPr>
              <w:t>。</w:t>
            </w:r>
          </w:p>
          <w:p>
            <w:pPr>
              <w:ind w:firstLine="0" w:firstLineChars="0"/>
              <w:rPr>
                <w:rFonts w:eastAsia="仿宋_GB2312"/>
                <w:b/>
                <w:bCs/>
              </w:rPr>
            </w:pPr>
            <w:r>
              <w:rPr>
                <w:rFonts w:hint="eastAsia" w:eastAsia="仿宋_GB2312"/>
              </w:rPr>
              <w:t>1</w:t>
            </w:r>
            <w:r>
              <w:rPr>
                <w:rFonts w:hint="eastAsia" w:eastAsia="仿宋_GB2312"/>
                <w:lang w:val="en"/>
              </w:rPr>
              <w:t>5</w:t>
            </w:r>
            <w:r>
              <w:rPr>
                <w:rFonts w:hint="default" w:eastAsia="仿宋_GB2312"/>
                <w:lang w:val="en"/>
              </w:rPr>
              <w:t>.</w:t>
            </w:r>
            <w:r>
              <w:rPr>
                <w:rFonts w:eastAsia="仿宋_GB2312"/>
              </w:rPr>
              <w:t>大力推进生活垃圾减量化资源化。加强生活垃圾分类管理。加强塑料污染全链条治理，整治过度包装，推动生活垃圾源头减量。推进污水资源化利用。</w:t>
            </w:r>
          </w:p>
        </w:tc>
        <w:tc>
          <w:tcPr>
            <w:tcW w:w="1145" w:type="pct"/>
            <w:vAlign w:val="center"/>
          </w:tcPr>
          <w:p>
            <w:pPr>
              <w:spacing w:line="240" w:lineRule="auto"/>
              <w:ind w:firstLine="0" w:firstLineChars="0"/>
              <w:rPr>
                <w:rFonts w:eastAsia="仿宋_GB2312"/>
              </w:rPr>
            </w:pPr>
            <w:r>
              <w:rPr>
                <w:rFonts w:hint="eastAsia" w:eastAsia="仿宋_GB2312"/>
                <w:lang w:val="en"/>
              </w:rPr>
              <w:t>8</w:t>
            </w:r>
            <w:r>
              <w:rPr>
                <w:rFonts w:hint="default" w:eastAsia="仿宋_GB2312"/>
                <w:lang w:val="en"/>
              </w:rPr>
              <w:t>.</w:t>
            </w:r>
            <w:r>
              <w:rPr>
                <w:rFonts w:eastAsia="仿宋_GB2312"/>
              </w:rPr>
              <w:t>《天津市重点污染物排放总量控制管理办法（试行）》</w:t>
            </w:r>
          </w:p>
          <w:p>
            <w:pPr>
              <w:spacing w:line="240" w:lineRule="auto"/>
              <w:ind w:firstLine="0" w:firstLineChars="0"/>
              <w:rPr>
                <w:rFonts w:eastAsia="仿宋_GB2312"/>
              </w:rPr>
            </w:pPr>
            <w:r>
              <w:rPr>
                <w:rFonts w:hint="eastAsia" w:eastAsia="仿宋_GB2312"/>
              </w:rPr>
              <w:t>9</w:t>
            </w:r>
            <w:r>
              <w:rPr>
                <w:rFonts w:hint="default" w:eastAsia="仿宋_GB2312"/>
                <w:lang w:val="en"/>
              </w:rPr>
              <w:t>.</w:t>
            </w:r>
            <w:r>
              <w:rPr>
                <w:rFonts w:eastAsia="仿宋_GB2312"/>
              </w:rPr>
              <w:t>《天津市深入打好净土保卫战行动计划》（</w:t>
            </w:r>
            <w:r>
              <w:rPr>
                <w:rFonts w:hint="eastAsia" w:eastAsia="仿宋_GB2312"/>
              </w:rPr>
              <w:t>津污防攻坚指〔2022〕2 号</w:t>
            </w:r>
            <w:r>
              <w:rPr>
                <w:rFonts w:eastAsia="仿宋_GB2312"/>
              </w:rPr>
              <w:t>）</w:t>
            </w:r>
          </w:p>
          <w:p>
            <w:pPr>
              <w:spacing w:line="240" w:lineRule="auto"/>
              <w:ind w:firstLine="0" w:firstLineChars="0"/>
              <w:rPr>
                <w:rFonts w:eastAsia="仿宋_GB2312"/>
              </w:rPr>
            </w:pPr>
            <w:r>
              <w:rPr>
                <w:rFonts w:hint="eastAsia" w:eastAsia="仿宋_GB2312"/>
              </w:rPr>
              <w:t>10</w:t>
            </w:r>
            <w:r>
              <w:rPr>
                <w:rFonts w:hint="default" w:eastAsia="仿宋_GB2312"/>
                <w:lang w:val="en"/>
              </w:rPr>
              <w:t>.</w:t>
            </w:r>
            <w:r>
              <w:rPr>
                <w:rFonts w:eastAsia="仿宋_GB2312"/>
              </w:rPr>
              <w:t>《天津市碳达峰实施方案》</w:t>
            </w:r>
          </w:p>
          <w:p>
            <w:pPr>
              <w:spacing w:line="240" w:lineRule="auto"/>
              <w:ind w:firstLine="0" w:firstLineChars="0"/>
              <w:rPr>
                <w:rFonts w:eastAsia="仿宋_GB2312"/>
              </w:rPr>
            </w:pPr>
            <w:r>
              <w:rPr>
                <w:rFonts w:hint="eastAsia" w:eastAsia="仿宋_GB2312"/>
              </w:rPr>
              <w:t>11</w:t>
            </w:r>
            <w:r>
              <w:rPr>
                <w:rFonts w:hint="default" w:eastAsia="仿宋_GB2312"/>
                <w:lang w:val="en"/>
              </w:rPr>
              <w:t>.</w:t>
            </w:r>
            <w:r>
              <w:rPr>
                <w:rFonts w:eastAsia="仿宋_GB2312"/>
              </w:rPr>
              <w:t>《关于京津冀大气污染传输通道城市执行大气污染物特别排放限值的公告》（2018.1.16）</w:t>
            </w:r>
          </w:p>
          <w:p>
            <w:pPr>
              <w:spacing w:line="240" w:lineRule="auto"/>
              <w:ind w:firstLine="0" w:firstLineChars="0"/>
              <w:rPr>
                <w:rFonts w:eastAsia="仿宋_GB2312"/>
              </w:rPr>
            </w:pPr>
            <w:r>
              <w:rPr>
                <w:rFonts w:hint="eastAsia" w:eastAsia="仿宋_GB2312"/>
              </w:rPr>
              <w:t>12</w:t>
            </w:r>
            <w:r>
              <w:rPr>
                <w:rFonts w:hint="default" w:eastAsia="仿宋_GB2312"/>
                <w:lang w:val="en"/>
              </w:rPr>
              <w:t>.</w:t>
            </w:r>
            <w:r>
              <w:rPr>
                <w:rFonts w:eastAsia="仿宋_GB2312"/>
              </w:rPr>
              <w:t>《天津市减污降碳协同增效实施方案》</w:t>
            </w:r>
          </w:p>
          <w:p>
            <w:pPr>
              <w:spacing w:line="240" w:lineRule="auto"/>
              <w:ind w:firstLine="0" w:firstLineChars="0"/>
              <w:rPr>
                <w:rFonts w:eastAsia="仿宋_GB2312"/>
              </w:rPr>
            </w:pPr>
            <w:r>
              <w:rPr>
                <w:rFonts w:hint="eastAsia" w:eastAsia="仿宋_GB2312"/>
              </w:rPr>
              <w:t>13</w:t>
            </w:r>
            <w:r>
              <w:rPr>
                <w:rFonts w:hint="default" w:eastAsia="仿宋_GB2312"/>
                <w:lang w:val="en"/>
              </w:rPr>
              <w:t>.</w:t>
            </w:r>
            <w:r>
              <w:rPr>
                <w:rFonts w:eastAsia="仿宋_GB2312"/>
              </w:rPr>
              <w:t>《天津市人民政府关于划定禁止使用高排放非道路移动机械区域的通告》</w:t>
            </w:r>
          </w:p>
          <w:p>
            <w:pPr>
              <w:spacing w:line="240" w:lineRule="auto"/>
              <w:ind w:firstLine="0" w:firstLineChars="0"/>
              <w:rPr>
                <w:rFonts w:eastAsia="仿宋_GB2312"/>
              </w:rPr>
            </w:pPr>
            <w:r>
              <w:rPr>
                <w:rFonts w:hint="eastAsia" w:eastAsia="仿宋_GB2312"/>
              </w:rPr>
              <w:t>1</w:t>
            </w:r>
            <w:r>
              <w:rPr>
                <w:rFonts w:hint="eastAsia" w:eastAsia="仿宋_GB2312"/>
                <w:lang w:val="en"/>
              </w:rPr>
              <w:t>4</w:t>
            </w:r>
            <w:r>
              <w:rPr>
                <w:rFonts w:hint="default" w:eastAsia="仿宋_GB2312"/>
                <w:lang w:val="en"/>
              </w:rPr>
              <w:t>.</w:t>
            </w:r>
            <w:r>
              <w:rPr>
                <w:rFonts w:eastAsia="仿宋_GB2312"/>
              </w:rPr>
              <w:t>《天津市生态环境保护“十四五”规划》</w:t>
            </w:r>
          </w:p>
          <w:p>
            <w:pPr>
              <w:spacing w:line="240" w:lineRule="auto"/>
              <w:ind w:firstLine="0" w:firstLineChars="0"/>
              <w:rPr>
                <w:rFonts w:eastAsia="仿宋_GB2312"/>
              </w:rPr>
            </w:pPr>
            <w:r>
              <w:rPr>
                <w:rFonts w:hint="eastAsia" w:eastAsia="仿宋_GB2312"/>
              </w:rPr>
              <w:t>1</w:t>
            </w:r>
            <w:r>
              <w:rPr>
                <w:rFonts w:hint="eastAsia" w:eastAsia="仿宋_GB2312"/>
                <w:lang w:val="en"/>
              </w:rPr>
              <w:t>5</w:t>
            </w:r>
            <w:r>
              <w:rPr>
                <w:rFonts w:hint="default" w:eastAsia="仿宋_GB2312"/>
                <w:lang w:val="en"/>
              </w:rPr>
              <w:t>.</w:t>
            </w:r>
            <w:r>
              <w:rPr>
                <w:rFonts w:eastAsia="仿宋_GB2312"/>
              </w:rPr>
              <w:t>《天津市碳达峰实施方案》</w:t>
            </w:r>
          </w:p>
          <w:p>
            <w:pPr>
              <w:spacing w:line="240" w:lineRule="auto"/>
              <w:ind w:firstLine="0" w:firstLineChars="0"/>
              <w:rPr>
                <w:rFonts w:eastAsia="仿宋_GB2312"/>
              </w:rPr>
            </w:pPr>
          </w:p>
          <w:p>
            <w:pPr>
              <w:spacing w:line="240" w:lineRule="auto"/>
              <w:ind w:firstLine="0" w:firstLineChars="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491" w:type="pct"/>
            <w:vMerge w:val="continue"/>
            <w:vAlign w:val="center"/>
          </w:tcPr>
          <w:p>
            <w:pPr>
              <w:pStyle w:val="17"/>
              <w:rPr>
                <w:rFonts w:eastAsia="仿宋_GB2312"/>
              </w:rPr>
            </w:pPr>
          </w:p>
        </w:tc>
        <w:tc>
          <w:tcPr>
            <w:tcW w:w="3363" w:type="pct"/>
          </w:tcPr>
          <w:p>
            <w:pPr>
              <w:ind w:firstLine="0" w:firstLineChars="0"/>
              <w:rPr>
                <w:rFonts w:eastAsia="仿宋_GB2312"/>
              </w:rPr>
            </w:pPr>
            <w:r>
              <w:rPr>
                <w:rFonts w:eastAsia="仿宋_GB2312"/>
                <w:lang w:val="en"/>
              </w:rPr>
              <w:t>1</w:t>
            </w:r>
            <w:r>
              <w:rPr>
                <w:rFonts w:hint="eastAsia" w:eastAsia="仿宋_GB2312"/>
                <w:lang w:val="en"/>
              </w:rPr>
              <w:t>6</w:t>
            </w:r>
            <w:r>
              <w:rPr>
                <w:rFonts w:hint="eastAsia" w:eastAsia="仿宋_GB2312"/>
              </w:rPr>
              <w:t>.对重点行业全面执行大气污染物特别排放限值，强化治污减排；新建项目严格执行大气污染物特别排放限值。对未按期完成治理改造任务的企业，一并纳入错峰生产方案，实施停产。</w:t>
            </w:r>
          </w:p>
          <w:p>
            <w:pPr>
              <w:ind w:firstLine="0" w:firstLineChars="0"/>
              <w:rPr>
                <w:rFonts w:eastAsia="仿宋_GB2312"/>
              </w:rPr>
            </w:pPr>
            <w:r>
              <w:rPr>
                <w:rFonts w:eastAsia="仿宋_GB2312"/>
                <w:lang w:val="en"/>
              </w:rPr>
              <w:t>1</w:t>
            </w:r>
            <w:r>
              <w:rPr>
                <w:rFonts w:hint="eastAsia" w:eastAsia="仿宋_GB2312"/>
                <w:lang w:val="en"/>
              </w:rPr>
              <w:t>7</w:t>
            </w:r>
            <w:r>
              <w:rPr>
                <w:rFonts w:hint="eastAsia" w:eastAsia="仿宋_GB2312"/>
              </w:rPr>
              <w:t>.对商业楼宇、企事业单位1蒸吨以下锅炉进行集中整治，确保排放稳定达标改造。</w:t>
            </w:r>
          </w:p>
          <w:p>
            <w:pPr>
              <w:ind w:firstLine="0" w:firstLineChars="0"/>
              <w:rPr>
                <w:rFonts w:eastAsia="仿宋_GB2312"/>
              </w:rPr>
            </w:pPr>
            <w:r>
              <w:rPr>
                <w:rFonts w:eastAsia="仿宋_GB2312"/>
                <w:lang w:val="en"/>
              </w:rPr>
              <w:t>1</w:t>
            </w:r>
            <w:r>
              <w:rPr>
                <w:rFonts w:hint="eastAsia" w:eastAsia="仿宋_GB2312"/>
                <w:lang w:val="en"/>
              </w:rPr>
              <w:t>8</w:t>
            </w:r>
            <w:r>
              <w:rPr>
                <w:rFonts w:hint="eastAsia" w:eastAsia="仿宋_GB2312"/>
              </w:rPr>
              <w:t>.每年5月15日至10月15日期间，每日10时至17时原则上禁止开展使用有机溶剂的作业行为。涉及民生工程等重大项目，确须在此期间作业的，经区政府同意后方可施工。禁止建设生产和使用高挥发性有机物含量的溶剂型涂料、油墨、胶粘剂等项目。</w:t>
            </w:r>
          </w:p>
          <w:p>
            <w:pPr>
              <w:ind w:firstLine="0" w:firstLineChars="0"/>
              <w:rPr>
                <w:rFonts w:eastAsia="仿宋_GB2312"/>
              </w:rPr>
            </w:pPr>
            <w:r>
              <w:rPr>
                <w:rFonts w:hint="eastAsia" w:eastAsia="仿宋_GB2312"/>
                <w:lang w:val="en"/>
              </w:rPr>
              <w:t>19</w:t>
            </w:r>
            <w:r>
              <w:rPr>
                <w:rFonts w:hint="eastAsia" w:eastAsia="仿宋_GB2312"/>
              </w:rPr>
              <w:t>.实施渣土源头监管全覆盖、运输车辆全密闭，区处置场建成达标后投入运行。</w:t>
            </w:r>
          </w:p>
          <w:p>
            <w:pPr>
              <w:ind w:firstLine="0" w:firstLineChars="0"/>
              <w:rPr>
                <w:rFonts w:eastAsia="仿宋_GB2312"/>
              </w:rPr>
            </w:pPr>
            <w:r>
              <w:rPr>
                <w:rFonts w:eastAsia="仿宋_GB2312"/>
                <w:lang w:val="en"/>
              </w:rPr>
              <w:t>2</w:t>
            </w:r>
            <w:r>
              <w:rPr>
                <w:rFonts w:hint="eastAsia" w:eastAsia="仿宋_GB2312"/>
                <w:lang w:val="en"/>
              </w:rPr>
              <w:t>0</w:t>
            </w:r>
            <w:r>
              <w:rPr>
                <w:rFonts w:hint="eastAsia" w:eastAsia="仿宋_GB2312"/>
              </w:rPr>
              <w:t>.采取经济补偿、限制使用、严格超标排放监管等方式，大力推进国家第三阶段排放标准营运柴油货车提前淘汰更新，加快淘汰采用稀薄燃烧技术和“油改气”的老旧燃气车辆。</w:t>
            </w:r>
          </w:p>
          <w:p>
            <w:pPr>
              <w:ind w:firstLine="0" w:firstLineChars="0"/>
              <w:rPr>
                <w:rFonts w:eastAsia="仿宋_GB2312"/>
              </w:rPr>
            </w:pPr>
            <w:r>
              <w:rPr>
                <w:rFonts w:eastAsia="仿宋_GB2312"/>
                <w:lang w:val="en"/>
              </w:rPr>
              <w:t>2</w:t>
            </w:r>
            <w:r>
              <w:rPr>
                <w:rFonts w:hint="eastAsia" w:eastAsia="仿宋_GB2312"/>
                <w:lang w:val="en"/>
              </w:rPr>
              <w:t>0</w:t>
            </w:r>
            <w:r>
              <w:rPr>
                <w:rFonts w:hint="eastAsia" w:eastAsia="仿宋_GB2312"/>
              </w:rPr>
              <w:t>.禁止不达标的工程机械入场作业。以各类施工工地、整理地块等为重点，推进柴油施工机械和作业机械清洁化。重污染天气预警期间，除涉及安全生产及应急抢险任务外，停止使用非道路移动机械。</w:t>
            </w:r>
          </w:p>
          <w:p>
            <w:pPr>
              <w:ind w:firstLine="0" w:firstLineChars="0"/>
              <w:rPr>
                <w:rFonts w:eastAsia="仿宋_GB2312"/>
              </w:rPr>
            </w:pPr>
            <w:r>
              <w:rPr>
                <w:rFonts w:eastAsia="仿宋_GB2312"/>
                <w:lang w:val="en"/>
              </w:rPr>
              <w:t>2</w:t>
            </w:r>
            <w:r>
              <w:rPr>
                <w:rFonts w:hint="eastAsia" w:eastAsia="仿宋_GB2312"/>
                <w:lang w:val="en"/>
              </w:rPr>
              <w:t>2</w:t>
            </w:r>
            <w:r>
              <w:rPr>
                <w:rFonts w:hint="eastAsia" w:eastAsia="仿宋_GB2312"/>
              </w:rPr>
              <w:t>.监督加油站和油罐车严格落实油气回收、泄漏检测要求。</w:t>
            </w:r>
          </w:p>
          <w:p>
            <w:pPr>
              <w:ind w:firstLine="0" w:firstLineChars="0"/>
              <w:rPr>
                <w:rFonts w:eastAsia="仿宋_GB2312"/>
              </w:rPr>
            </w:pPr>
            <w:r>
              <w:rPr>
                <w:rFonts w:eastAsia="仿宋_GB2312"/>
                <w:lang w:val="en"/>
              </w:rPr>
              <w:t>2</w:t>
            </w:r>
            <w:r>
              <w:rPr>
                <w:rFonts w:hint="eastAsia" w:eastAsia="仿宋_GB2312"/>
                <w:lang w:val="en"/>
              </w:rPr>
              <w:t>3</w:t>
            </w:r>
            <w:r>
              <w:rPr>
                <w:rFonts w:hint="eastAsia" w:eastAsia="仿宋_GB2312"/>
              </w:rPr>
              <w:t>.各类施工工地严格落实“6+2个100%”控尘措施。对裸地因地制宜全面治理，严格落实硬化、绿化、蓄水、苫盖等治理措施。</w:t>
            </w:r>
          </w:p>
          <w:p>
            <w:pPr>
              <w:ind w:firstLine="0" w:firstLineChars="0"/>
              <w:rPr>
                <w:rFonts w:eastAsia="仿宋_GB2312"/>
              </w:rPr>
            </w:pPr>
            <w:r>
              <w:rPr>
                <w:rFonts w:eastAsia="仿宋_GB2312"/>
                <w:lang w:val="en"/>
              </w:rPr>
              <w:t>2</w:t>
            </w:r>
            <w:r>
              <w:rPr>
                <w:rFonts w:hint="eastAsia" w:eastAsia="仿宋_GB2312"/>
                <w:lang w:val="en"/>
              </w:rPr>
              <w:t>4</w:t>
            </w:r>
            <w:r>
              <w:rPr>
                <w:rFonts w:hint="eastAsia" w:eastAsia="仿宋_GB2312"/>
              </w:rPr>
              <w:t xml:space="preserve">.加大重污染期间全区包装印刷、汽车维修企业生产调控力度，纳入重污染天气错峰生产方案，实施限产停产。建立重污染应急管控清单动态更新机制，持续细化“一厂一策”，保障应急减排措施可操作、可核查。    </w:t>
            </w:r>
          </w:p>
          <w:p>
            <w:pPr>
              <w:ind w:firstLine="0" w:firstLineChars="0"/>
              <w:rPr>
                <w:rFonts w:eastAsia="仿宋_GB2312"/>
              </w:rPr>
            </w:pPr>
            <w:r>
              <w:rPr>
                <w:rFonts w:eastAsia="仿宋_GB2312"/>
                <w:lang w:val="en"/>
              </w:rPr>
              <w:t>2</w:t>
            </w:r>
            <w:r>
              <w:rPr>
                <w:rFonts w:hint="eastAsia" w:eastAsia="仿宋_GB2312"/>
                <w:lang w:val="en"/>
              </w:rPr>
              <w:t>5</w:t>
            </w:r>
            <w:r>
              <w:rPr>
                <w:rFonts w:hint="eastAsia" w:eastAsia="仿宋_GB2312"/>
              </w:rPr>
              <w:t>.严禁废水排入雨水管网及周边河道。</w:t>
            </w:r>
          </w:p>
          <w:p>
            <w:pPr>
              <w:ind w:firstLine="0" w:firstLineChars="0"/>
              <w:rPr>
                <w:rFonts w:eastAsia="仿宋_GB2312"/>
              </w:rPr>
            </w:pPr>
            <w:r>
              <w:rPr>
                <w:rFonts w:eastAsia="仿宋_GB2312"/>
                <w:lang w:val="en"/>
              </w:rPr>
              <w:t>2</w:t>
            </w:r>
            <w:r>
              <w:rPr>
                <w:rFonts w:hint="eastAsia" w:eastAsia="仿宋_GB2312"/>
                <w:lang w:val="en"/>
              </w:rPr>
              <w:t>6</w:t>
            </w:r>
            <w:r>
              <w:rPr>
                <w:rFonts w:hint="eastAsia" w:eastAsia="仿宋_GB2312"/>
              </w:rPr>
              <w:t>.采取控源截污、垃圾清理、清淤疏浚、生态修复等多项措施，加大黑臭水体治理力度。</w:t>
            </w:r>
          </w:p>
        </w:tc>
        <w:tc>
          <w:tcPr>
            <w:tcW w:w="1145" w:type="pct"/>
            <w:vAlign w:val="center"/>
          </w:tcPr>
          <w:p>
            <w:pPr>
              <w:spacing w:line="240" w:lineRule="auto"/>
              <w:ind w:firstLine="0" w:firstLineChars="0"/>
              <w:rPr>
                <w:rFonts w:eastAsia="仿宋_GB2312"/>
                <w:lang w:val="en"/>
              </w:rPr>
            </w:pPr>
            <w:r>
              <w:rPr>
                <w:rFonts w:hint="eastAsia" w:eastAsia="仿宋_GB2312"/>
                <w:lang w:val="en"/>
              </w:rPr>
              <w:t>16-26</w:t>
            </w:r>
            <w:r>
              <w:rPr>
                <w:rFonts w:hint="default" w:eastAsia="仿宋_GB2312"/>
                <w:lang w:val="en"/>
              </w:rPr>
              <w:t>.</w:t>
            </w:r>
            <w:r>
              <w:rPr>
                <w:rFonts w:hint="eastAsia" w:eastAsia="仿宋_GB2312"/>
                <w:lang w:val="en"/>
              </w:rPr>
              <w:t>《南开区生态环境保护“十四五”规划》（南开政办发〔2021〕13号 ）</w:t>
            </w:r>
          </w:p>
          <w:p>
            <w:pPr>
              <w:spacing w:line="240" w:lineRule="auto"/>
              <w:ind w:firstLine="0" w:firstLineChars="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491" w:type="pct"/>
            <w:vMerge w:val="restart"/>
            <w:vAlign w:val="center"/>
          </w:tcPr>
          <w:p>
            <w:pPr>
              <w:pStyle w:val="17"/>
              <w:rPr>
                <w:rFonts w:eastAsia="仿宋_GB2312"/>
              </w:rPr>
            </w:pPr>
            <w:r>
              <w:rPr>
                <w:rFonts w:eastAsia="仿宋_GB2312"/>
              </w:rPr>
              <w:t>环境风险防控</w:t>
            </w:r>
          </w:p>
        </w:tc>
        <w:tc>
          <w:tcPr>
            <w:tcW w:w="3363" w:type="pct"/>
          </w:tcPr>
          <w:p>
            <w:pPr>
              <w:ind w:firstLine="0" w:firstLineChars="0"/>
              <w:rPr>
                <w:rFonts w:eastAsia="仿宋_GB2312"/>
                <w:color w:val="FF0000"/>
              </w:rPr>
            </w:pPr>
            <w:r>
              <w:rPr>
                <w:rFonts w:eastAsia="仿宋_GB2312"/>
                <w:lang w:val="en"/>
              </w:rPr>
              <w:t>2</w:t>
            </w:r>
            <w:r>
              <w:rPr>
                <w:rFonts w:hint="eastAsia" w:eastAsia="仿宋_GB2312"/>
                <w:lang w:val="en"/>
              </w:rPr>
              <w:t>7</w:t>
            </w:r>
            <w:r>
              <w:rPr>
                <w:rFonts w:hint="default" w:eastAsia="仿宋_GB2312"/>
                <w:lang w:val="en"/>
              </w:rPr>
              <w:t>.</w:t>
            </w:r>
            <w:r>
              <w:rPr>
                <w:rFonts w:eastAsia="仿宋_GB2312"/>
              </w:rPr>
              <w:t>加强优先控制化学品的风险管控，重点防范持久性有机污染物、汞等化学品物质的环境风险。</w:t>
            </w:r>
          </w:p>
          <w:p>
            <w:pPr>
              <w:ind w:firstLine="0" w:firstLineChars="0"/>
              <w:rPr>
                <w:rFonts w:eastAsia="仿宋_GB2312"/>
              </w:rPr>
            </w:pPr>
            <w:r>
              <w:rPr>
                <w:rFonts w:eastAsia="仿宋_GB2312"/>
                <w:lang w:val="en"/>
              </w:rPr>
              <w:t>2</w:t>
            </w:r>
            <w:r>
              <w:rPr>
                <w:rFonts w:hint="eastAsia" w:eastAsia="仿宋_GB2312"/>
                <w:lang w:val="en"/>
              </w:rPr>
              <w:t>8</w:t>
            </w:r>
            <w:r>
              <w:rPr>
                <w:rFonts w:hint="default" w:eastAsia="仿宋_GB2312"/>
                <w:lang w:val="en"/>
              </w:rPr>
              <w:t>.</w:t>
            </w:r>
            <w:r>
              <w:rPr>
                <w:rFonts w:eastAsia="仿宋_GB2312"/>
              </w:rPr>
              <w:t>加强放射性废物（源）安全管理，废旧放射源100%安全收贮。</w:t>
            </w:r>
          </w:p>
          <w:p>
            <w:pPr>
              <w:ind w:firstLine="0" w:firstLineChars="0"/>
              <w:rPr>
                <w:rFonts w:eastAsia="仿宋_GB2312"/>
                <w:b/>
                <w:bCs/>
              </w:rPr>
            </w:pPr>
            <w:r>
              <w:rPr>
                <w:rFonts w:hint="eastAsia" w:eastAsia="仿宋_GB2312"/>
              </w:rPr>
              <w:t>29</w:t>
            </w:r>
            <w:r>
              <w:rPr>
                <w:rFonts w:hint="default" w:eastAsia="仿宋_GB2312"/>
                <w:lang w:val="en"/>
              </w:rPr>
              <w:t>.</w:t>
            </w:r>
            <w:r>
              <w:rPr>
                <w:rFonts w:eastAsia="仿宋_GB2312"/>
              </w:rPr>
              <w:t>实施危险化学品企业安全整治，对于不符合安全生产条件的企业坚决依法关闭。</w:t>
            </w:r>
          </w:p>
          <w:p>
            <w:pPr>
              <w:ind w:firstLine="0" w:firstLineChars="0"/>
              <w:rPr>
                <w:rFonts w:eastAsia="仿宋_GB2312"/>
              </w:rPr>
            </w:pPr>
            <w:r>
              <w:rPr>
                <w:rFonts w:eastAsia="仿宋_GB2312"/>
              </w:rPr>
              <w:t>3</w:t>
            </w:r>
            <w:r>
              <w:rPr>
                <w:rFonts w:hint="eastAsia" w:eastAsia="仿宋_GB2312"/>
                <w:lang w:val="en"/>
              </w:rPr>
              <w:t>0</w:t>
            </w:r>
            <w:r>
              <w:rPr>
                <w:rFonts w:hint="default" w:eastAsia="仿宋_GB2312"/>
                <w:lang w:val="en"/>
              </w:rPr>
              <w:t>.</w:t>
            </w:r>
            <w:r>
              <w:rPr>
                <w:rFonts w:eastAsia="仿宋_GB2312"/>
              </w:rPr>
              <w:t>加强危险货物道路运输安全监督管理，提升危险货物运输安全水平。</w:t>
            </w:r>
          </w:p>
          <w:p>
            <w:pPr>
              <w:ind w:firstLine="0" w:firstLineChars="0"/>
              <w:rPr>
                <w:rFonts w:eastAsia="仿宋_GB2312"/>
                <w:b/>
                <w:bCs/>
              </w:rPr>
            </w:pPr>
            <w:r>
              <w:rPr>
                <w:rFonts w:eastAsia="仿宋_GB2312"/>
              </w:rPr>
              <w:t>3</w:t>
            </w:r>
            <w:r>
              <w:rPr>
                <w:rFonts w:hint="eastAsia" w:eastAsia="仿宋_GB2312"/>
              </w:rPr>
              <w:t>1</w:t>
            </w:r>
            <w:r>
              <w:rPr>
                <w:rFonts w:hint="default" w:eastAsia="仿宋_GB2312"/>
                <w:lang w:val="en"/>
              </w:rPr>
              <w:t>.</w:t>
            </w:r>
            <w:r>
              <w:rPr>
                <w:rFonts w:eastAsia="仿宋_GB2312"/>
              </w:rPr>
              <w:t>实行建设用地土壤污染风险管控和修复名录制度。对列入建设用地土壤污染风险管控和修复名录中的地块，不得作为住宅、公共管理与公共服务用地。未达到土壤污染风险评估报告确定的风险管控、修复目标的建设用地地块，禁止开工建设任何与风险管控、修复无关的项目。</w:t>
            </w:r>
          </w:p>
          <w:p>
            <w:pPr>
              <w:ind w:firstLine="0" w:firstLineChars="0"/>
              <w:rPr>
                <w:rFonts w:eastAsia="仿宋_GB2312"/>
              </w:rPr>
            </w:pPr>
            <w:r>
              <w:rPr>
                <w:rFonts w:eastAsia="仿宋_GB2312"/>
              </w:rPr>
              <w:t>3</w:t>
            </w:r>
            <w:r>
              <w:rPr>
                <w:rFonts w:hint="eastAsia" w:eastAsia="仿宋_GB2312"/>
                <w:lang w:val="en"/>
              </w:rPr>
              <w:t>2</w:t>
            </w:r>
            <w:r>
              <w:rPr>
                <w:rFonts w:hint="default" w:eastAsia="仿宋_GB2312"/>
                <w:lang w:val="en"/>
              </w:rPr>
              <w:t>.</w:t>
            </w:r>
            <w:r>
              <w:rPr>
                <w:rFonts w:eastAsia="仿宋_GB2312"/>
              </w:rPr>
              <w:t>新（改、扩）建涉及有毒有害物质、可能造成土壤污染的建设项目，严格落实土壤和地下水污染防治要求，重点企业定期开展土壤及地下水环境自行监测、污染隐患排查。</w:t>
            </w:r>
          </w:p>
          <w:p>
            <w:pPr>
              <w:ind w:firstLine="0" w:firstLineChars="0"/>
              <w:rPr>
                <w:rFonts w:eastAsia="仿宋_GB2312"/>
                <w:color w:val="000000" w:themeColor="text1"/>
                <w14:textFill>
                  <w14:solidFill>
                    <w14:schemeClr w14:val="tx1"/>
                  </w14:solidFill>
                </w14:textFill>
              </w:rPr>
            </w:pPr>
            <w:r>
              <w:rPr>
                <w:rFonts w:hint="eastAsia" w:eastAsia="仿宋_GB2312"/>
              </w:rPr>
              <w:t>3</w:t>
            </w:r>
            <w:r>
              <w:rPr>
                <w:rFonts w:hint="eastAsia" w:eastAsia="仿宋_GB2312"/>
                <w:lang w:val="en"/>
              </w:rPr>
              <w:t>3</w:t>
            </w:r>
            <w:r>
              <w:rPr>
                <w:rFonts w:hint="default" w:eastAsia="仿宋_GB2312"/>
                <w:lang w:val="en"/>
              </w:rPr>
              <w:t>.</w:t>
            </w:r>
            <w:r>
              <w:rPr>
                <w:rFonts w:eastAsia="仿宋_GB2312"/>
              </w:rPr>
              <w:t>加强石油、化工、有色金属等行业腾退地块污染风险管控，落实优先监管地块清单管理。推动用途变更为“一住两公”（住宅、公共管理、公共服务）地块土壤污染状况调查全覆盖，建立分级评审机制，严格落实准入管理，有效保障重点建设用地安全利用。</w:t>
            </w:r>
          </w:p>
        </w:tc>
        <w:tc>
          <w:tcPr>
            <w:tcW w:w="1145" w:type="pct"/>
            <w:vAlign w:val="center"/>
          </w:tcPr>
          <w:p>
            <w:pPr>
              <w:spacing w:line="240" w:lineRule="auto"/>
              <w:ind w:firstLine="0" w:firstLineChars="0"/>
              <w:rPr>
                <w:rFonts w:eastAsia="仿宋_GB2312"/>
              </w:rPr>
            </w:pPr>
            <w:r>
              <w:rPr>
                <w:rFonts w:eastAsia="仿宋_GB2312"/>
                <w:lang w:val="en"/>
              </w:rPr>
              <w:t>2</w:t>
            </w:r>
            <w:r>
              <w:rPr>
                <w:rFonts w:hint="eastAsia" w:eastAsia="仿宋_GB2312"/>
                <w:lang w:val="en"/>
              </w:rPr>
              <w:t>7-28</w:t>
            </w:r>
            <w:r>
              <w:rPr>
                <w:rFonts w:hint="default" w:eastAsia="仿宋_GB2312"/>
                <w:lang w:val="en"/>
              </w:rPr>
              <w:t>.</w:t>
            </w:r>
            <w:r>
              <w:rPr>
                <w:rFonts w:eastAsia="仿宋_GB2312"/>
              </w:rPr>
              <w:t>《天津市生态环境保护“十四五”规划》</w:t>
            </w:r>
          </w:p>
          <w:p>
            <w:pPr>
              <w:spacing w:line="240" w:lineRule="auto"/>
              <w:ind w:firstLine="0" w:firstLineChars="0"/>
              <w:rPr>
                <w:rFonts w:eastAsia="仿宋_GB2312"/>
              </w:rPr>
            </w:pPr>
            <w:r>
              <w:rPr>
                <w:rFonts w:hint="eastAsia" w:eastAsia="仿宋_GB2312"/>
              </w:rPr>
              <w:t>29-30</w:t>
            </w:r>
            <w:r>
              <w:rPr>
                <w:rFonts w:hint="default" w:eastAsia="仿宋_GB2312"/>
                <w:lang w:val="en"/>
              </w:rPr>
              <w:t>.</w:t>
            </w:r>
            <w:r>
              <w:rPr>
                <w:rFonts w:eastAsia="仿宋_GB2312"/>
              </w:rPr>
              <w:t>《天津市石化化工产业高质量发展实施方案》</w:t>
            </w:r>
          </w:p>
          <w:p>
            <w:pPr>
              <w:spacing w:line="240" w:lineRule="auto"/>
              <w:ind w:firstLine="0" w:firstLineChars="0"/>
              <w:rPr>
                <w:rFonts w:eastAsia="仿宋_GB2312"/>
              </w:rPr>
            </w:pPr>
            <w:r>
              <w:rPr>
                <w:rFonts w:eastAsia="仿宋_GB2312"/>
              </w:rPr>
              <w:t>3</w:t>
            </w:r>
            <w:r>
              <w:rPr>
                <w:rFonts w:hint="eastAsia" w:eastAsia="仿宋_GB2312"/>
                <w:lang w:val="en"/>
              </w:rPr>
              <w:t>1</w:t>
            </w:r>
            <w:r>
              <w:rPr>
                <w:rFonts w:hint="default" w:eastAsia="仿宋_GB2312"/>
                <w:lang w:val="en"/>
              </w:rPr>
              <w:t>.</w:t>
            </w:r>
            <w:r>
              <w:rPr>
                <w:rFonts w:eastAsia="仿宋_GB2312"/>
              </w:rPr>
              <w:t>《天津市土壤污染防治条例》</w:t>
            </w:r>
          </w:p>
          <w:p>
            <w:pPr>
              <w:spacing w:line="240" w:lineRule="auto"/>
              <w:ind w:firstLine="0" w:firstLineChars="0"/>
              <w:rPr>
                <w:rFonts w:eastAsia="仿宋_GB2312"/>
              </w:rPr>
            </w:pPr>
            <w:r>
              <w:rPr>
                <w:rFonts w:eastAsia="仿宋_GB2312"/>
              </w:rPr>
              <w:t>3</w:t>
            </w:r>
            <w:r>
              <w:rPr>
                <w:rFonts w:hint="eastAsia" w:eastAsia="仿宋_GB2312"/>
                <w:lang w:val="en"/>
              </w:rPr>
              <w:t>2</w:t>
            </w:r>
            <w:r>
              <w:rPr>
                <w:rFonts w:hint="default" w:eastAsia="仿宋_GB2312"/>
                <w:lang w:val="en"/>
              </w:rPr>
              <w:t>.</w:t>
            </w:r>
            <w:r>
              <w:rPr>
                <w:rFonts w:eastAsia="仿宋_GB2312"/>
              </w:rPr>
              <w:t>《天津市生态环境保护“十四五”规划》</w:t>
            </w:r>
          </w:p>
          <w:p>
            <w:pPr>
              <w:spacing w:line="240" w:lineRule="auto"/>
              <w:ind w:firstLine="0" w:firstLineChars="0"/>
              <w:rPr>
                <w:rFonts w:eastAsia="仿宋_GB2312"/>
              </w:rPr>
            </w:pPr>
            <w:r>
              <w:rPr>
                <w:rFonts w:hint="eastAsia" w:eastAsia="仿宋_GB2312"/>
              </w:rPr>
              <w:t>3</w:t>
            </w:r>
            <w:r>
              <w:rPr>
                <w:rFonts w:hint="eastAsia" w:eastAsia="仿宋_GB2312"/>
                <w:lang w:val="en"/>
              </w:rPr>
              <w:t>3</w:t>
            </w:r>
            <w:r>
              <w:rPr>
                <w:rFonts w:hint="default" w:eastAsia="仿宋_GB2312"/>
                <w:lang w:val="en"/>
              </w:rPr>
              <w:t>.</w:t>
            </w:r>
            <w:r>
              <w:rPr>
                <w:rFonts w:eastAsia="仿宋_GB2312"/>
              </w:rPr>
              <w:t>《天津市持续深入打好污染防治攻坚战三年行动方案》</w:t>
            </w:r>
          </w:p>
          <w:p>
            <w:pPr>
              <w:spacing w:line="240" w:lineRule="auto"/>
              <w:ind w:firstLine="0" w:firstLineChars="0"/>
              <w:rPr>
                <w:rFonts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491" w:type="pct"/>
            <w:vMerge w:val="continue"/>
            <w:vAlign w:val="center"/>
          </w:tcPr>
          <w:p>
            <w:pPr>
              <w:pStyle w:val="17"/>
              <w:rPr>
                <w:rFonts w:eastAsia="仿宋_GB2312"/>
              </w:rPr>
            </w:pPr>
          </w:p>
        </w:tc>
        <w:tc>
          <w:tcPr>
            <w:tcW w:w="3363" w:type="pct"/>
          </w:tcPr>
          <w:p>
            <w:pPr>
              <w:ind w:firstLine="0" w:firstLineChars="0"/>
              <w:rPr>
                <w:rFonts w:eastAsia="仿宋_GB2312"/>
              </w:rPr>
            </w:pPr>
            <w:r>
              <w:rPr>
                <w:rFonts w:hint="eastAsia" w:eastAsia="仿宋_GB2312"/>
              </w:rPr>
              <w:t>3</w:t>
            </w:r>
            <w:r>
              <w:rPr>
                <w:rFonts w:hint="eastAsia" w:eastAsia="仿宋_GB2312"/>
                <w:lang w:val="en"/>
              </w:rPr>
              <w:t>4</w:t>
            </w:r>
            <w:r>
              <w:rPr>
                <w:rFonts w:hint="eastAsia" w:eastAsia="仿宋_GB2312"/>
              </w:rPr>
              <w:t>.对存在土壤污染风险较大的高风险地块，采取专门应对措施加强管理。对重点行业企业和高风险企业地块出让的，需完成地块场地调查，确定地块不再存在污染等情况后，才能进行下一步手续的办理工作。</w:t>
            </w:r>
          </w:p>
          <w:p>
            <w:pPr>
              <w:ind w:firstLine="0" w:firstLineChars="0"/>
              <w:rPr>
                <w:rFonts w:eastAsia="仿宋_GB2312"/>
              </w:rPr>
            </w:pPr>
            <w:r>
              <w:rPr>
                <w:rFonts w:eastAsia="仿宋_GB2312"/>
                <w:lang w:val="en"/>
              </w:rPr>
              <w:t>3</w:t>
            </w:r>
            <w:r>
              <w:rPr>
                <w:rFonts w:hint="eastAsia" w:eastAsia="仿宋_GB2312"/>
                <w:lang w:val="en"/>
              </w:rPr>
              <w:t>5</w:t>
            </w:r>
            <w:r>
              <w:rPr>
                <w:rFonts w:hint="eastAsia" w:eastAsia="仿宋_GB2312"/>
              </w:rPr>
              <w:t>.对拟收回土地使用权的重点行业企业用地和从事过危险废物贮存、利用、处置活动的用地，以及用途拟变更为居住和商业、学校、医疗、养老机构等公共设施的上述企业用地，由土地使用权人负责开展土壤环境状况调查评估，并做好建设用地土壤污染调查报告评审工作。</w:t>
            </w:r>
          </w:p>
        </w:tc>
        <w:tc>
          <w:tcPr>
            <w:tcW w:w="1145" w:type="pct"/>
            <w:vAlign w:val="center"/>
          </w:tcPr>
          <w:p>
            <w:pPr>
              <w:spacing w:line="240" w:lineRule="auto"/>
              <w:ind w:firstLine="0" w:firstLineChars="0"/>
              <w:rPr>
                <w:rFonts w:eastAsia="仿宋_GB2312"/>
              </w:rPr>
            </w:pPr>
            <w:r>
              <w:rPr>
                <w:rFonts w:hint="eastAsia" w:eastAsia="仿宋_GB2312"/>
              </w:rPr>
              <w:t>3</w:t>
            </w:r>
            <w:r>
              <w:rPr>
                <w:rFonts w:hint="eastAsia" w:eastAsia="仿宋_GB2312"/>
                <w:lang w:val="en"/>
              </w:rPr>
              <w:t>4-35</w:t>
            </w:r>
            <w:r>
              <w:rPr>
                <w:rFonts w:hint="default" w:eastAsia="仿宋_GB2312"/>
                <w:lang w:val="en"/>
              </w:rPr>
              <w:t>.</w:t>
            </w:r>
            <w:r>
              <w:rPr>
                <w:rFonts w:hint="eastAsia" w:eastAsia="仿宋_GB2312"/>
              </w:rPr>
              <w:t>南开区生态环境保护“十四五”规划（南开政办发〔2021〕13号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491" w:type="pct"/>
            <w:vAlign w:val="center"/>
          </w:tcPr>
          <w:p>
            <w:pPr>
              <w:pStyle w:val="17"/>
              <w:rPr>
                <w:rFonts w:eastAsia="仿宋_GB2312"/>
              </w:rPr>
            </w:pPr>
            <w:r>
              <w:rPr>
                <w:rFonts w:eastAsia="仿宋_GB2312"/>
              </w:rPr>
              <w:t>资源利用效率要求</w:t>
            </w:r>
          </w:p>
        </w:tc>
        <w:tc>
          <w:tcPr>
            <w:tcW w:w="3363" w:type="pct"/>
          </w:tcPr>
          <w:p>
            <w:pPr>
              <w:ind w:firstLine="0" w:firstLineChars="0"/>
              <w:rPr>
                <w:rFonts w:eastAsia="仿宋_GB2312"/>
              </w:rPr>
            </w:pPr>
            <w:r>
              <w:rPr>
                <w:rFonts w:eastAsia="仿宋_GB2312"/>
                <w:lang w:val="en"/>
              </w:rPr>
              <w:t>3</w:t>
            </w:r>
            <w:r>
              <w:rPr>
                <w:rFonts w:hint="eastAsia" w:eastAsia="仿宋_GB2312"/>
                <w:lang w:val="en"/>
              </w:rPr>
              <w:t>6</w:t>
            </w:r>
            <w:r>
              <w:rPr>
                <w:rFonts w:hint="default" w:eastAsia="仿宋_GB2312"/>
                <w:lang w:val="en"/>
              </w:rPr>
              <w:t>.</w:t>
            </w:r>
            <w:r>
              <w:rPr>
                <w:rFonts w:eastAsia="仿宋_GB2312"/>
              </w:rPr>
              <w:t>持续提高电能占终端能源消费比重，推动能源供给体系清洁化低碳化和终端能源消费电气化。</w:t>
            </w:r>
          </w:p>
          <w:p>
            <w:pPr>
              <w:ind w:firstLine="0" w:firstLineChars="0"/>
              <w:rPr>
                <w:rFonts w:eastAsia="仿宋_GB2312"/>
              </w:rPr>
            </w:pPr>
            <w:r>
              <w:rPr>
                <w:rFonts w:eastAsia="仿宋_GB2312"/>
                <w:lang w:val="en"/>
              </w:rPr>
              <w:t>3</w:t>
            </w:r>
            <w:r>
              <w:rPr>
                <w:rFonts w:hint="eastAsia" w:eastAsia="仿宋_GB2312"/>
                <w:lang w:val="en"/>
              </w:rPr>
              <w:t>7</w:t>
            </w:r>
            <w:r>
              <w:rPr>
                <w:rFonts w:hint="default" w:eastAsia="仿宋_GB2312"/>
                <w:lang w:val="en"/>
              </w:rPr>
              <w:t>.</w:t>
            </w:r>
            <w:r>
              <w:rPr>
                <w:rFonts w:eastAsia="仿宋_GB2312"/>
              </w:rPr>
              <w:t>坚持集中式和分布式并重，加快绿色能源发展。大力开发太阳能，有效利用风资源，有序开发中深层水热型地热能，因地制宜开发生物质能。持续扩大天然气供应，优化天然气利用结构和方式。</w:t>
            </w:r>
          </w:p>
        </w:tc>
        <w:tc>
          <w:tcPr>
            <w:tcW w:w="1145" w:type="pct"/>
            <w:vAlign w:val="center"/>
          </w:tcPr>
          <w:p>
            <w:pPr>
              <w:spacing w:line="240" w:lineRule="auto"/>
              <w:ind w:firstLine="0" w:firstLineChars="0"/>
              <w:rPr>
                <w:rFonts w:eastAsia="仿宋_GB2312"/>
              </w:rPr>
            </w:pPr>
            <w:r>
              <w:rPr>
                <w:rFonts w:eastAsia="仿宋_GB2312"/>
                <w:lang w:val="en"/>
              </w:rPr>
              <w:t>3</w:t>
            </w:r>
            <w:r>
              <w:rPr>
                <w:rFonts w:hint="eastAsia" w:eastAsia="仿宋_GB2312"/>
                <w:lang w:val="en"/>
              </w:rPr>
              <w:t>6</w:t>
            </w:r>
            <w:r>
              <w:rPr>
                <w:rFonts w:hint="default" w:eastAsia="仿宋_GB2312"/>
                <w:lang w:val="en"/>
              </w:rPr>
              <w:t>.</w:t>
            </w:r>
            <w:r>
              <w:rPr>
                <w:rFonts w:eastAsia="仿宋_GB2312"/>
              </w:rPr>
              <w:t>《天津市减污降碳协同增效实施方案》</w:t>
            </w:r>
          </w:p>
          <w:p>
            <w:pPr>
              <w:spacing w:line="240" w:lineRule="auto"/>
              <w:ind w:firstLine="0" w:firstLineChars="0"/>
              <w:rPr>
                <w:rFonts w:eastAsia="仿宋_GB2312"/>
              </w:rPr>
            </w:pPr>
            <w:r>
              <w:rPr>
                <w:rFonts w:eastAsia="仿宋_GB2312"/>
              </w:rPr>
              <w:t>3</w:t>
            </w:r>
            <w:r>
              <w:rPr>
                <w:rFonts w:hint="eastAsia" w:eastAsia="仿宋_GB2312"/>
                <w:lang w:val="en"/>
              </w:rPr>
              <w:t>7</w:t>
            </w:r>
            <w:r>
              <w:rPr>
                <w:rFonts w:hint="default" w:eastAsia="仿宋_GB2312"/>
                <w:lang w:val="en"/>
              </w:rPr>
              <w:t>.</w:t>
            </w:r>
            <w:r>
              <w:rPr>
                <w:rFonts w:eastAsia="仿宋_GB2312"/>
              </w:rPr>
              <w:t>《天津市能源发展“十四五”规划》</w:t>
            </w:r>
          </w:p>
          <w:p>
            <w:pPr>
              <w:spacing w:line="240" w:lineRule="auto"/>
              <w:ind w:firstLine="0" w:firstLineChars="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491" w:type="pct"/>
            <w:vAlign w:val="center"/>
          </w:tcPr>
          <w:p>
            <w:pPr>
              <w:pStyle w:val="17"/>
              <w:rPr>
                <w:rFonts w:eastAsia="仿宋_GB2312"/>
              </w:rPr>
            </w:pPr>
          </w:p>
        </w:tc>
        <w:tc>
          <w:tcPr>
            <w:tcW w:w="3363" w:type="pct"/>
          </w:tcPr>
          <w:p>
            <w:pPr>
              <w:ind w:firstLine="0" w:firstLineChars="0"/>
              <w:rPr>
                <w:rFonts w:eastAsia="仿宋_GB2312"/>
                <w:color w:val="000000" w:themeColor="text1"/>
                <w14:textFill>
                  <w14:solidFill>
                    <w14:schemeClr w14:val="tx1"/>
                  </w14:solidFill>
                </w14:textFill>
              </w:rPr>
            </w:pPr>
            <w:r>
              <w:rPr>
                <w:rFonts w:eastAsia="仿宋_GB2312"/>
                <w:color w:val="000000" w:themeColor="text1"/>
                <w:lang w:val="en"/>
                <w14:textFill>
                  <w14:solidFill>
                    <w14:schemeClr w14:val="tx1"/>
                  </w14:solidFill>
                </w14:textFill>
              </w:rPr>
              <w:t>3</w:t>
            </w:r>
            <w:r>
              <w:rPr>
                <w:rFonts w:hint="eastAsia" w:eastAsia="仿宋_GB2312"/>
                <w:color w:val="000000" w:themeColor="text1"/>
                <w:lang w:val="en"/>
                <w14:textFill>
                  <w14:solidFill>
                    <w14:schemeClr w14:val="tx1"/>
                  </w14:solidFill>
                </w14:textFill>
              </w:rPr>
              <w:t>8</w:t>
            </w:r>
            <w:r>
              <w:rPr>
                <w:rFonts w:hint="eastAsia" w:eastAsia="仿宋_GB2312"/>
                <w:color w:val="000000" w:themeColor="text1"/>
                <w14:textFill>
                  <w14:solidFill>
                    <w14:schemeClr w14:val="tx1"/>
                  </w14:solidFill>
                </w14:textFill>
              </w:rPr>
              <w:t>.在保障能源安全的前提下，严控新上耗煤项目，巩固辖区内规上工业煤炭消费清零成果。有序扩大天然气利用规模。大力发展新能源，加快发展分布式光伏发电，有序开发地热能，积极推动地热资源集约高效利用。</w:t>
            </w:r>
          </w:p>
          <w:p>
            <w:pPr>
              <w:ind w:firstLine="0" w:firstLineChars="0"/>
              <w:rPr>
                <w:rFonts w:eastAsia="仿宋_GB2312"/>
              </w:rPr>
            </w:pPr>
            <w:r>
              <w:rPr>
                <w:rFonts w:hint="eastAsia" w:eastAsia="仿宋_GB2312"/>
                <w:lang w:val="en"/>
              </w:rPr>
              <w:t>39</w:t>
            </w:r>
            <w:r>
              <w:rPr>
                <w:rFonts w:hint="eastAsia" w:eastAsia="仿宋_GB2312"/>
              </w:rPr>
              <w:t>.加快园区、重点行业和企业绿色化循环化改造，实现能源梯级利用、水资源循环利用、废物综合利用。实现重点用能行业、设备节能标准全覆盖。新建项目单位产品（产值）能耗须达到国际先进水平。持续推进供热计量改革，加快全区既有居住建筑供热计量改造。</w:t>
            </w:r>
          </w:p>
          <w:p>
            <w:pPr>
              <w:ind w:firstLine="0" w:firstLineChars="0"/>
              <w:rPr>
                <w:rFonts w:eastAsia="仿宋_GB2312"/>
              </w:rPr>
            </w:pPr>
            <w:r>
              <w:rPr>
                <w:rFonts w:hint="eastAsia" w:eastAsia="仿宋_GB2312"/>
              </w:rPr>
              <w:t>4</w:t>
            </w:r>
            <w:r>
              <w:rPr>
                <w:rFonts w:hint="eastAsia" w:eastAsia="仿宋_GB2312"/>
                <w:lang w:val="en"/>
              </w:rPr>
              <w:t>0</w:t>
            </w:r>
            <w:r>
              <w:rPr>
                <w:rFonts w:hint="eastAsia" w:eastAsia="仿宋_GB2312"/>
              </w:rPr>
              <w:t>.实行水资源消耗总量和强度双控，确立水资源开发利用和用水效率控制红线。</w:t>
            </w:r>
          </w:p>
          <w:p>
            <w:pPr>
              <w:ind w:firstLine="0" w:firstLineChars="0"/>
              <w:rPr>
                <w:rFonts w:eastAsia="仿宋_GB2312"/>
              </w:rPr>
            </w:pPr>
            <w:r>
              <w:rPr>
                <w:rFonts w:eastAsia="仿宋_GB2312"/>
                <w:lang w:val="en"/>
              </w:rPr>
              <w:t>4</w:t>
            </w:r>
            <w:r>
              <w:rPr>
                <w:rFonts w:hint="eastAsia" w:eastAsia="仿宋_GB2312"/>
                <w:lang w:val="en"/>
              </w:rPr>
              <w:t>1</w:t>
            </w:r>
            <w:r>
              <w:rPr>
                <w:rFonts w:hint="eastAsia" w:eastAsia="仿宋_GB2312"/>
              </w:rPr>
              <w:t>.大运河核心监控区域内执行《大运河天津段核心监控区国土空间管控细则（试行）》及相关规划的要求，严禁在地下水超采区开采地下水，非超采区严格控制地下水开采，严禁其他矿产资源开采。</w:t>
            </w:r>
          </w:p>
        </w:tc>
        <w:tc>
          <w:tcPr>
            <w:tcW w:w="1145" w:type="pct"/>
            <w:vAlign w:val="center"/>
          </w:tcPr>
          <w:p>
            <w:pPr>
              <w:spacing w:line="240" w:lineRule="auto"/>
              <w:ind w:firstLine="0" w:firstLineChars="0"/>
              <w:rPr>
                <w:rFonts w:eastAsia="仿宋_GB2312"/>
              </w:rPr>
            </w:pPr>
            <w:r>
              <w:rPr>
                <w:rFonts w:eastAsia="仿宋_GB2312"/>
                <w:lang w:val="en"/>
              </w:rPr>
              <w:t>3</w:t>
            </w:r>
            <w:r>
              <w:rPr>
                <w:rFonts w:hint="eastAsia" w:eastAsia="仿宋_GB2312"/>
                <w:lang w:val="en"/>
              </w:rPr>
              <w:t>8</w:t>
            </w:r>
            <w:r>
              <w:rPr>
                <w:rFonts w:hint="default" w:eastAsia="仿宋_GB2312"/>
                <w:lang w:val="en"/>
              </w:rPr>
              <w:t>.</w:t>
            </w:r>
            <w:r>
              <w:rPr>
                <w:rFonts w:hint="eastAsia" w:eastAsia="仿宋_GB2312"/>
              </w:rPr>
              <w:t>南开区人民政府关于印发天津市南开区碳达峰实施方案的通知（南开政发〔2022〕10号）</w:t>
            </w:r>
          </w:p>
          <w:p>
            <w:pPr>
              <w:spacing w:line="240" w:lineRule="auto"/>
              <w:ind w:firstLine="0" w:firstLineChars="0"/>
              <w:rPr>
                <w:rFonts w:eastAsia="仿宋_GB2312"/>
              </w:rPr>
            </w:pPr>
            <w:r>
              <w:rPr>
                <w:rFonts w:hint="eastAsia" w:eastAsia="仿宋_GB2312"/>
              </w:rPr>
              <w:t>39-40</w:t>
            </w:r>
            <w:r>
              <w:rPr>
                <w:rFonts w:hint="default" w:eastAsia="仿宋_GB2312"/>
                <w:lang w:val="en"/>
              </w:rPr>
              <w:t>.</w:t>
            </w:r>
            <w:r>
              <w:rPr>
                <w:rFonts w:hint="eastAsia" w:eastAsia="仿宋_GB2312"/>
              </w:rPr>
              <w:t>南开区生态环境保护“十四五”规划（南开政办发〔2021〕13号 ）</w:t>
            </w:r>
          </w:p>
          <w:p>
            <w:pPr>
              <w:spacing w:line="240" w:lineRule="auto"/>
              <w:ind w:firstLine="0" w:firstLineChars="0"/>
              <w:rPr>
                <w:rFonts w:eastAsia="仿宋_GB2312"/>
              </w:rPr>
            </w:pPr>
            <w:r>
              <w:rPr>
                <w:rFonts w:eastAsia="仿宋_GB2312"/>
                <w:lang w:val="en"/>
              </w:rPr>
              <w:t>4</w:t>
            </w:r>
            <w:r>
              <w:rPr>
                <w:rFonts w:hint="eastAsia" w:eastAsia="仿宋_GB2312"/>
                <w:lang w:val="en"/>
              </w:rPr>
              <w:t>1</w:t>
            </w:r>
            <w:r>
              <w:rPr>
                <w:rFonts w:hint="default" w:eastAsia="仿宋_GB2312"/>
                <w:lang w:val="en"/>
              </w:rPr>
              <w:t>.</w:t>
            </w:r>
            <w:r>
              <w:rPr>
                <w:rFonts w:hint="eastAsia" w:eastAsia="仿宋_GB2312"/>
              </w:rPr>
              <w:t>《大运河天津段核心监控区国土空间管控细则（试行）》</w:t>
            </w:r>
          </w:p>
        </w:tc>
      </w:tr>
    </w:tbl>
    <w:p>
      <w:pPr>
        <w:topLinePunct/>
        <w:ind w:firstLine="680"/>
        <w:rPr>
          <w:rFonts w:hint="eastAsia" w:ascii="仿宋" w:hAnsi="仿宋"/>
          <w:color w:val="000000"/>
          <w:sz w:val="34"/>
          <w:szCs w:val="34"/>
        </w:rPr>
      </w:pPr>
    </w:p>
    <w:p>
      <w:pPr>
        <w:ind w:firstLine="560"/>
      </w:pPr>
    </w:p>
    <w:p>
      <w:pPr>
        <w:widowControl/>
        <w:ind w:firstLine="880"/>
        <w:jc w:val="center"/>
        <w:outlineLvl w:val="0"/>
        <w:rPr>
          <w:rFonts w:ascii="方正小标宋简体" w:eastAsia="方正小标宋简体"/>
          <w:sz w:val="44"/>
          <w:szCs w:val="44"/>
        </w:rPr>
      </w:pPr>
    </w:p>
    <w:p>
      <w:pPr>
        <w:widowControl/>
        <w:ind w:firstLine="880"/>
        <w:jc w:val="center"/>
        <w:outlineLvl w:val="0"/>
        <w:rPr>
          <w:rFonts w:ascii="方正小标宋简体" w:eastAsia="方正小标宋简体"/>
          <w:sz w:val="44"/>
          <w:szCs w:val="44"/>
        </w:rPr>
      </w:pPr>
    </w:p>
    <w:p>
      <w:pPr>
        <w:widowControl/>
        <w:ind w:firstLine="880"/>
        <w:jc w:val="center"/>
        <w:outlineLvl w:val="0"/>
        <w:rPr>
          <w:rFonts w:ascii="方正小标宋简体" w:eastAsia="方正小标宋简体"/>
          <w:sz w:val="44"/>
          <w:szCs w:val="44"/>
        </w:rPr>
      </w:pPr>
    </w:p>
    <w:p>
      <w:pPr>
        <w:widowControl/>
        <w:ind w:firstLine="0" w:firstLineChars="0"/>
        <w:jc w:val="center"/>
        <w:outlineLvl w:val="0"/>
        <w:rPr>
          <w:rFonts w:hint="eastAsia" w:ascii="仿宋" w:hAnsi="仿宋" w:eastAsia="方正小标宋简体"/>
          <w:b/>
          <w:sz w:val="20"/>
          <w:szCs w:val="20"/>
        </w:rPr>
      </w:pPr>
      <w:bookmarkStart w:id="4" w:name="_Toc1706261083"/>
      <w:r>
        <w:rPr>
          <w:rFonts w:hint="eastAsia" w:ascii="方正小标宋简体" w:eastAsia="方正小标宋简体"/>
          <w:sz w:val="44"/>
          <w:szCs w:val="44"/>
        </w:rPr>
        <w:t>天津市生态环境准入清单南开区单元管控要求</w:t>
      </w:r>
      <w:bookmarkEnd w:id="4"/>
    </w:p>
    <w:p>
      <w:pPr>
        <w:widowControl/>
        <w:ind w:firstLine="360" w:firstLineChars="100"/>
        <w:jc w:val="left"/>
        <w:outlineLvl w:val="0"/>
        <w:rPr>
          <w:rFonts w:hint="eastAsia" w:ascii="仿宋" w:hAnsi="仿宋"/>
          <w:bCs/>
          <w:sz w:val="36"/>
          <w:szCs w:val="36"/>
        </w:rPr>
      </w:pPr>
    </w:p>
    <w:p>
      <w:pPr>
        <w:widowControl/>
        <w:ind w:firstLine="360" w:firstLineChars="100"/>
        <w:jc w:val="left"/>
        <w:outlineLvl w:val="0"/>
        <w:rPr>
          <w:rFonts w:hint="eastAsia" w:ascii="仿宋" w:hAnsi="仿宋"/>
          <w:bCs/>
          <w:sz w:val="36"/>
          <w:szCs w:val="36"/>
        </w:rPr>
      </w:pPr>
      <w:bookmarkStart w:id="5" w:name="_Toc1818882120"/>
      <w:r>
        <w:rPr>
          <w:rFonts w:ascii="仿宋" w:hAnsi="仿宋"/>
          <w:bCs/>
          <w:sz w:val="36"/>
          <w:szCs w:val="36"/>
        </w:rPr>
        <w:t>1</w:t>
      </w:r>
      <w:r>
        <w:rPr>
          <w:rFonts w:hint="eastAsia" w:ascii="仿宋" w:hAnsi="仿宋"/>
          <w:bCs/>
          <w:sz w:val="36"/>
          <w:szCs w:val="36"/>
        </w:rPr>
        <w:t>、优先保护单元管控要求</w:t>
      </w:r>
      <w:bookmarkEnd w:id="5"/>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211"/>
        <w:gridCol w:w="777"/>
        <w:gridCol w:w="845"/>
        <w:gridCol w:w="862"/>
        <w:gridCol w:w="4332"/>
        <w:gridCol w:w="844"/>
        <w:gridCol w:w="893"/>
        <w:gridCol w:w="3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405"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_GB2312" w:hAnsi="仿宋_GB2312" w:eastAsia="仿宋_GB2312"/>
                <w:kern w:val="0"/>
              </w:rPr>
            </w:pPr>
            <w:r>
              <w:rPr>
                <w:rFonts w:hint="eastAsia" w:ascii="仿宋_GB2312" w:hAnsi="仿宋_GB2312" w:eastAsia="仿宋_GB2312"/>
                <w:kern w:val="0"/>
              </w:rPr>
              <w:t>环境管控单元编码</w:t>
            </w:r>
          </w:p>
        </w:tc>
        <w:tc>
          <w:tcPr>
            <w:tcW w:w="427"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_GB2312" w:hAnsi="仿宋_GB2312" w:eastAsia="仿宋_GB2312"/>
                <w:kern w:val="0"/>
              </w:rPr>
            </w:pPr>
            <w:r>
              <w:rPr>
                <w:rFonts w:hint="eastAsia" w:ascii="仿宋_GB2312" w:hAnsi="仿宋_GB2312" w:eastAsia="仿宋_GB2312"/>
                <w:kern w:val="0"/>
              </w:rPr>
              <w:t>环境管控单元名称</w:t>
            </w:r>
          </w:p>
        </w:tc>
        <w:tc>
          <w:tcPr>
            <w:tcW w:w="274" w:type="pct"/>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hint="eastAsia" w:ascii="仿宋_GB2312" w:hAnsi="仿宋_GB2312" w:eastAsia="仿宋_GB2312"/>
                <w:kern w:val="0"/>
              </w:rPr>
            </w:pPr>
            <w:r>
              <w:rPr>
                <w:rFonts w:hint="eastAsia" w:ascii="仿宋_GB2312" w:hAnsi="仿宋_GB2312" w:eastAsia="仿宋_GB2312"/>
                <w:kern w:val="0"/>
              </w:rPr>
              <w:t>行政区划</w:t>
            </w:r>
          </w:p>
          <w:p>
            <w:pPr>
              <w:widowControl/>
              <w:ind w:firstLine="560"/>
              <w:jc w:val="center"/>
              <w:rPr>
                <w:rFonts w:hint="eastAsia" w:ascii="仿宋_GB2312" w:hAnsi="仿宋_GB2312" w:eastAsia="仿宋_GB2312"/>
                <w:kern w:val="0"/>
              </w:rPr>
            </w:pPr>
          </w:p>
        </w:tc>
        <w:tc>
          <w:tcPr>
            <w:tcW w:w="298"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_GB2312" w:hAnsi="仿宋_GB2312" w:eastAsia="仿宋_GB2312"/>
                <w:kern w:val="0"/>
              </w:rPr>
            </w:pPr>
            <w:r>
              <w:rPr>
                <w:rFonts w:hint="eastAsia" w:ascii="仿宋_GB2312" w:hAnsi="仿宋_GB2312" w:eastAsia="仿宋_GB2312"/>
                <w:kern w:val="0"/>
              </w:rPr>
              <w:t>管控单元分类</w:t>
            </w:r>
          </w:p>
        </w:tc>
        <w:tc>
          <w:tcPr>
            <w:tcW w:w="304"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_GB2312" w:hAnsi="仿宋_GB2312" w:eastAsia="仿宋_GB2312"/>
                <w:kern w:val="0"/>
              </w:rPr>
            </w:pPr>
            <w:r>
              <w:rPr>
                <w:rFonts w:hint="eastAsia" w:ascii="仿宋_GB2312" w:hAnsi="仿宋_GB2312" w:eastAsia="仿宋_GB2312"/>
                <w:kern w:val="0"/>
              </w:rPr>
              <w:t>备注</w:t>
            </w:r>
          </w:p>
        </w:tc>
        <w:tc>
          <w:tcPr>
            <w:tcW w:w="1526" w:type="pct"/>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hint="eastAsia" w:ascii="仿宋_GB2312" w:hAnsi="仿宋_GB2312" w:eastAsia="仿宋_GB2312"/>
                <w:kern w:val="0"/>
              </w:rPr>
            </w:pPr>
            <w:r>
              <w:rPr>
                <w:rFonts w:hint="eastAsia" w:ascii="仿宋_GB2312" w:hAnsi="仿宋_GB2312" w:eastAsia="仿宋_GB2312"/>
                <w:kern w:val="0"/>
              </w:rPr>
              <w:t>空间布局约束</w:t>
            </w:r>
          </w:p>
        </w:tc>
        <w:tc>
          <w:tcPr>
            <w:tcW w:w="298" w:type="pct"/>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hint="eastAsia" w:ascii="仿宋_GB2312" w:hAnsi="仿宋_GB2312" w:eastAsia="仿宋_GB2312"/>
                <w:kern w:val="0"/>
              </w:rPr>
            </w:pPr>
            <w:r>
              <w:rPr>
                <w:rFonts w:hint="eastAsia" w:ascii="仿宋_GB2312" w:hAnsi="仿宋_GB2312" w:eastAsia="仿宋_GB2312"/>
                <w:kern w:val="0"/>
              </w:rPr>
              <w:t>污染物排放管控</w:t>
            </w:r>
          </w:p>
        </w:tc>
        <w:tc>
          <w:tcPr>
            <w:tcW w:w="315" w:type="pct"/>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rPr>
                <w:rFonts w:hint="eastAsia" w:ascii="仿宋_GB2312" w:hAnsi="仿宋_GB2312" w:eastAsia="仿宋_GB2312"/>
                <w:kern w:val="0"/>
              </w:rPr>
            </w:pPr>
            <w:r>
              <w:rPr>
                <w:rFonts w:hint="eastAsia" w:ascii="仿宋_GB2312" w:hAnsi="仿宋_GB2312" w:eastAsia="仿宋_GB2312"/>
                <w:kern w:val="0"/>
              </w:rPr>
              <w:t>环境风险防控</w:t>
            </w:r>
          </w:p>
        </w:tc>
        <w:tc>
          <w:tcPr>
            <w:tcW w:w="1148"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_GB2312" w:hAnsi="仿宋_GB2312" w:eastAsia="仿宋_GB2312"/>
                <w:kern w:val="0"/>
              </w:rPr>
            </w:pPr>
            <w:r>
              <w:rPr>
                <w:rFonts w:hint="eastAsia" w:ascii="仿宋_GB2312" w:hAnsi="仿宋_GB2312" w:eastAsia="仿宋_GB2312"/>
                <w:kern w:val="0"/>
              </w:rPr>
              <w:t>资源开发效率要求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5"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_GB2312" w:hAnsi="仿宋_GB2312" w:eastAsia="仿宋_GB2312"/>
                <w:kern w:val="0"/>
              </w:rPr>
            </w:pPr>
            <w:r>
              <w:rPr>
                <w:rFonts w:hint="eastAsia" w:ascii="仿宋_GB2312" w:hAnsi="仿宋_GB2312" w:eastAsia="仿宋_GB2312"/>
                <w:kern w:val="0"/>
              </w:rPr>
              <w:t>ZH12010410001</w:t>
            </w:r>
          </w:p>
        </w:tc>
        <w:tc>
          <w:tcPr>
            <w:tcW w:w="427"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_GB2312" w:hAnsi="仿宋_GB2312" w:eastAsia="仿宋_GB2312"/>
                <w:kern w:val="0"/>
              </w:rPr>
            </w:pPr>
            <w:r>
              <w:rPr>
                <w:rFonts w:hint="eastAsia" w:ascii="仿宋_GB2312" w:hAnsi="仿宋_GB2312" w:eastAsia="仿宋_GB2312"/>
                <w:kern w:val="0"/>
              </w:rPr>
              <w:t>海河河滨岸带生态保护红线</w:t>
            </w:r>
          </w:p>
        </w:tc>
        <w:tc>
          <w:tcPr>
            <w:tcW w:w="274"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_GB2312" w:hAnsi="仿宋_GB2312" w:eastAsia="仿宋_GB2312"/>
                <w:kern w:val="0"/>
              </w:rPr>
            </w:pPr>
            <w:r>
              <w:rPr>
                <w:rFonts w:hint="eastAsia" w:ascii="仿宋_GB2312" w:hAnsi="仿宋_GB2312" w:eastAsia="仿宋_GB2312"/>
                <w:kern w:val="0"/>
              </w:rPr>
              <w:t>南开区</w:t>
            </w:r>
          </w:p>
        </w:tc>
        <w:tc>
          <w:tcPr>
            <w:tcW w:w="298"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_GB2312" w:hAnsi="仿宋_GB2312" w:eastAsia="仿宋_GB2312"/>
                <w:kern w:val="0"/>
              </w:rPr>
            </w:pPr>
            <w:r>
              <w:rPr>
                <w:rFonts w:hint="eastAsia" w:ascii="仿宋_GB2312" w:hAnsi="仿宋_GB2312" w:eastAsia="仿宋_GB2312"/>
                <w:kern w:val="0"/>
              </w:rPr>
              <w:t>优先保护单元</w:t>
            </w:r>
          </w:p>
        </w:tc>
        <w:tc>
          <w:tcPr>
            <w:tcW w:w="304"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_GB2312" w:hAnsi="仿宋_GB2312" w:eastAsia="仿宋_GB2312"/>
                <w:kern w:val="0"/>
              </w:rPr>
            </w:pPr>
            <w:r>
              <w:rPr>
                <w:rFonts w:hint="eastAsia" w:ascii="仿宋_GB2312" w:hAnsi="仿宋_GB2312" w:eastAsia="仿宋_GB2312"/>
                <w:kern w:val="0"/>
              </w:rPr>
              <w:t>生态保护红线</w:t>
            </w:r>
          </w:p>
        </w:tc>
        <w:tc>
          <w:tcPr>
            <w:tcW w:w="1526"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ind w:left="0" w:leftChars="0" w:firstLine="560" w:firstLineChars="200"/>
              <w:rPr>
                <w:rFonts w:hint="eastAsia" w:ascii="仿宋_GB2312" w:hAnsi="仿宋_GB2312" w:eastAsia="仿宋_GB2312"/>
                <w:kern w:val="0"/>
              </w:rPr>
            </w:pPr>
            <w:r>
              <w:rPr>
                <w:rFonts w:hint="eastAsia" w:ascii="仿宋_GB2312" w:hAnsi="仿宋_GB2312" w:eastAsia="仿宋_GB2312"/>
                <w:kern w:val="0"/>
              </w:rPr>
              <w:t>执行市级总体管控要求和南开区区级管控要求。</w:t>
            </w:r>
          </w:p>
          <w:p>
            <w:pPr>
              <w:widowControl/>
              <w:numPr>
                <w:ilvl w:val="0"/>
                <w:numId w:val="1"/>
              </w:numPr>
              <w:ind w:left="0" w:leftChars="0" w:firstLine="560" w:firstLineChars="200"/>
              <w:rPr>
                <w:rFonts w:hint="eastAsia" w:ascii="仿宋_GB2312" w:hAnsi="仿宋_GB2312" w:eastAsia="仿宋_GB2312"/>
                <w:kern w:val="0"/>
              </w:rPr>
            </w:pPr>
            <w:r>
              <w:rPr>
                <w:rFonts w:hint="eastAsia" w:ascii="仿宋_GB2312" w:hAnsi="仿宋_GB2312" w:eastAsia="仿宋_GB2312"/>
                <w:kern w:val="0"/>
              </w:rPr>
              <w:t>加强生态保护红线管理。生态保护红线内，自然保护地核心保护区原则上禁止人为活动，国家另有规定的，从其规定；自然保护地核心保护区外，严格禁止开发性、生产性建设活动，在符合法律法规的前提下，仅允许对生态功能不造成破坏的有限人为活动。生态保护红线内自然保护区、风景名胜区、饮用水水源保护区等区域，除满足生态保护红线管控要求外，还应符合相应法律法规规定。加强生态保护红线实施情况的监督检查，强化各部门数据和成果实时共享，提升空间治理现代化水平。</w:t>
            </w:r>
          </w:p>
        </w:tc>
        <w:tc>
          <w:tcPr>
            <w:tcW w:w="298" w:type="pct"/>
            <w:tcBorders>
              <w:top w:val="single" w:color="auto" w:sz="4" w:space="0"/>
              <w:left w:val="single" w:color="auto" w:sz="4" w:space="0"/>
              <w:bottom w:val="single" w:color="auto" w:sz="4" w:space="0"/>
              <w:right w:val="single" w:color="auto" w:sz="4" w:space="0"/>
            </w:tcBorders>
            <w:vAlign w:val="center"/>
          </w:tcPr>
          <w:p>
            <w:pPr>
              <w:widowControl/>
              <w:ind w:firstLine="560"/>
              <w:jc w:val="center"/>
              <w:rPr>
                <w:rFonts w:hint="eastAsia" w:ascii="仿宋_GB2312" w:hAnsi="仿宋_GB2312" w:eastAsia="仿宋_GB2312"/>
                <w:kern w:val="0"/>
              </w:rPr>
            </w:pPr>
            <w:r>
              <w:rPr>
                <w:rFonts w:hint="eastAsia" w:ascii="仿宋_GB2312" w:hAnsi="仿宋_GB2312" w:eastAsia="仿宋_GB2312"/>
                <w:kern w:val="0"/>
              </w:rPr>
              <w:t>/</w:t>
            </w:r>
          </w:p>
        </w:tc>
        <w:tc>
          <w:tcPr>
            <w:tcW w:w="315" w:type="pct"/>
            <w:tcBorders>
              <w:top w:val="single" w:color="auto" w:sz="4" w:space="0"/>
              <w:left w:val="single" w:color="auto" w:sz="4" w:space="0"/>
              <w:bottom w:val="single" w:color="auto" w:sz="4" w:space="0"/>
              <w:right w:val="single" w:color="auto" w:sz="4" w:space="0"/>
            </w:tcBorders>
            <w:vAlign w:val="center"/>
          </w:tcPr>
          <w:p>
            <w:pPr>
              <w:widowControl/>
              <w:ind w:firstLine="560"/>
              <w:jc w:val="center"/>
              <w:rPr>
                <w:rFonts w:hint="eastAsia" w:ascii="仿宋_GB2312" w:hAnsi="仿宋_GB2312" w:eastAsia="仿宋_GB2312"/>
                <w:kern w:val="0"/>
              </w:rPr>
            </w:pPr>
            <w:r>
              <w:rPr>
                <w:rFonts w:hint="eastAsia" w:ascii="仿宋_GB2312" w:hAnsi="仿宋_GB2312" w:eastAsia="仿宋_GB2312"/>
                <w:kern w:val="0"/>
              </w:rPr>
              <w:t>/</w:t>
            </w:r>
          </w:p>
        </w:tc>
        <w:tc>
          <w:tcPr>
            <w:tcW w:w="1148" w:type="pct"/>
            <w:tcBorders>
              <w:top w:val="single" w:color="auto" w:sz="4" w:space="0"/>
              <w:left w:val="single" w:color="auto" w:sz="4" w:space="0"/>
              <w:bottom w:val="single" w:color="auto" w:sz="4" w:space="0"/>
              <w:right w:val="single" w:color="auto" w:sz="4" w:space="0"/>
            </w:tcBorders>
            <w:vAlign w:val="center"/>
          </w:tcPr>
          <w:p>
            <w:pPr>
              <w:widowControl/>
              <w:numPr>
                <w:ilvl w:val="0"/>
                <w:numId w:val="2"/>
              </w:numPr>
              <w:ind w:left="0" w:leftChars="0" w:firstLine="560" w:firstLineChars="200"/>
              <w:rPr>
                <w:rFonts w:hint="eastAsia" w:ascii="仿宋_GB2312" w:hAnsi="仿宋_GB2312" w:eastAsia="仿宋_GB2312"/>
                <w:kern w:val="0"/>
              </w:rPr>
            </w:pPr>
            <w:r>
              <w:rPr>
                <w:rFonts w:hint="eastAsia" w:ascii="仿宋_GB2312" w:hAnsi="仿宋_GB2312" w:eastAsia="仿宋_GB2312"/>
                <w:kern w:val="0"/>
              </w:rPr>
              <w:t>执行市级总体管控要求和南开区区级管控要求。</w:t>
            </w:r>
          </w:p>
          <w:p>
            <w:pPr>
              <w:widowControl/>
              <w:numPr>
                <w:ilvl w:val="0"/>
                <w:numId w:val="2"/>
              </w:numPr>
              <w:ind w:left="0" w:leftChars="0" w:firstLine="560" w:firstLineChars="200"/>
              <w:rPr>
                <w:rFonts w:hint="eastAsia" w:ascii="仿宋_GB2312" w:hAnsi="仿宋_GB2312" w:eastAsia="仿宋_GB2312"/>
                <w:kern w:val="0"/>
              </w:rPr>
            </w:pPr>
            <w:r>
              <w:rPr>
                <w:rFonts w:hint="eastAsia" w:ascii="仿宋_GB2312" w:hAnsi="仿宋_GB2312" w:eastAsia="仿宋_GB2312"/>
                <w:kern w:val="0"/>
              </w:rPr>
              <w:t>促进再生水利用，工业生产、城市绿化、车辆冲洗、建筑施工以及生态景观等用水优先使用再生水。</w:t>
            </w:r>
          </w:p>
          <w:p>
            <w:pPr>
              <w:widowControl/>
              <w:numPr>
                <w:ilvl w:val="0"/>
                <w:numId w:val="2"/>
              </w:numPr>
              <w:ind w:left="0" w:leftChars="0" w:firstLine="560" w:firstLineChars="200"/>
              <w:rPr>
                <w:rFonts w:hint="eastAsia" w:ascii="仿宋_GB2312" w:hAnsi="仿宋_GB2312" w:eastAsia="仿宋_GB2312"/>
                <w:kern w:val="0"/>
              </w:rPr>
            </w:pPr>
            <w:r>
              <w:rPr>
                <w:rFonts w:hint="eastAsia" w:ascii="仿宋_GB2312" w:hAnsi="仿宋_GB2312" w:eastAsia="仿宋_GB2312"/>
                <w:kern w:val="0"/>
              </w:rPr>
              <w:t>加强水资源管理。严格河湖岸线用途管控，遏制岸线不合理利用，强化水土流失防治，强化河湖生态水量监管，促进生态调水补水有序有效，维护水生态空间稳定。以水源地为重点，优化取水口布局，保障水源地供水安全。严控浅层地下水开发利用，防止新增浅层地下水超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5"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_GB2312" w:hAnsi="仿宋_GB2312" w:eastAsia="仿宋_GB2312"/>
                <w:kern w:val="0"/>
              </w:rPr>
            </w:pPr>
            <w:r>
              <w:rPr>
                <w:rFonts w:hint="eastAsia" w:ascii="仿宋_GB2312" w:hAnsi="仿宋_GB2312" w:eastAsia="仿宋_GB2312"/>
                <w:kern w:val="0"/>
              </w:rPr>
              <w:t>ZH12010410002</w:t>
            </w:r>
          </w:p>
        </w:tc>
        <w:tc>
          <w:tcPr>
            <w:tcW w:w="427"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_GB2312" w:hAnsi="仿宋_GB2312" w:eastAsia="仿宋_GB2312"/>
                <w:kern w:val="0"/>
              </w:rPr>
            </w:pPr>
            <w:r>
              <w:rPr>
                <w:rFonts w:hint="eastAsia" w:ascii="仿宋_GB2312" w:hAnsi="仿宋_GB2312" w:eastAsia="仿宋_GB2312"/>
                <w:kern w:val="0"/>
              </w:rPr>
              <w:t>南翠屏公园</w:t>
            </w:r>
          </w:p>
        </w:tc>
        <w:tc>
          <w:tcPr>
            <w:tcW w:w="274"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_GB2312" w:hAnsi="仿宋_GB2312" w:eastAsia="仿宋_GB2312"/>
                <w:kern w:val="0"/>
              </w:rPr>
            </w:pPr>
            <w:r>
              <w:rPr>
                <w:rFonts w:hint="eastAsia" w:ascii="仿宋_GB2312" w:hAnsi="仿宋_GB2312" w:eastAsia="仿宋_GB2312"/>
                <w:kern w:val="0"/>
              </w:rPr>
              <w:t>南开区</w:t>
            </w:r>
          </w:p>
        </w:tc>
        <w:tc>
          <w:tcPr>
            <w:tcW w:w="298"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_GB2312" w:hAnsi="仿宋_GB2312" w:eastAsia="仿宋_GB2312"/>
                <w:kern w:val="0"/>
              </w:rPr>
            </w:pPr>
            <w:r>
              <w:rPr>
                <w:rFonts w:hint="eastAsia" w:ascii="仿宋_GB2312" w:hAnsi="仿宋_GB2312" w:eastAsia="仿宋_GB2312"/>
                <w:kern w:val="0"/>
              </w:rPr>
              <w:t>优先保护单元</w:t>
            </w:r>
          </w:p>
        </w:tc>
        <w:tc>
          <w:tcPr>
            <w:tcW w:w="304"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_GB2312" w:hAnsi="仿宋_GB2312" w:eastAsia="仿宋_GB2312"/>
                <w:kern w:val="0"/>
              </w:rPr>
            </w:pPr>
            <w:r>
              <w:rPr>
                <w:rFonts w:hint="eastAsia" w:ascii="仿宋_GB2312" w:hAnsi="仿宋_GB2312" w:eastAsia="仿宋_GB2312"/>
                <w:kern w:val="0"/>
                <w:sz w:val="30"/>
              </w:rPr>
              <w:t>一般生态空间</w:t>
            </w:r>
          </w:p>
        </w:tc>
        <w:tc>
          <w:tcPr>
            <w:tcW w:w="1526" w:type="pct"/>
            <w:vMerge w:val="restart"/>
            <w:tcBorders>
              <w:top w:val="single" w:color="auto" w:sz="4" w:space="0"/>
              <w:left w:val="single" w:color="auto" w:sz="4" w:space="0"/>
              <w:right w:val="single" w:color="auto" w:sz="4" w:space="0"/>
            </w:tcBorders>
            <w:vAlign w:val="center"/>
          </w:tcPr>
          <w:p>
            <w:pPr>
              <w:widowControl/>
              <w:numPr>
                <w:ilvl w:val="0"/>
                <w:numId w:val="3"/>
              </w:numPr>
              <w:ind w:left="0" w:leftChars="0" w:firstLine="560" w:firstLineChars="200"/>
              <w:rPr>
                <w:rFonts w:hint="eastAsia" w:ascii="仿宋_GB2312" w:hAnsi="仿宋_GB2312" w:eastAsia="仿宋_GB2312"/>
                <w:kern w:val="0"/>
              </w:rPr>
            </w:pPr>
            <w:r>
              <w:rPr>
                <w:rFonts w:hint="eastAsia" w:ascii="仿宋_GB2312" w:hAnsi="仿宋_GB2312" w:eastAsia="仿宋_GB2312"/>
                <w:kern w:val="0"/>
              </w:rPr>
              <w:t>执行市级总体管控要求和南开区区级管控要求。</w:t>
            </w:r>
          </w:p>
          <w:p>
            <w:pPr>
              <w:widowControl/>
              <w:numPr>
                <w:ilvl w:val="0"/>
                <w:numId w:val="3"/>
              </w:numPr>
              <w:ind w:left="0" w:leftChars="0" w:firstLine="560" w:firstLineChars="200"/>
              <w:rPr>
                <w:rFonts w:hint="eastAsia" w:ascii="仿宋_GB2312" w:hAnsi="仿宋_GB2312" w:eastAsia="仿宋_GB2312"/>
                <w:kern w:val="0"/>
              </w:rPr>
            </w:pPr>
            <w:r>
              <w:rPr>
                <w:rFonts w:hint="eastAsia" w:ascii="仿宋_GB2312" w:hAnsi="仿宋_GB2312" w:eastAsia="仿宋_GB2312"/>
                <w:kern w:val="0"/>
              </w:rPr>
              <w:t>严格执行《天津市公园条例》《天津市城市规划管理技术规定》《天津市规划控制线管理规定》等规定。任何单位和个人不得擅自改变公园的用地性质，不得擅自占用公园用地不得在公园用地上进行经营性开发建设；绿化用地面积不得小于红线区范围内陆地面积的75%，建筑物基底占红线区范围内陆地面积的比例一般应小于5%；禁止取土、设置垃圾堆场、排放污水以及其他对生态环境构成破坏的活动以及与公园无关的建设项目：严格按照市政府批复的公园规划进行建设。</w:t>
            </w:r>
          </w:p>
        </w:tc>
        <w:tc>
          <w:tcPr>
            <w:tcW w:w="298" w:type="pct"/>
            <w:vMerge w:val="restart"/>
            <w:tcBorders>
              <w:top w:val="single" w:color="auto" w:sz="4" w:space="0"/>
              <w:left w:val="single" w:color="auto" w:sz="4" w:space="0"/>
              <w:right w:val="single" w:color="auto" w:sz="4" w:space="0"/>
            </w:tcBorders>
            <w:vAlign w:val="center"/>
          </w:tcPr>
          <w:p>
            <w:pPr>
              <w:widowControl/>
              <w:ind w:firstLine="560"/>
              <w:jc w:val="center"/>
              <w:rPr>
                <w:rFonts w:hint="eastAsia" w:ascii="仿宋_GB2312" w:hAnsi="仿宋_GB2312" w:eastAsia="仿宋_GB2312"/>
                <w:kern w:val="0"/>
              </w:rPr>
            </w:pPr>
            <w:r>
              <w:rPr>
                <w:rFonts w:hint="eastAsia" w:ascii="仿宋_GB2312" w:hAnsi="仿宋_GB2312" w:eastAsia="仿宋_GB2312"/>
                <w:kern w:val="0"/>
              </w:rPr>
              <w:t>/</w:t>
            </w:r>
          </w:p>
        </w:tc>
        <w:tc>
          <w:tcPr>
            <w:tcW w:w="315" w:type="pct"/>
            <w:vMerge w:val="restart"/>
            <w:tcBorders>
              <w:top w:val="single" w:color="auto" w:sz="4" w:space="0"/>
              <w:left w:val="single" w:color="auto" w:sz="4" w:space="0"/>
              <w:right w:val="single" w:color="auto" w:sz="4" w:space="0"/>
            </w:tcBorders>
            <w:vAlign w:val="center"/>
          </w:tcPr>
          <w:p>
            <w:pPr>
              <w:widowControl/>
              <w:ind w:firstLine="560"/>
              <w:jc w:val="center"/>
              <w:rPr>
                <w:rFonts w:hint="eastAsia" w:ascii="仿宋_GB2312" w:hAnsi="仿宋_GB2312" w:eastAsia="仿宋_GB2312"/>
                <w:kern w:val="0"/>
              </w:rPr>
            </w:pPr>
            <w:r>
              <w:rPr>
                <w:rFonts w:hint="eastAsia" w:ascii="仿宋_GB2312" w:hAnsi="仿宋_GB2312" w:eastAsia="仿宋_GB2312"/>
                <w:kern w:val="0"/>
              </w:rPr>
              <w:t>/</w:t>
            </w:r>
          </w:p>
        </w:tc>
        <w:tc>
          <w:tcPr>
            <w:tcW w:w="1148" w:type="pct"/>
            <w:vMerge w:val="restart"/>
            <w:tcBorders>
              <w:top w:val="single" w:color="auto" w:sz="4" w:space="0"/>
              <w:left w:val="single" w:color="auto" w:sz="4" w:space="0"/>
              <w:right w:val="single" w:color="auto" w:sz="4" w:space="0"/>
            </w:tcBorders>
            <w:vAlign w:val="center"/>
          </w:tcPr>
          <w:p>
            <w:pPr>
              <w:widowControl/>
              <w:numPr>
                <w:ilvl w:val="0"/>
                <w:numId w:val="4"/>
              </w:numPr>
              <w:ind w:left="0" w:leftChars="0" w:firstLine="560" w:firstLineChars="200"/>
              <w:rPr>
                <w:rFonts w:hint="eastAsia" w:ascii="仿宋_GB2312" w:hAnsi="仿宋_GB2312" w:eastAsia="仿宋_GB2312"/>
                <w:kern w:val="0"/>
              </w:rPr>
            </w:pPr>
            <w:r>
              <w:rPr>
                <w:rFonts w:hint="eastAsia" w:ascii="仿宋_GB2312" w:hAnsi="仿宋_GB2312" w:eastAsia="仿宋_GB2312"/>
                <w:kern w:val="0"/>
              </w:rPr>
              <w:t>执行市级总体管控要求和南开区区级管控要求。</w:t>
            </w:r>
          </w:p>
          <w:p>
            <w:pPr>
              <w:widowControl/>
              <w:numPr>
                <w:ilvl w:val="0"/>
                <w:numId w:val="4"/>
              </w:numPr>
              <w:ind w:left="0" w:leftChars="0" w:firstLine="560" w:firstLineChars="200"/>
              <w:rPr>
                <w:rFonts w:hint="eastAsia" w:ascii="仿宋_GB2312" w:hAnsi="仿宋_GB2312" w:eastAsia="仿宋_GB2312"/>
                <w:kern w:val="0"/>
              </w:rPr>
            </w:pPr>
            <w:r>
              <w:rPr>
                <w:rFonts w:hint="eastAsia" w:ascii="仿宋_GB2312" w:hAnsi="仿宋_GB2312" w:eastAsia="仿宋_GB2312"/>
                <w:kern w:val="0"/>
              </w:rPr>
              <w:t>促进再生水利用，工业生产、城市绿化、车辆冲洗、建筑施工以及生态景观等用水优先使用再生水。</w:t>
            </w:r>
          </w:p>
          <w:p>
            <w:pPr>
              <w:widowControl/>
              <w:numPr>
                <w:ilvl w:val="0"/>
                <w:numId w:val="4"/>
              </w:numPr>
              <w:ind w:left="0" w:leftChars="0" w:firstLine="560" w:firstLineChars="200"/>
              <w:rPr>
                <w:rFonts w:hint="eastAsia" w:ascii="仿宋_GB2312" w:hAnsi="仿宋_GB2312" w:eastAsia="仿宋_GB2312"/>
                <w:kern w:val="0"/>
              </w:rPr>
            </w:pPr>
            <w:r>
              <w:rPr>
                <w:rFonts w:hint="eastAsia" w:ascii="仿宋_GB2312" w:hAnsi="仿宋_GB2312" w:eastAsia="仿宋_GB2312"/>
                <w:kern w:val="0"/>
              </w:rPr>
              <w:t>加强水资源管理。严格河湖岸线用途管控，遏制岸线不合理利用，强化水土流失防治，强化河湖生态水量监管，促进生态调水补水有序有效，维护水生态空间稳定。以水源地为重点，优化取水口布局，保障水源地供水安全。严控浅层地下水开发利用，防止新增浅层地下水超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5"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_GB2312" w:hAnsi="仿宋_GB2312" w:eastAsia="仿宋_GB2312"/>
                <w:kern w:val="0"/>
              </w:rPr>
            </w:pPr>
            <w:r>
              <w:rPr>
                <w:rFonts w:hint="eastAsia" w:ascii="仿宋_GB2312" w:hAnsi="仿宋_GB2312" w:eastAsia="仿宋_GB2312"/>
                <w:kern w:val="0"/>
              </w:rPr>
              <w:t>ZH12010410003</w:t>
            </w:r>
          </w:p>
        </w:tc>
        <w:tc>
          <w:tcPr>
            <w:tcW w:w="427"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_GB2312" w:hAnsi="仿宋_GB2312" w:eastAsia="仿宋_GB2312"/>
                <w:kern w:val="0"/>
              </w:rPr>
            </w:pPr>
            <w:r>
              <w:rPr>
                <w:rFonts w:hint="eastAsia" w:ascii="仿宋_GB2312" w:hAnsi="仿宋_GB2312" w:eastAsia="仿宋_GB2312"/>
                <w:kern w:val="0"/>
              </w:rPr>
              <w:t>水上公园（含动物园)</w:t>
            </w:r>
          </w:p>
        </w:tc>
        <w:tc>
          <w:tcPr>
            <w:tcW w:w="274"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_GB2312" w:hAnsi="仿宋_GB2312" w:eastAsia="仿宋_GB2312"/>
                <w:kern w:val="0"/>
              </w:rPr>
            </w:pPr>
            <w:r>
              <w:rPr>
                <w:rFonts w:hint="eastAsia" w:ascii="仿宋_GB2312" w:hAnsi="仿宋_GB2312" w:eastAsia="仿宋_GB2312"/>
                <w:kern w:val="0"/>
              </w:rPr>
              <w:t>南开区</w:t>
            </w:r>
          </w:p>
        </w:tc>
        <w:tc>
          <w:tcPr>
            <w:tcW w:w="298"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_GB2312" w:hAnsi="仿宋_GB2312" w:eastAsia="仿宋_GB2312"/>
                <w:kern w:val="0"/>
              </w:rPr>
            </w:pPr>
            <w:r>
              <w:rPr>
                <w:rFonts w:hint="eastAsia" w:ascii="仿宋_GB2312" w:hAnsi="仿宋_GB2312" w:eastAsia="仿宋_GB2312"/>
                <w:kern w:val="0"/>
              </w:rPr>
              <w:t>优先保护单元</w:t>
            </w:r>
          </w:p>
        </w:tc>
        <w:tc>
          <w:tcPr>
            <w:tcW w:w="304"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_GB2312" w:hAnsi="仿宋_GB2312" w:eastAsia="仿宋_GB2312"/>
                <w:kern w:val="0"/>
              </w:rPr>
            </w:pPr>
            <w:r>
              <w:rPr>
                <w:rFonts w:hint="eastAsia" w:ascii="仿宋_GB2312" w:hAnsi="仿宋_GB2312" w:eastAsia="仿宋_GB2312"/>
                <w:kern w:val="0"/>
                <w:sz w:val="30"/>
              </w:rPr>
              <w:t>一般生态空间</w:t>
            </w:r>
          </w:p>
        </w:tc>
        <w:tc>
          <w:tcPr>
            <w:tcW w:w="1526" w:type="pct"/>
            <w:vMerge w:val="continue"/>
            <w:tcBorders>
              <w:left w:val="single" w:color="auto" w:sz="4" w:space="0"/>
              <w:right w:val="single" w:color="auto" w:sz="4" w:space="0"/>
            </w:tcBorders>
            <w:vAlign w:val="center"/>
          </w:tcPr>
          <w:p>
            <w:pPr>
              <w:widowControl/>
              <w:ind w:firstLine="560"/>
              <w:rPr>
                <w:rFonts w:hint="eastAsia" w:ascii="仿宋_GB2312" w:hAnsi="仿宋_GB2312" w:eastAsia="仿宋_GB2312"/>
                <w:kern w:val="0"/>
              </w:rPr>
            </w:pPr>
          </w:p>
        </w:tc>
        <w:tc>
          <w:tcPr>
            <w:tcW w:w="298" w:type="pct"/>
            <w:vMerge w:val="continue"/>
            <w:tcBorders>
              <w:left w:val="single" w:color="auto" w:sz="4" w:space="0"/>
              <w:right w:val="single" w:color="auto" w:sz="4" w:space="0"/>
            </w:tcBorders>
            <w:vAlign w:val="center"/>
          </w:tcPr>
          <w:p>
            <w:pPr>
              <w:widowControl/>
              <w:ind w:firstLine="560"/>
              <w:jc w:val="center"/>
              <w:rPr>
                <w:rFonts w:hint="eastAsia" w:ascii="仿宋_GB2312" w:hAnsi="仿宋_GB2312" w:eastAsia="仿宋_GB2312"/>
                <w:kern w:val="0"/>
              </w:rPr>
            </w:pPr>
          </w:p>
        </w:tc>
        <w:tc>
          <w:tcPr>
            <w:tcW w:w="315" w:type="pct"/>
            <w:vMerge w:val="continue"/>
            <w:tcBorders>
              <w:left w:val="single" w:color="auto" w:sz="4" w:space="0"/>
              <w:right w:val="single" w:color="auto" w:sz="4" w:space="0"/>
            </w:tcBorders>
            <w:vAlign w:val="center"/>
          </w:tcPr>
          <w:p>
            <w:pPr>
              <w:widowControl/>
              <w:ind w:firstLine="560"/>
              <w:jc w:val="center"/>
              <w:rPr>
                <w:rFonts w:hint="eastAsia" w:ascii="仿宋_GB2312" w:hAnsi="仿宋_GB2312" w:eastAsia="仿宋_GB2312"/>
                <w:kern w:val="0"/>
              </w:rPr>
            </w:pPr>
          </w:p>
        </w:tc>
        <w:tc>
          <w:tcPr>
            <w:tcW w:w="1148" w:type="pct"/>
            <w:vMerge w:val="continue"/>
            <w:tcBorders>
              <w:left w:val="single" w:color="auto" w:sz="4" w:space="0"/>
              <w:right w:val="single" w:color="auto" w:sz="4" w:space="0"/>
            </w:tcBorders>
            <w:vAlign w:val="center"/>
          </w:tcPr>
          <w:p>
            <w:pPr>
              <w:widowControl/>
              <w:ind w:firstLine="560"/>
              <w:rPr>
                <w:rFonts w:hint="eastAsia" w:ascii="仿宋_GB2312" w:hAnsi="仿宋_GB2312"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5"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_GB2312" w:hAnsi="仿宋_GB2312" w:eastAsia="仿宋_GB2312"/>
                <w:kern w:val="0"/>
              </w:rPr>
            </w:pPr>
            <w:r>
              <w:rPr>
                <w:rFonts w:hint="eastAsia" w:ascii="仿宋_GB2312" w:hAnsi="仿宋_GB2312" w:eastAsia="仿宋_GB2312"/>
                <w:kern w:val="0"/>
              </w:rPr>
              <w:t>ZH12010410004</w:t>
            </w:r>
          </w:p>
        </w:tc>
        <w:tc>
          <w:tcPr>
            <w:tcW w:w="427"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_GB2312" w:hAnsi="仿宋_GB2312" w:eastAsia="仿宋_GB2312"/>
                <w:kern w:val="0"/>
              </w:rPr>
            </w:pPr>
            <w:r>
              <w:rPr>
                <w:rFonts w:hint="eastAsia" w:ascii="仿宋_GB2312" w:hAnsi="仿宋_GB2312" w:eastAsia="仿宋_GB2312"/>
                <w:kern w:val="0"/>
              </w:rPr>
              <w:t>长虹公园</w:t>
            </w:r>
          </w:p>
        </w:tc>
        <w:tc>
          <w:tcPr>
            <w:tcW w:w="274"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_GB2312" w:hAnsi="仿宋_GB2312" w:eastAsia="仿宋_GB2312"/>
                <w:kern w:val="0"/>
              </w:rPr>
            </w:pPr>
            <w:r>
              <w:rPr>
                <w:rFonts w:hint="eastAsia" w:ascii="仿宋_GB2312" w:hAnsi="仿宋_GB2312" w:eastAsia="仿宋_GB2312"/>
                <w:kern w:val="0"/>
              </w:rPr>
              <w:t>南开区</w:t>
            </w:r>
          </w:p>
        </w:tc>
        <w:tc>
          <w:tcPr>
            <w:tcW w:w="298"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_GB2312" w:hAnsi="仿宋_GB2312" w:eastAsia="仿宋_GB2312"/>
                <w:kern w:val="0"/>
              </w:rPr>
            </w:pPr>
            <w:r>
              <w:rPr>
                <w:rFonts w:hint="eastAsia" w:ascii="仿宋_GB2312" w:hAnsi="仿宋_GB2312" w:eastAsia="仿宋_GB2312"/>
                <w:kern w:val="0"/>
              </w:rPr>
              <w:t>优先保护单元</w:t>
            </w:r>
          </w:p>
        </w:tc>
        <w:tc>
          <w:tcPr>
            <w:tcW w:w="304" w:type="pct"/>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_GB2312" w:hAnsi="仿宋_GB2312" w:eastAsia="仿宋_GB2312"/>
                <w:kern w:val="0"/>
              </w:rPr>
            </w:pPr>
            <w:r>
              <w:rPr>
                <w:rFonts w:hint="eastAsia" w:ascii="仿宋_GB2312" w:hAnsi="仿宋_GB2312" w:eastAsia="仿宋_GB2312"/>
                <w:kern w:val="0"/>
                <w:sz w:val="30"/>
              </w:rPr>
              <w:t>一般生态空间</w:t>
            </w:r>
          </w:p>
        </w:tc>
        <w:tc>
          <w:tcPr>
            <w:tcW w:w="1526" w:type="pct"/>
            <w:vMerge w:val="continue"/>
            <w:tcBorders>
              <w:left w:val="single" w:color="auto" w:sz="4" w:space="0"/>
              <w:bottom w:val="single" w:color="auto" w:sz="4" w:space="0"/>
              <w:right w:val="single" w:color="auto" w:sz="4" w:space="0"/>
            </w:tcBorders>
            <w:vAlign w:val="center"/>
          </w:tcPr>
          <w:p>
            <w:pPr>
              <w:widowControl/>
              <w:ind w:firstLine="560"/>
              <w:rPr>
                <w:rFonts w:hint="eastAsia" w:ascii="仿宋_GB2312" w:hAnsi="仿宋_GB2312" w:eastAsia="仿宋_GB2312"/>
                <w:kern w:val="0"/>
              </w:rPr>
            </w:pPr>
          </w:p>
        </w:tc>
        <w:tc>
          <w:tcPr>
            <w:tcW w:w="298" w:type="pct"/>
            <w:vMerge w:val="continue"/>
            <w:tcBorders>
              <w:left w:val="single" w:color="auto" w:sz="4" w:space="0"/>
              <w:bottom w:val="single" w:color="auto" w:sz="4" w:space="0"/>
              <w:right w:val="single" w:color="auto" w:sz="4" w:space="0"/>
            </w:tcBorders>
            <w:vAlign w:val="center"/>
          </w:tcPr>
          <w:p>
            <w:pPr>
              <w:widowControl/>
              <w:ind w:firstLine="560"/>
              <w:jc w:val="center"/>
              <w:rPr>
                <w:rFonts w:hint="eastAsia" w:ascii="仿宋_GB2312" w:hAnsi="仿宋_GB2312" w:eastAsia="仿宋_GB2312"/>
                <w:kern w:val="0"/>
              </w:rPr>
            </w:pPr>
          </w:p>
        </w:tc>
        <w:tc>
          <w:tcPr>
            <w:tcW w:w="315" w:type="pct"/>
            <w:vMerge w:val="continue"/>
            <w:tcBorders>
              <w:left w:val="single" w:color="auto" w:sz="4" w:space="0"/>
              <w:bottom w:val="single" w:color="auto" w:sz="4" w:space="0"/>
              <w:right w:val="single" w:color="auto" w:sz="4" w:space="0"/>
            </w:tcBorders>
            <w:vAlign w:val="center"/>
          </w:tcPr>
          <w:p>
            <w:pPr>
              <w:widowControl/>
              <w:ind w:firstLine="560"/>
              <w:jc w:val="center"/>
              <w:rPr>
                <w:rFonts w:hint="eastAsia" w:ascii="仿宋_GB2312" w:hAnsi="仿宋_GB2312" w:eastAsia="仿宋_GB2312"/>
                <w:kern w:val="0"/>
              </w:rPr>
            </w:pPr>
          </w:p>
        </w:tc>
        <w:tc>
          <w:tcPr>
            <w:tcW w:w="1148" w:type="pct"/>
            <w:vMerge w:val="continue"/>
            <w:tcBorders>
              <w:left w:val="single" w:color="auto" w:sz="4" w:space="0"/>
              <w:bottom w:val="single" w:color="auto" w:sz="4" w:space="0"/>
              <w:right w:val="single" w:color="auto" w:sz="4" w:space="0"/>
            </w:tcBorders>
            <w:vAlign w:val="center"/>
          </w:tcPr>
          <w:p>
            <w:pPr>
              <w:widowControl/>
              <w:ind w:firstLine="560"/>
              <w:rPr>
                <w:rFonts w:hint="eastAsia" w:ascii="仿宋_GB2312" w:hAnsi="仿宋_GB2312" w:eastAsia="仿宋_GB2312"/>
                <w:kern w:val="0"/>
              </w:rPr>
            </w:pPr>
          </w:p>
        </w:tc>
      </w:tr>
    </w:tbl>
    <w:p>
      <w:pPr>
        <w:widowControl/>
        <w:ind w:firstLine="280" w:firstLineChars="100"/>
        <w:jc w:val="left"/>
        <w:rPr>
          <w:rFonts w:hint="eastAsia" w:ascii="仿宋" w:hAnsi="仿宋"/>
          <w:bCs/>
          <w:szCs w:val="28"/>
        </w:rPr>
      </w:pPr>
      <w:bookmarkStart w:id="6" w:name="_Toc58923648"/>
      <w:bookmarkStart w:id="7" w:name="_Toc58933382"/>
    </w:p>
    <w:p>
      <w:pPr>
        <w:widowControl/>
        <w:ind w:firstLine="360" w:firstLineChars="100"/>
        <w:jc w:val="left"/>
        <w:outlineLvl w:val="0"/>
        <w:rPr>
          <w:rFonts w:hint="eastAsia" w:ascii="仿宋" w:hAnsi="仿宋"/>
          <w:bCs/>
          <w:sz w:val="36"/>
          <w:szCs w:val="36"/>
        </w:rPr>
      </w:pPr>
      <w:bookmarkStart w:id="8" w:name="_Toc118466284"/>
    </w:p>
    <w:p>
      <w:pPr>
        <w:widowControl/>
        <w:ind w:firstLine="360" w:firstLineChars="100"/>
        <w:jc w:val="left"/>
        <w:outlineLvl w:val="0"/>
        <w:rPr>
          <w:rFonts w:hint="eastAsia" w:ascii="仿宋" w:hAnsi="仿宋"/>
          <w:bCs/>
          <w:sz w:val="36"/>
          <w:szCs w:val="36"/>
        </w:rPr>
      </w:pPr>
    </w:p>
    <w:p>
      <w:pPr>
        <w:widowControl/>
        <w:ind w:firstLine="360" w:firstLineChars="100"/>
        <w:jc w:val="left"/>
        <w:outlineLvl w:val="0"/>
        <w:rPr>
          <w:rFonts w:hint="eastAsia" w:ascii="仿宋" w:hAnsi="仿宋"/>
          <w:bCs/>
          <w:sz w:val="36"/>
          <w:szCs w:val="36"/>
        </w:rPr>
      </w:pPr>
    </w:p>
    <w:p>
      <w:pPr>
        <w:widowControl/>
        <w:ind w:firstLine="360" w:firstLineChars="100"/>
        <w:jc w:val="left"/>
        <w:outlineLvl w:val="0"/>
        <w:rPr>
          <w:rFonts w:hint="eastAsia" w:ascii="仿宋" w:hAnsi="仿宋"/>
          <w:bCs/>
          <w:sz w:val="36"/>
          <w:szCs w:val="36"/>
        </w:rPr>
      </w:pPr>
    </w:p>
    <w:p>
      <w:pPr>
        <w:widowControl/>
        <w:ind w:firstLine="360" w:firstLineChars="100"/>
        <w:jc w:val="left"/>
        <w:outlineLvl w:val="0"/>
        <w:rPr>
          <w:rFonts w:hint="eastAsia" w:ascii="仿宋" w:hAnsi="仿宋"/>
          <w:bCs/>
          <w:sz w:val="36"/>
          <w:szCs w:val="36"/>
        </w:rPr>
      </w:pPr>
    </w:p>
    <w:p>
      <w:pPr>
        <w:widowControl/>
        <w:ind w:firstLine="360" w:firstLineChars="100"/>
        <w:jc w:val="left"/>
        <w:outlineLvl w:val="0"/>
        <w:rPr>
          <w:rFonts w:hint="eastAsia" w:ascii="仿宋" w:hAnsi="仿宋"/>
          <w:bCs/>
          <w:sz w:val="36"/>
          <w:szCs w:val="36"/>
        </w:rPr>
      </w:pPr>
    </w:p>
    <w:p>
      <w:pPr>
        <w:widowControl/>
        <w:ind w:firstLine="360" w:firstLineChars="100"/>
        <w:jc w:val="left"/>
        <w:outlineLvl w:val="0"/>
        <w:rPr>
          <w:rFonts w:hint="eastAsia" w:ascii="仿宋" w:hAnsi="仿宋"/>
          <w:bCs/>
          <w:sz w:val="36"/>
          <w:szCs w:val="36"/>
        </w:rPr>
      </w:pPr>
    </w:p>
    <w:p>
      <w:pPr>
        <w:widowControl/>
        <w:ind w:firstLine="360" w:firstLineChars="100"/>
        <w:jc w:val="left"/>
        <w:outlineLvl w:val="0"/>
        <w:rPr>
          <w:rFonts w:hint="eastAsia" w:ascii="仿宋" w:hAnsi="仿宋"/>
          <w:bCs/>
          <w:sz w:val="36"/>
          <w:szCs w:val="36"/>
        </w:rPr>
      </w:pPr>
      <w:r>
        <w:rPr>
          <w:rFonts w:hint="eastAsia" w:ascii="仿宋" w:hAnsi="仿宋"/>
          <w:bCs/>
          <w:sz w:val="36"/>
          <w:szCs w:val="36"/>
        </w:rPr>
        <w:t>2、重点管控单元</w:t>
      </w:r>
      <w:bookmarkEnd w:id="6"/>
      <w:bookmarkEnd w:id="7"/>
      <w:r>
        <w:rPr>
          <w:rFonts w:hint="eastAsia" w:ascii="仿宋" w:hAnsi="仿宋"/>
          <w:bCs/>
          <w:sz w:val="36"/>
          <w:szCs w:val="36"/>
        </w:rPr>
        <w:t>管控要求</w:t>
      </w:r>
      <w:bookmarkEnd w:id="8"/>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065"/>
        <w:gridCol w:w="645"/>
        <w:gridCol w:w="540"/>
        <w:gridCol w:w="870"/>
        <w:gridCol w:w="735"/>
        <w:gridCol w:w="3540"/>
        <w:gridCol w:w="3860"/>
        <w:gridCol w:w="885"/>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2" w:type="dxa"/>
            <w:vMerge w:val="restart"/>
            <w:vAlign w:val="center"/>
          </w:tcPr>
          <w:p>
            <w:pPr>
              <w:widowControl/>
              <w:ind w:firstLine="0" w:firstLineChars="0"/>
              <w:jc w:val="center"/>
              <w:rPr>
                <w:rFonts w:hint="eastAsia" w:ascii="仿宋_GB2312" w:hAnsi="仿宋_GB2312" w:eastAsia="仿宋_GB2312"/>
                <w:kern w:val="0"/>
              </w:rPr>
            </w:pPr>
            <w:r>
              <w:rPr>
                <w:rFonts w:hint="eastAsia" w:ascii="仿宋_GB2312" w:hAnsi="仿宋_GB2312" w:eastAsia="仿宋_GB2312"/>
                <w:kern w:val="0"/>
              </w:rPr>
              <w:t>环境管控单元编码</w:t>
            </w:r>
          </w:p>
        </w:tc>
        <w:tc>
          <w:tcPr>
            <w:tcW w:w="1065" w:type="dxa"/>
            <w:vMerge w:val="restart"/>
            <w:vAlign w:val="center"/>
          </w:tcPr>
          <w:p>
            <w:pPr>
              <w:widowControl/>
              <w:ind w:firstLine="0" w:firstLineChars="0"/>
              <w:jc w:val="center"/>
              <w:rPr>
                <w:rFonts w:hint="eastAsia" w:ascii="仿宋_GB2312" w:hAnsi="仿宋_GB2312" w:eastAsia="仿宋_GB2312"/>
                <w:kern w:val="0"/>
              </w:rPr>
            </w:pPr>
            <w:r>
              <w:rPr>
                <w:rFonts w:hint="eastAsia" w:ascii="仿宋_GB2312" w:hAnsi="仿宋_GB2312" w:eastAsia="仿宋_GB2312"/>
                <w:kern w:val="0"/>
              </w:rPr>
              <w:t>环境管控单元名称</w:t>
            </w:r>
          </w:p>
        </w:tc>
        <w:tc>
          <w:tcPr>
            <w:tcW w:w="1185" w:type="dxa"/>
            <w:gridSpan w:val="2"/>
            <w:noWrap/>
            <w:vAlign w:val="center"/>
          </w:tcPr>
          <w:p>
            <w:pPr>
              <w:widowControl/>
              <w:ind w:firstLine="0" w:firstLineChars="0"/>
              <w:jc w:val="center"/>
              <w:rPr>
                <w:rFonts w:hint="eastAsia" w:ascii="仿宋_GB2312" w:hAnsi="仿宋_GB2312" w:eastAsia="仿宋_GB2312"/>
                <w:kern w:val="0"/>
              </w:rPr>
            </w:pPr>
            <w:r>
              <w:rPr>
                <w:rFonts w:hint="eastAsia" w:ascii="仿宋_GB2312" w:hAnsi="仿宋_GB2312" w:eastAsia="仿宋_GB2312"/>
                <w:kern w:val="0"/>
              </w:rPr>
              <w:t>行政区划</w:t>
            </w:r>
          </w:p>
        </w:tc>
        <w:tc>
          <w:tcPr>
            <w:tcW w:w="870" w:type="dxa"/>
            <w:vMerge w:val="restart"/>
            <w:vAlign w:val="center"/>
          </w:tcPr>
          <w:p>
            <w:pPr>
              <w:widowControl/>
              <w:ind w:firstLine="0" w:firstLineChars="0"/>
              <w:jc w:val="center"/>
              <w:rPr>
                <w:rFonts w:hint="eastAsia" w:ascii="仿宋_GB2312" w:hAnsi="仿宋_GB2312" w:eastAsia="仿宋_GB2312"/>
                <w:kern w:val="0"/>
              </w:rPr>
            </w:pPr>
            <w:r>
              <w:rPr>
                <w:rFonts w:hint="eastAsia" w:ascii="仿宋_GB2312" w:hAnsi="仿宋_GB2312" w:eastAsia="仿宋_GB2312"/>
                <w:kern w:val="0"/>
              </w:rPr>
              <w:t>管控单元分类</w:t>
            </w:r>
          </w:p>
        </w:tc>
        <w:tc>
          <w:tcPr>
            <w:tcW w:w="735" w:type="dxa"/>
            <w:vMerge w:val="restart"/>
            <w:vAlign w:val="center"/>
          </w:tcPr>
          <w:p>
            <w:pPr>
              <w:widowControl/>
              <w:ind w:firstLine="0" w:firstLineChars="0"/>
              <w:jc w:val="center"/>
              <w:rPr>
                <w:rFonts w:hint="eastAsia" w:ascii="仿宋_GB2312" w:hAnsi="仿宋_GB2312" w:eastAsia="仿宋_GB2312"/>
                <w:kern w:val="0"/>
              </w:rPr>
            </w:pPr>
            <w:r>
              <w:rPr>
                <w:rFonts w:hint="eastAsia" w:ascii="仿宋_GB2312" w:hAnsi="仿宋_GB2312" w:eastAsia="仿宋_GB2312"/>
                <w:kern w:val="0"/>
              </w:rPr>
              <w:t>备注</w:t>
            </w:r>
          </w:p>
        </w:tc>
        <w:tc>
          <w:tcPr>
            <w:tcW w:w="3540" w:type="dxa"/>
            <w:vMerge w:val="restart"/>
            <w:noWrap/>
            <w:vAlign w:val="center"/>
          </w:tcPr>
          <w:p>
            <w:pPr>
              <w:widowControl/>
              <w:ind w:firstLine="0" w:firstLineChars="0"/>
              <w:jc w:val="center"/>
              <w:rPr>
                <w:rFonts w:hint="eastAsia" w:ascii="仿宋_GB2312" w:hAnsi="仿宋_GB2312" w:eastAsia="仿宋_GB2312" w:cs="仿宋_GB2312"/>
                <w:bCs/>
                <w:kern w:val="0"/>
                <w:szCs w:val="28"/>
              </w:rPr>
            </w:pPr>
            <w:r>
              <w:rPr>
                <w:rFonts w:hint="eastAsia" w:ascii="仿宋_GB2312" w:hAnsi="仿宋_GB2312" w:eastAsia="仿宋_GB2312" w:cs="仿宋_GB2312"/>
                <w:bCs/>
                <w:kern w:val="0"/>
                <w:szCs w:val="28"/>
              </w:rPr>
              <w:t>空间布局约束</w:t>
            </w:r>
          </w:p>
        </w:tc>
        <w:tc>
          <w:tcPr>
            <w:tcW w:w="3860" w:type="dxa"/>
            <w:vMerge w:val="restart"/>
            <w:noWrap/>
            <w:vAlign w:val="center"/>
          </w:tcPr>
          <w:p>
            <w:pPr>
              <w:widowControl/>
              <w:ind w:firstLine="0" w:firstLineChars="0"/>
              <w:jc w:val="center"/>
              <w:rPr>
                <w:rFonts w:hint="eastAsia" w:ascii="仿宋_GB2312" w:hAnsi="仿宋_GB2312" w:eastAsia="仿宋_GB2312" w:cs="仿宋_GB2312"/>
                <w:bCs/>
                <w:kern w:val="0"/>
                <w:szCs w:val="28"/>
              </w:rPr>
            </w:pPr>
            <w:r>
              <w:rPr>
                <w:rFonts w:hint="eastAsia" w:ascii="仿宋_GB2312" w:hAnsi="仿宋_GB2312" w:eastAsia="仿宋_GB2312" w:cs="仿宋_GB2312"/>
                <w:bCs/>
                <w:kern w:val="0"/>
                <w:szCs w:val="28"/>
              </w:rPr>
              <w:t>污染物排放管控</w:t>
            </w:r>
          </w:p>
        </w:tc>
        <w:tc>
          <w:tcPr>
            <w:tcW w:w="885" w:type="dxa"/>
            <w:vMerge w:val="restart"/>
            <w:noWrap/>
            <w:vAlign w:val="center"/>
          </w:tcPr>
          <w:p>
            <w:pPr>
              <w:widowControl/>
              <w:ind w:firstLine="0" w:firstLineChars="0"/>
              <w:jc w:val="center"/>
              <w:rPr>
                <w:rFonts w:hint="eastAsia" w:ascii="仿宋_GB2312" w:hAnsi="仿宋_GB2312" w:eastAsia="仿宋_GB2312" w:cs="仿宋_GB2312"/>
                <w:bCs/>
                <w:kern w:val="0"/>
                <w:szCs w:val="28"/>
              </w:rPr>
            </w:pPr>
            <w:r>
              <w:rPr>
                <w:rFonts w:hint="eastAsia" w:ascii="仿宋_GB2312" w:hAnsi="仿宋_GB2312" w:eastAsia="仿宋_GB2312" w:cs="仿宋_GB2312"/>
                <w:bCs/>
                <w:kern w:val="0"/>
                <w:szCs w:val="28"/>
              </w:rPr>
              <w:t>环境风险防控</w:t>
            </w:r>
          </w:p>
        </w:tc>
        <w:tc>
          <w:tcPr>
            <w:tcW w:w="891" w:type="dxa"/>
            <w:vMerge w:val="restart"/>
            <w:vAlign w:val="center"/>
          </w:tcPr>
          <w:p>
            <w:pPr>
              <w:widowControl/>
              <w:ind w:firstLine="0" w:firstLineChars="0"/>
              <w:jc w:val="center"/>
              <w:rPr>
                <w:rFonts w:hint="eastAsia" w:ascii="仿宋_GB2312" w:hAnsi="仿宋_GB2312" w:eastAsia="仿宋_GB2312" w:cs="仿宋_GB2312"/>
                <w:bCs/>
                <w:kern w:val="0"/>
                <w:szCs w:val="28"/>
              </w:rPr>
            </w:pPr>
            <w:r>
              <w:rPr>
                <w:rFonts w:hint="eastAsia" w:ascii="仿宋_GB2312" w:hAnsi="仿宋_GB2312" w:eastAsia="仿宋_GB2312" w:cs="仿宋_GB2312"/>
                <w:bCs/>
                <w:kern w:val="0"/>
                <w:szCs w:val="28"/>
              </w:rPr>
              <w:t>资源开发效率要求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2" w:type="dxa"/>
            <w:vMerge w:val="continue"/>
            <w:vAlign w:val="center"/>
          </w:tcPr>
          <w:p>
            <w:pPr>
              <w:widowControl/>
              <w:ind w:firstLine="0" w:firstLineChars="0"/>
              <w:jc w:val="center"/>
              <w:rPr>
                <w:rFonts w:hint="eastAsia" w:ascii="仿宋_GB2312" w:hAnsi="仿宋_GB2312" w:eastAsia="仿宋_GB2312"/>
                <w:kern w:val="0"/>
              </w:rPr>
            </w:pPr>
          </w:p>
        </w:tc>
        <w:tc>
          <w:tcPr>
            <w:tcW w:w="1065" w:type="dxa"/>
            <w:vMerge w:val="continue"/>
            <w:vAlign w:val="center"/>
          </w:tcPr>
          <w:p>
            <w:pPr>
              <w:widowControl/>
              <w:ind w:firstLine="0" w:firstLineChars="0"/>
              <w:jc w:val="center"/>
              <w:rPr>
                <w:rFonts w:hint="eastAsia" w:ascii="仿宋_GB2312" w:hAnsi="仿宋_GB2312" w:eastAsia="仿宋_GB2312"/>
                <w:kern w:val="0"/>
              </w:rPr>
            </w:pPr>
          </w:p>
        </w:tc>
        <w:tc>
          <w:tcPr>
            <w:tcW w:w="645" w:type="dxa"/>
            <w:noWrap/>
            <w:vAlign w:val="center"/>
          </w:tcPr>
          <w:p>
            <w:pPr>
              <w:widowControl/>
              <w:ind w:firstLine="0" w:firstLineChars="0"/>
              <w:jc w:val="center"/>
              <w:rPr>
                <w:rFonts w:hint="eastAsia" w:ascii="仿宋_GB2312" w:hAnsi="仿宋_GB2312" w:eastAsia="仿宋_GB2312"/>
                <w:kern w:val="0"/>
              </w:rPr>
            </w:pPr>
            <w:r>
              <w:rPr>
                <w:rFonts w:hint="eastAsia" w:ascii="仿宋_GB2312" w:hAnsi="仿宋_GB2312" w:eastAsia="仿宋_GB2312"/>
                <w:kern w:val="0"/>
              </w:rPr>
              <w:t>县</w:t>
            </w:r>
          </w:p>
        </w:tc>
        <w:tc>
          <w:tcPr>
            <w:tcW w:w="540" w:type="dxa"/>
            <w:noWrap/>
            <w:vAlign w:val="center"/>
          </w:tcPr>
          <w:p>
            <w:pPr>
              <w:widowControl/>
              <w:ind w:firstLine="0" w:firstLineChars="0"/>
              <w:jc w:val="center"/>
              <w:rPr>
                <w:rFonts w:hint="eastAsia" w:ascii="仿宋_GB2312" w:hAnsi="仿宋_GB2312" w:eastAsia="仿宋_GB2312"/>
                <w:kern w:val="0"/>
              </w:rPr>
            </w:pPr>
            <w:r>
              <w:rPr>
                <w:rFonts w:hint="eastAsia" w:ascii="仿宋_GB2312" w:hAnsi="仿宋_GB2312" w:eastAsia="仿宋_GB2312"/>
                <w:kern w:val="0"/>
              </w:rPr>
              <w:t>街镇</w:t>
            </w:r>
          </w:p>
        </w:tc>
        <w:tc>
          <w:tcPr>
            <w:tcW w:w="870" w:type="dxa"/>
            <w:vMerge w:val="continue"/>
            <w:vAlign w:val="center"/>
          </w:tcPr>
          <w:p>
            <w:pPr>
              <w:widowControl/>
              <w:ind w:firstLine="0" w:firstLineChars="0"/>
              <w:jc w:val="center"/>
              <w:rPr>
                <w:rFonts w:hint="eastAsia" w:ascii="仿宋_GB2312" w:hAnsi="仿宋_GB2312" w:eastAsia="仿宋_GB2312"/>
                <w:kern w:val="0"/>
              </w:rPr>
            </w:pPr>
          </w:p>
        </w:tc>
        <w:tc>
          <w:tcPr>
            <w:tcW w:w="735" w:type="dxa"/>
            <w:vMerge w:val="continue"/>
            <w:vAlign w:val="center"/>
          </w:tcPr>
          <w:p>
            <w:pPr>
              <w:widowControl/>
              <w:ind w:firstLine="0" w:firstLineChars="0"/>
              <w:jc w:val="center"/>
              <w:rPr>
                <w:rFonts w:hint="eastAsia" w:ascii="仿宋_GB2312" w:hAnsi="仿宋_GB2312" w:eastAsia="仿宋_GB2312"/>
                <w:kern w:val="0"/>
              </w:rPr>
            </w:pPr>
          </w:p>
        </w:tc>
        <w:tc>
          <w:tcPr>
            <w:tcW w:w="3540" w:type="dxa"/>
            <w:vMerge w:val="continue"/>
            <w:vAlign w:val="center"/>
          </w:tcPr>
          <w:p>
            <w:pPr>
              <w:widowControl/>
              <w:ind w:firstLine="560"/>
              <w:jc w:val="center"/>
              <w:rPr>
                <w:rFonts w:hint="eastAsia" w:ascii="仿宋_GB2312" w:hAnsi="仿宋_GB2312" w:eastAsia="仿宋_GB2312" w:cs="仿宋_GB2312"/>
                <w:bCs/>
                <w:kern w:val="0"/>
                <w:szCs w:val="28"/>
              </w:rPr>
            </w:pPr>
          </w:p>
        </w:tc>
        <w:tc>
          <w:tcPr>
            <w:tcW w:w="3860" w:type="dxa"/>
            <w:vMerge w:val="continue"/>
            <w:vAlign w:val="center"/>
          </w:tcPr>
          <w:p>
            <w:pPr>
              <w:widowControl/>
              <w:ind w:firstLine="560"/>
              <w:jc w:val="center"/>
              <w:rPr>
                <w:rFonts w:hint="eastAsia" w:ascii="仿宋_GB2312" w:hAnsi="仿宋_GB2312" w:eastAsia="仿宋_GB2312" w:cs="仿宋_GB2312"/>
                <w:bCs/>
                <w:kern w:val="0"/>
                <w:szCs w:val="28"/>
              </w:rPr>
            </w:pPr>
          </w:p>
        </w:tc>
        <w:tc>
          <w:tcPr>
            <w:tcW w:w="885" w:type="dxa"/>
            <w:vMerge w:val="continue"/>
            <w:vAlign w:val="center"/>
          </w:tcPr>
          <w:p>
            <w:pPr>
              <w:widowControl/>
              <w:ind w:firstLine="560"/>
              <w:jc w:val="center"/>
              <w:rPr>
                <w:rFonts w:hint="eastAsia" w:ascii="仿宋_GB2312" w:hAnsi="仿宋_GB2312" w:eastAsia="仿宋_GB2312" w:cs="仿宋_GB2312"/>
                <w:bCs/>
                <w:kern w:val="0"/>
                <w:szCs w:val="28"/>
              </w:rPr>
            </w:pPr>
          </w:p>
        </w:tc>
        <w:tc>
          <w:tcPr>
            <w:tcW w:w="891" w:type="dxa"/>
            <w:vMerge w:val="continue"/>
            <w:vAlign w:val="center"/>
          </w:tcPr>
          <w:p>
            <w:pPr>
              <w:widowControl/>
              <w:ind w:firstLine="560"/>
              <w:jc w:val="center"/>
              <w:rPr>
                <w:rFonts w:hint="eastAsia" w:ascii="仿宋_GB2312" w:hAnsi="仿宋_GB2312" w:eastAsia="仿宋_GB2312" w:cs="仿宋_GB2312"/>
                <w:bCs/>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2" w:type="dxa"/>
            <w:vAlign w:val="center"/>
          </w:tcPr>
          <w:p>
            <w:pPr>
              <w:widowControl/>
              <w:ind w:firstLine="0" w:firstLineChars="0"/>
              <w:jc w:val="center"/>
              <w:rPr>
                <w:rFonts w:hint="eastAsia" w:ascii="仿宋_GB2312" w:hAnsi="仿宋_GB2312" w:eastAsia="仿宋_GB2312"/>
                <w:kern w:val="0"/>
              </w:rPr>
            </w:pPr>
            <w:r>
              <w:rPr>
                <w:rFonts w:hint="eastAsia" w:ascii="仿宋_GB2312" w:hAnsi="仿宋_GB2312" w:eastAsia="仿宋_GB2312"/>
                <w:kern w:val="0"/>
              </w:rPr>
              <w:t>ZH12010420001</w:t>
            </w:r>
          </w:p>
        </w:tc>
        <w:tc>
          <w:tcPr>
            <w:tcW w:w="1065" w:type="dxa"/>
            <w:vAlign w:val="center"/>
          </w:tcPr>
          <w:p>
            <w:pPr>
              <w:widowControl/>
              <w:ind w:firstLine="0" w:firstLineChars="0"/>
              <w:jc w:val="center"/>
              <w:rPr>
                <w:rFonts w:hint="eastAsia" w:ascii="仿宋_GB2312" w:hAnsi="仿宋_GB2312" w:eastAsia="仿宋_GB2312"/>
                <w:kern w:val="0"/>
              </w:rPr>
            </w:pPr>
            <w:r>
              <w:rPr>
                <w:rFonts w:hint="eastAsia" w:ascii="仿宋_GB2312" w:hAnsi="仿宋_GB2312" w:eastAsia="仿宋_GB2312"/>
                <w:kern w:val="0"/>
              </w:rPr>
              <w:t>南开区大气污染受体敏感重点管控单元</w:t>
            </w:r>
          </w:p>
        </w:tc>
        <w:tc>
          <w:tcPr>
            <w:tcW w:w="645" w:type="dxa"/>
            <w:vAlign w:val="center"/>
          </w:tcPr>
          <w:p>
            <w:pPr>
              <w:widowControl/>
              <w:ind w:firstLine="0" w:firstLineChars="0"/>
              <w:jc w:val="center"/>
              <w:rPr>
                <w:rFonts w:hint="eastAsia" w:ascii="仿宋_GB2312" w:hAnsi="仿宋_GB2312" w:eastAsia="仿宋_GB2312"/>
                <w:kern w:val="0"/>
              </w:rPr>
            </w:pPr>
            <w:r>
              <w:rPr>
                <w:rFonts w:hint="eastAsia" w:ascii="仿宋_GB2312" w:hAnsi="仿宋_GB2312" w:eastAsia="仿宋_GB2312"/>
                <w:kern w:val="0"/>
              </w:rPr>
              <w:t>南开区</w:t>
            </w:r>
          </w:p>
        </w:tc>
        <w:tc>
          <w:tcPr>
            <w:tcW w:w="540" w:type="dxa"/>
            <w:vAlign w:val="center"/>
          </w:tcPr>
          <w:p>
            <w:pPr>
              <w:widowControl/>
              <w:ind w:firstLine="0" w:firstLineChars="0"/>
              <w:jc w:val="center"/>
              <w:rPr>
                <w:rFonts w:hint="eastAsia" w:ascii="仿宋_GB2312" w:hAnsi="仿宋_GB2312" w:eastAsia="仿宋_GB2312"/>
                <w:kern w:val="0"/>
              </w:rPr>
            </w:pPr>
            <w:r>
              <w:rPr>
                <w:rFonts w:hint="eastAsia" w:ascii="仿宋_GB2312" w:hAnsi="仿宋_GB2312" w:eastAsia="仿宋_GB2312"/>
                <w:kern w:val="0"/>
              </w:rPr>
              <w:t>全部辖区</w:t>
            </w:r>
          </w:p>
        </w:tc>
        <w:tc>
          <w:tcPr>
            <w:tcW w:w="870" w:type="dxa"/>
            <w:vAlign w:val="center"/>
          </w:tcPr>
          <w:p>
            <w:pPr>
              <w:widowControl/>
              <w:ind w:firstLine="0" w:firstLineChars="0"/>
              <w:jc w:val="center"/>
              <w:rPr>
                <w:rFonts w:hint="eastAsia" w:ascii="仿宋_GB2312" w:hAnsi="仿宋_GB2312" w:eastAsia="仿宋_GB2312"/>
                <w:kern w:val="0"/>
              </w:rPr>
            </w:pPr>
            <w:r>
              <w:rPr>
                <w:rFonts w:hint="eastAsia" w:ascii="仿宋_GB2312" w:hAnsi="仿宋_GB2312" w:eastAsia="仿宋_GB2312"/>
                <w:kern w:val="0"/>
              </w:rPr>
              <w:t>重点管控单元</w:t>
            </w:r>
          </w:p>
        </w:tc>
        <w:tc>
          <w:tcPr>
            <w:tcW w:w="735" w:type="dxa"/>
            <w:vAlign w:val="center"/>
          </w:tcPr>
          <w:p>
            <w:pPr>
              <w:widowControl/>
              <w:ind w:firstLine="0" w:firstLineChars="0"/>
              <w:jc w:val="center"/>
              <w:rPr>
                <w:rFonts w:hint="eastAsia" w:ascii="仿宋_GB2312" w:hAnsi="仿宋_GB2312" w:eastAsia="仿宋_GB2312"/>
                <w:kern w:val="0"/>
              </w:rPr>
            </w:pPr>
          </w:p>
        </w:tc>
        <w:tc>
          <w:tcPr>
            <w:tcW w:w="3540" w:type="dxa"/>
            <w:vAlign w:val="center"/>
          </w:tcPr>
          <w:p>
            <w:pPr>
              <w:widowControl/>
              <w:numPr>
                <w:ilvl w:val="0"/>
                <w:numId w:val="5"/>
              </w:numPr>
              <w:ind w:left="0" w:leftChars="0" w:firstLine="400" w:firstLineChars="0"/>
              <w:rPr>
                <w:rFonts w:hint="eastAsia" w:ascii="仿宋_GB2312" w:hAnsi="仿宋_GB2312" w:eastAsia="仿宋_GB2312" w:cs="仿宋_GB2312"/>
                <w:bCs/>
                <w:kern w:val="0"/>
                <w:szCs w:val="28"/>
              </w:rPr>
            </w:pPr>
            <w:r>
              <w:rPr>
                <w:rFonts w:hint="eastAsia" w:ascii="仿宋_GB2312" w:hAnsi="仿宋_GB2312" w:eastAsia="仿宋_GB2312" w:cs="仿宋_GB2312"/>
                <w:bCs/>
                <w:kern w:val="0"/>
                <w:szCs w:val="28"/>
              </w:rPr>
              <w:t>执行市级总体管控要求和南开区区级管控要求。</w:t>
            </w:r>
          </w:p>
          <w:p>
            <w:pPr>
              <w:widowControl/>
              <w:numPr>
                <w:ilvl w:val="0"/>
                <w:numId w:val="5"/>
              </w:numPr>
              <w:ind w:left="0" w:leftChars="0" w:firstLine="400" w:firstLineChars="0"/>
              <w:rPr>
                <w:rFonts w:hint="eastAsia" w:ascii="仿宋_GB2312" w:hAnsi="仿宋_GB2312" w:eastAsia="仿宋_GB2312" w:cs="仿宋_GB2312"/>
                <w:bCs/>
                <w:kern w:val="0"/>
                <w:szCs w:val="28"/>
              </w:rPr>
            </w:pPr>
            <w:r>
              <w:rPr>
                <w:rFonts w:hint="eastAsia" w:ascii="仿宋_GB2312" w:hAnsi="仿宋_GB2312" w:eastAsia="仿宋_GB2312" w:cs="仿宋_GB2312"/>
                <w:bCs/>
                <w:kern w:val="0"/>
                <w:szCs w:val="28"/>
              </w:rPr>
              <w:t>在执行国家及天津市现行大气环境管理要求基础上，从保障居住环境安全的角度，严格控制各类开发建设活动，新增大气重点污染物的工业建设项目应布局在保留、整合工业园区内。已有大气污染严重或具有潜在环境风险的工业企业应逐步关停迁出，逐步实现区域工业废气“零排放”。</w:t>
            </w:r>
          </w:p>
        </w:tc>
        <w:tc>
          <w:tcPr>
            <w:tcW w:w="3860" w:type="dxa"/>
            <w:vAlign w:val="center"/>
          </w:tcPr>
          <w:p>
            <w:pPr>
              <w:widowControl/>
              <w:numPr>
                <w:ilvl w:val="0"/>
                <w:numId w:val="6"/>
              </w:numPr>
              <w:ind w:left="0" w:leftChars="0" w:firstLine="560" w:firstLineChars="200"/>
              <w:rPr>
                <w:rFonts w:hint="eastAsia" w:ascii="仿宋_GB2312" w:hAnsi="仿宋_GB2312" w:eastAsia="仿宋_GB2312" w:cs="仿宋_GB2312"/>
                <w:bCs/>
                <w:kern w:val="0"/>
                <w:szCs w:val="28"/>
              </w:rPr>
            </w:pPr>
            <w:r>
              <w:rPr>
                <w:rFonts w:hint="eastAsia" w:ascii="仿宋_GB2312" w:hAnsi="仿宋_GB2312" w:eastAsia="仿宋_GB2312" w:cs="仿宋_GB2312"/>
                <w:bCs/>
                <w:kern w:val="0"/>
                <w:szCs w:val="28"/>
              </w:rPr>
              <w:t>执行市级总体管控要求和南开区区级管控要求。</w:t>
            </w:r>
          </w:p>
          <w:p>
            <w:pPr>
              <w:widowControl/>
              <w:numPr>
                <w:ilvl w:val="0"/>
                <w:numId w:val="6"/>
              </w:numPr>
              <w:ind w:left="0" w:leftChars="0" w:firstLine="560" w:firstLineChars="200"/>
              <w:rPr>
                <w:rFonts w:hint="eastAsia" w:ascii="仿宋_GB2312" w:hAnsi="仿宋_GB2312" w:eastAsia="仿宋_GB2312" w:cs="仿宋_GB2312"/>
                <w:bCs/>
                <w:kern w:val="0"/>
                <w:szCs w:val="28"/>
              </w:rPr>
            </w:pPr>
            <w:r>
              <w:rPr>
                <w:rFonts w:hint="eastAsia" w:ascii="仿宋_GB2312" w:hAnsi="仿宋_GB2312" w:eastAsia="仿宋_GB2312" w:cs="仿宋_GB2312"/>
                <w:bCs/>
                <w:kern w:val="0"/>
                <w:szCs w:val="28"/>
              </w:rPr>
              <w:t>加强移动源污染控制及餐饮油烟防治、扬尘等面源污染防治。餐饮服务经营场所要求安装高效油烟净化设施，禁止露天烧烤；推广使用净化型家用抽油烟机，鼓励餐饮业及居民生活能源使用天然气、液化石油气等洁净能源。持续强化区内降尘量考核，提高扬尘污染精细化管控水平。</w:t>
            </w:r>
          </w:p>
        </w:tc>
        <w:tc>
          <w:tcPr>
            <w:tcW w:w="885" w:type="dxa"/>
            <w:vAlign w:val="center"/>
          </w:tcPr>
          <w:p>
            <w:pPr>
              <w:widowControl/>
              <w:numPr>
                <w:ilvl w:val="0"/>
                <w:numId w:val="7"/>
              </w:numPr>
              <w:ind w:left="0" w:leftChars="0" w:firstLine="400" w:firstLineChars="0"/>
              <w:rPr>
                <w:rFonts w:hint="eastAsia" w:ascii="仿宋_GB2312" w:hAnsi="仿宋_GB2312" w:eastAsia="仿宋_GB2312" w:cs="仿宋_GB2312"/>
                <w:bCs/>
                <w:kern w:val="0"/>
                <w:szCs w:val="28"/>
              </w:rPr>
            </w:pPr>
            <w:r>
              <w:rPr>
                <w:rFonts w:hint="eastAsia" w:ascii="仿宋_GB2312" w:hAnsi="仿宋_GB2312" w:eastAsia="仿宋_GB2312" w:cs="仿宋_GB2312"/>
                <w:bCs/>
                <w:kern w:val="0"/>
                <w:szCs w:val="28"/>
              </w:rPr>
              <w:t>1</w:t>
            </w:r>
            <w:bookmarkStart w:id="9" w:name="_GoBack"/>
            <w:bookmarkEnd w:id="9"/>
            <w:r>
              <w:rPr>
                <w:rFonts w:hint="eastAsia" w:ascii="仿宋_GB2312" w:hAnsi="仿宋_GB2312" w:eastAsia="仿宋_GB2312" w:cs="仿宋_GB2312"/>
                <w:bCs/>
                <w:kern w:val="0"/>
                <w:szCs w:val="28"/>
              </w:rPr>
              <w:t>执行市级总体管控要求和南开区区级管控要求。</w:t>
            </w:r>
          </w:p>
        </w:tc>
        <w:tc>
          <w:tcPr>
            <w:tcW w:w="891" w:type="dxa"/>
            <w:vAlign w:val="center"/>
          </w:tcPr>
          <w:p>
            <w:pPr>
              <w:widowControl/>
              <w:numPr>
                <w:ilvl w:val="0"/>
                <w:numId w:val="8"/>
              </w:numPr>
              <w:ind w:left="0" w:leftChars="0" w:firstLine="400" w:firstLineChars="0"/>
              <w:rPr>
                <w:rFonts w:hint="eastAsia" w:ascii="仿宋_GB2312" w:hAnsi="仿宋_GB2312" w:eastAsia="仿宋_GB2312" w:cs="仿宋_GB2312"/>
                <w:bCs/>
                <w:kern w:val="0"/>
                <w:szCs w:val="28"/>
              </w:rPr>
            </w:pPr>
            <w:r>
              <w:rPr>
                <w:rFonts w:hint="eastAsia" w:ascii="仿宋_GB2312" w:hAnsi="仿宋_GB2312" w:eastAsia="仿宋_GB2312" w:cs="仿宋_GB2312"/>
                <w:bCs/>
                <w:kern w:val="0"/>
                <w:szCs w:val="28"/>
              </w:rPr>
              <w:t>1执行市级总体管控要求和南开区区级管控要求。</w:t>
            </w:r>
          </w:p>
        </w:tc>
      </w:tr>
    </w:tbl>
    <w:p>
      <w:pPr>
        <w:ind w:firstLine="0" w:firstLineChars="0"/>
        <w:rPr>
          <w:rFonts w:eastAsia="仿宋_GB2312"/>
        </w:rPr>
      </w:pPr>
    </w:p>
    <w:sectPr>
      <w:footerReference r:id="rId6" w:type="default"/>
      <w:pgSz w:w="16838" w:h="11906" w:orient="landscape"/>
      <w:pgMar w:top="1800" w:right="1440" w:bottom="1800" w:left="1440" w:header="851" w:footer="992" w:gutter="0"/>
      <w:pgNumType w:fmt="numberInDash" w:start="1"/>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altName w:val="FreeSerif"/>
    <w:panose1 w:val="02040503050406030204"/>
    <w:charset w:val="00"/>
    <w:family w:val="roman"/>
    <w:pitch w:val="default"/>
    <w:sig w:usb0="00000000" w:usb1="00000000" w:usb2="02000000" w:usb3="00000000" w:csb0="0000019F" w:csb1="00000000"/>
  </w:font>
  <w:font w:name="文星仿宋">
    <w:altName w:val="仿宋"/>
    <w:panose1 w:val="00000000000000000000"/>
    <w:charset w:val="00"/>
    <w:family w:val="auto"/>
    <w:pitch w:val="default"/>
    <w:sig w:usb0="00000000" w:usb1="00000000" w:usb2="00000010"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仿宋" w:cs="Times New Roman"/>
        <w:sz w:val="28"/>
        <w:szCs w:val="24"/>
      </w:rPr>
      <w:id w:val="716858744"/>
    </w:sdtPr>
    <w:sdtEndPr>
      <w:rPr>
        <w:rFonts w:ascii="Times New Roman" w:hAnsi="Times New Roman" w:eastAsia="仿宋" w:cs="Times New Roman"/>
        <w:sz w:val="28"/>
        <w:szCs w:val="24"/>
      </w:rPr>
    </w:sdtEndPr>
    <w:sdtContent>
      <w:p>
        <w:pPr>
          <w:pStyle w:val="6"/>
          <w:ind w:firstLine="560"/>
          <w:jc w:val="center"/>
          <w:rPr>
            <w:rFonts w:hint="eastAsia"/>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6"/>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9344689"/>
    </w:sdtPr>
    <w:sdtContent>
      <w:p>
        <w:pPr>
          <w:pStyle w:val="6"/>
          <w:ind w:firstLine="560"/>
          <w:jc w:val="center"/>
          <w:rPr>
            <w:rFonts w:hint="eastAsia"/>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6"/>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92539"/>
    <w:multiLevelType w:val="singleLevel"/>
    <w:tmpl w:val="A6F92539"/>
    <w:lvl w:ilvl="0" w:tentative="0">
      <w:start w:val="1"/>
      <w:numFmt w:val="decimal"/>
      <w:suff w:val="nothing"/>
      <w:lvlText w:val="%1．"/>
      <w:lvlJc w:val="left"/>
      <w:pPr>
        <w:ind w:left="0" w:firstLine="400"/>
      </w:pPr>
      <w:rPr>
        <w:rFonts w:hint="default"/>
      </w:rPr>
    </w:lvl>
  </w:abstractNum>
  <w:abstractNum w:abstractNumId="1">
    <w:nsid w:val="B37ABA8E"/>
    <w:multiLevelType w:val="singleLevel"/>
    <w:tmpl w:val="B37ABA8E"/>
    <w:lvl w:ilvl="0" w:tentative="0">
      <w:start w:val="1"/>
      <w:numFmt w:val="decimal"/>
      <w:suff w:val="nothing"/>
      <w:lvlText w:val="%1．"/>
      <w:lvlJc w:val="left"/>
      <w:pPr>
        <w:ind w:left="0" w:firstLine="400"/>
      </w:pPr>
      <w:rPr>
        <w:rFonts w:hint="default"/>
      </w:rPr>
    </w:lvl>
  </w:abstractNum>
  <w:abstractNum w:abstractNumId="2">
    <w:nsid w:val="BF26B4B6"/>
    <w:multiLevelType w:val="singleLevel"/>
    <w:tmpl w:val="BF26B4B6"/>
    <w:lvl w:ilvl="0" w:tentative="0">
      <w:start w:val="1"/>
      <w:numFmt w:val="decimal"/>
      <w:suff w:val="nothing"/>
      <w:lvlText w:val="%1．"/>
      <w:lvlJc w:val="left"/>
      <w:pPr>
        <w:ind w:left="0" w:firstLine="400"/>
      </w:pPr>
      <w:rPr>
        <w:rFonts w:hint="default"/>
      </w:rPr>
    </w:lvl>
  </w:abstractNum>
  <w:abstractNum w:abstractNumId="3">
    <w:nsid w:val="BFFFB5F0"/>
    <w:multiLevelType w:val="singleLevel"/>
    <w:tmpl w:val="BFFFB5F0"/>
    <w:lvl w:ilvl="0" w:tentative="0">
      <w:start w:val="1"/>
      <w:numFmt w:val="decimal"/>
      <w:suff w:val="nothing"/>
      <w:lvlText w:val="%1．"/>
      <w:lvlJc w:val="left"/>
      <w:pPr>
        <w:ind w:left="0" w:firstLine="400"/>
      </w:pPr>
      <w:rPr>
        <w:rFonts w:hint="default"/>
      </w:rPr>
    </w:lvl>
  </w:abstractNum>
  <w:abstractNum w:abstractNumId="4">
    <w:nsid w:val="D8FE9A7C"/>
    <w:multiLevelType w:val="singleLevel"/>
    <w:tmpl w:val="D8FE9A7C"/>
    <w:lvl w:ilvl="0" w:tentative="0">
      <w:start w:val="1"/>
      <w:numFmt w:val="decimal"/>
      <w:suff w:val="nothing"/>
      <w:lvlText w:val="%1．"/>
      <w:lvlJc w:val="left"/>
      <w:pPr>
        <w:ind w:left="0" w:firstLine="400"/>
      </w:pPr>
      <w:rPr>
        <w:rFonts w:hint="default"/>
      </w:rPr>
    </w:lvl>
  </w:abstractNum>
  <w:abstractNum w:abstractNumId="5">
    <w:nsid w:val="DF7B31BF"/>
    <w:multiLevelType w:val="singleLevel"/>
    <w:tmpl w:val="DF7B31BF"/>
    <w:lvl w:ilvl="0" w:tentative="0">
      <w:start w:val="1"/>
      <w:numFmt w:val="decimal"/>
      <w:suff w:val="nothing"/>
      <w:lvlText w:val="%1．"/>
      <w:lvlJc w:val="left"/>
      <w:pPr>
        <w:ind w:left="0" w:firstLine="400"/>
      </w:pPr>
      <w:rPr>
        <w:rFonts w:hint="default"/>
      </w:rPr>
    </w:lvl>
  </w:abstractNum>
  <w:abstractNum w:abstractNumId="6">
    <w:nsid w:val="FF99F920"/>
    <w:multiLevelType w:val="singleLevel"/>
    <w:tmpl w:val="FF99F920"/>
    <w:lvl w:ilvl="0" w:tentative="0">
      <w:start w:val="1"/>
      <w:numFmt w:val="decimal"/>
      <w:suff w:val="nothing"/>
      <w:lvlText w:val="%1．"/>
      <w:lvlJc w:val="left"/>
      <w:pPr>
        <w:ind w:left="0" w:firstLine="400"/>
      </w:pPr>
      <w:rPr>
        <w:rFonts w:hint="default"/>
      </w:rPr>
    </w:lvl>
  </w:abstractNum>
  <w:abstractNum w:abstractNumId="7">
    <w:nsid w:val="7EFEF35C"/>
    <w:multiLevelType w:val="singleLevel"/>
    <w:tmpl w:val="7EFEF35C"/>
    <w:lvl w:ilvl="0" w:tentative="0">
      <w:start w:val="1"/>
      <w:numFmt w:val="decimal"/>
      <w:suff w:val="nothing"/>
      <w:lvlText w:val="%1．"/>
      <w:lvlJc w:val="left"/>
      <w:pPr>
        <w:ind w:left="0" w:firstLine="400"/>
      </w:pPr>
      <w:rPr>
        <w:rFonts w:hint="default"/>
      </w:rPr>
    </w:lvl>
  </w:abstractNum>
  <w:num w:numId="1">
    <w:abstractNumId w:val="1"/>
  </w:num>
  <w:num w:numId="2">
    <w:abstractNumId w:val="0"/>
  </w:num>
  <w:num w:numId="3">
    <w:abstractNumId w:val="5"/>
  </w:num>
  <w:num w:numId="4">
    <w:abstractNumId w:val="7"/>
  </w:num>
  <w:num w:numId="5">
    <w:abstractNumId w:val="4"/>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hMjM2MDk3NjMyMTE2MjE1YmY5MzkzODg2NWU1Y2MifQ=="/>
  </w:docVars>
  <w:rsids>
    <w:rsidRoot w:val="00172A27"/>
    <w:rsid w:val="00003196"/>
    <w:rsid w:val="00005306"/>
    <w:rsid w:val="00010D41"/>
    <w:rsid w:val="00017258"/>
    <w:rsid w:val="00020FB3"/>
    <w:rsid w:val="00022C05"/>
    <w:rsid w:val="00023FC4"/>
    <w:rsid w:val="00024A4E"/>
    <w:rsid w:val="000274F7"/>
    <w:rsid w:val="00030148"/>
    <w:rsid w:val="00030757"/>
    <w:rsid w:val="000331C0"/>
    <w:rsid w:val="000338D6"/>
    <w:rsid w:val="0003633C"/>
    <w:rsid w:val="00047C86"/>
    <w:rsid w:val="000506FA"/>
    <w:rsid w:val="000614D9"/>
    <w:rsid w:val="00062766"/>
    <w:rsid w:val="000648B6"/>
    <w:rsid w:val="000715F5"/>
    <w:rsid w:val="00071E4D"/>
    <w:rsid w:val="00091996"/>
    <w:rsid w:val="000A1D13"/>
    <w:rsid w:val="000A1D52"/>
    <w:rsid w:val="000A5BEA"/>
    <w:rsid w:val="000C113B"/>
    <w:rsid w:val="000C1DE0"/>
    <w:rsid w:val="000C3249"/>
    <w:rsid w:val="000C375F"/>
    <w:rsid w:val="000C7676"/>
    <w:rsid w:val="000E1C10"/>
    <w:rsid w:val="000E71A7"/>
    <w:rsid w:val="000E7DF6"/>
    <w:rsid w:val="000F3A25"/>
    <w:rsid w:val="000F66B5"/>
    <w:rsid w:val="000F76FF"/>
    <w:rsid w:val="00107318"/>
    <w:rsid w:val="001144A8"/>
    <w:rsid w:val="00122D92"/>
    <w:rsid w:val="00127791"/>
    <w:rsid w:val="0013056F"/>
    <w:rsid w:val="001358E9"/>
    <w:rsid w:val="00142627"/>
    <w:rsid w:val="00145690"/>
    <w:rsid w:val="001523B2"/>
    <w:rsid w:val="001633BF"/>
    <w:rsid w:val="001675C0"/>
    <w:rsid w:val="00170CB3"/>
    <w:rsid w:val="001721B4"/>
    <w:rsid w:val="00172A27"/>
    <w:rsid w:val="0017660C"/>
    <w:rsid w:val="001A2DD0"/>
    <w:rsid w:val="001A7957"/>
    <w:rsid w:val="001B484A"/>
    <w:rsid w:val="001B6F69"/>
    <w:rsid w:val="001C2C5C"/>
    <w:rsid w:val="001C4FAB"/>
    <w:rsid w:val="001F3910"/>
    <w:rsid w:val="001F398C"/>
    <w:rsid w:val="001F7024"/>
    <w:rsid w:val="00202F27"/>
    <w:rsid w:val="0021161F"/>
    <w:rsid w:val="00217E94"/>
    <w:rsid w:val="00220650"/>
    <w:rsid w:val="00224E3B"/>
    <w:rsid w:val="00225B6E"/>
    <w:rsid w:val="0024035D"/>
    <w:rsid w:val="002414C3"/>
    <w:rsid w:val="00251DD0"/>
    <w:rsid w:val="00254AA3"/>
    <w:rsid w:val="00257D80"/>
    <w:rsid w:val="00265327"/>
    <w:rsid w:val="00275EFB"/>
    <w:rsid w:val="00291B4F"/>
    <w:rsid w:val="00296179"/>
    <w:rsid w:val="002B7ECE"/>
    <w:rsid w:val="002C2A4F"/>
    <w:rsid w:val="002C3E20"/>
    <w:rsid w:val="002D6C9C"/>
    <w:rsid w:val="002E0CC0"/>
    <w:rsid w:val="002E1135"/>
    <w:rsid w:val="002E1288"/>
    <w:rsid w:val="002E426E"/>
    <w:rsid w:val="002F709C"/>
    <w:rsid w:val="003123E8"/>
    <w:rsid w:val="00320526"/>
    <w:rsid w:val="0032278A"/>
    <w:rsid w:val="003347C2"/>
    <w:rsid w:val="00342ACD"/>
    <w:rsid w:val="0035113C"/>
    <w:rsid w:val="0035302C"/>
    <w:rsid w:val="00354BA8"/>
    <w:rsid w:val="00357056"/>
    <w:rsid w:val="003610EC"/>
    <w:rsid w:val="00361C3A"/>
    <w:rsid w:val="003756F3"/>
    <w:rsid w:val="00377E47"/>
    <w:rsid w:val="00397582"/>
    <w:rsid w:val="003A27AB"/>
    <w:rsid w:val="003A7E1C"/>
    <w:rsid w:val="003B2A7E"/>
    <w:rsid w:val="003B4FBB"/>
    <w:rsid w:val="003C153E"/>
    <w:rsid w:val="003D1593"/>
    <w:rsid w:val="003D1C1B"/>
    <w:rsid w:val="003D33EA"/>
    <w:rsid w:val="003E2343"/>
    <w:rsid w:val="003F5702"/>
    <w:rsid w:val="004077AD"/>
    <w:rsid w:val="00414F8C"/>
    <w:rsid w:val="00423FF3"/>
    <w:rsid w:val="0043116B"/>
    <w:rsid w:val="00431A38"/>
    <w:rsid w:val="00436EC1"/>
    <w:rsid w:val="00437717"/>
    <w:rsid w:val="004408C5"/>
    <w:rsid w:val="00440D1A"/>
    <w:rsid w:val="00446614"/>
    <w:rsid w:val="0045139A"/>
    <w:rsid w:val="004513F6"/>
    <w:rsid w:val="00451822"/>
    <w:rsid w:val="00453072"/>
    <w:rsid w:val="00465035"/>
    <w:rsid w:val="00466440"/>
    <w:rsid w:val="0047078C"/>
    <w:rsid w:val="00471DD3"/>
    <w:rsid w:val="0047243D"/>
    <w:rsid w:val="00475ABC"/>
    <w:rsid w:val="0047676F"/>
    <w:rsid w:val="00482654"/>
    <w:rsid w:val="00482E59"/>
    <w:rsid w:val="00483CDA"/>
    <w:rsid w:val="0048443B"/>
    <w:rsid w:val="004902BB"/>
    <w:rsid w:val="00493DD6"/>
    <w:rsid w:val="004A62A3"/>
    <w:rsid w:val="004B541A"/>
    <w:rsid w:val="004B631C"/>
    <w:rsid w:val="004C3368"/>
    <w:rsid w:val="004D27EE"/>
    <w:rsid w:val="004E1116"/>
    <w:rsid w:val="004F22A0"/>
    <w:rsid w:val="004F4F0C"/>
    <w:rsid w:val="00506F2E"/>
    <w:rsid w:val="00507722"/>
    <w:rsid w:val="00511EC4"/>
    <w:rsid w:val="005169A9"/>
    <w:rsid w:val="00517173"/>
    <w:rsid w:val="00524F07"/>
    <w:rsid w:val="005250A7"/>
    <w:rsid w:val="00545427"/>
    <w:rsid w:val="005A1948"/>
    <w:rsid w:val="005A1D3C"/>
    <w:rsid w:val="005B3403"/>
    <w:rsid w:val="005D6086"/>
    <w:rsid w:val="005D6E27"/>
    <w:rsid w:val="005E3891"/>
    <w:rsid w:val="005E7ED8"/>
    <w:rsid w:val="005F142B"/>
    <w:rsid w:val="00610BB5"/>
    <w:rsid w:val="00612C1A"/>
    <w:rsid w:val="00612E7A"/>
    <w:rsid w:val="00613ECA"/>
    <w:rsid w:val="006140E3"/>
    <w:rsid w:val="00617BC0"/>
    <w:rsid w:val="006371B4"/>
    <w:rsid w:val="00637F95"/>
    <w:rsid w:val="00640602"/>
    <w:rsid w:val="0064301D"/>
    <w:rsid w:val="00663698"/>
    <w:rsid w:val="00666849"/>
    <w:rsid w:val="00670E60"/>
    <w:rsid w:val="00680B4E"/>
    <w:rsid w:val="006829A3"/>
    <w:rsid w:val="006A589D"/>
    <w:rsid w:val="006C36C7"/>
    <w:rsid w:val="006D386A"/>
    <w:rsid w:val="006D48AE"/>
    <w:rsid w:val="006D7C7F"/>
    <w:rsid w:val="006F4000"/>
    <w:rsid w:val="006F48CF"/>
    <w:rsid w:val="006F4C94"/>
    <w:rsid w:val="00701186"/>
    <w:rsid w:val="007019D9"/>
    <w:rsid w:val="00705893"/>
    <w:rsid w:val="00713A7F"/>
    <w:rsid w:val="007177BB"/>
    <w:rsid w:val="007262DF"/>
    <w:rsid w:val="007319B5"/>
    <w:rsid w:val="00736CE0"/>
    <w:rsid w:val="00744E7F"/>
    <w:rsid w:val="007455AD"/>
    <w:rsid w:val="00745B96"/>
    <w:rsid w:val="007602A9"/>
    <w:rsid w:val="0076124A"/>
    <w:rsid w:val="00761E94"/>
    <w:rsid w:val="00766C07"/>
    <w:rsid w:val="00767B44"/>
    <w:rsid w:val="0077708D"/>
    <w:rsid w:val="007A124B"/>
    <w:rsid w:val="007C2BB3"/>
    <w:rsid w:val="007C61D1"/>
    <w:rsid w:val="007D01B0"/>
    <w:rsid w:val="007D4AF2"/>
    <w:rsid w:val="007E7AE7"/>
    <w:rsid w:val="007F3465"/>
    <w:rsid w:val="00805653"/>
    <w:rsid w:val="00806358"/>
    <w:rsid w:val="00810E95"/>
    <w:rsid w:val="00813786"/>
    <w:rsid w:val="00815EE7"/>
    <w:rsid w:val="0081606C"/>
    <w:rsid w:val="0082337E"/>
    <w:rsid w:val="00823C94"/>
    <w:rsid w:val="0083207C"/>
    <w:rsid w:val="00841BD5"/>
    <w:rsid w:val="00856904"/>
    <w:rsid w:val="00860C8F"/>
    <w:rsid w:val="00872C81"/>
    <w:rsid w:val="0087430E"/>
    <w:rsid w:val="00880DC2"/>
    <w:rsid w:val="008903D3"/>
    <w:rsid w:val="008917F6"/>
    <w:rsid w:val="00894EC2"/>
    <w:rsid w:val="00896D63"/>
    <w:rsid w:val="008A4581"/>
    <w:rsid w:val="008B57CE"/>
    <w:rsid w:val="008C1F0B"/>
    <w:rsid w:val="008C344B"/>
    <w:rsid w:val="008D2B15"/>
    <w:rsid w:val="008E3E97"/>
    <w:rsid w:val="008E4A56"/>
    <w:rsid w:val="008E5DA7"/>
    <w:rsid w:val="008F5A78"/>
    <w:rsid w:val="00901159"/>
    <w:rsid w:val="00911C77"/>
    <w:rsid w:val="0091241E"/>
    <w:rsid w:val="00913FF1"/>
    <w:rsid w:val="00917661"/>
    <w:rsid w:val="009230D3"/>
    <w:rsid w:val="009246C9"/>
    <w:rsid w:val="00930D02"/>
    <w:rsid w:val="0093585A"/>
    <w:rsid w:val="0094198A"/>
    <w:rsid w:val="009433B8"/>
    <w:rsid w:val="00943EC8"/>
    <w:rsid w:val="009462F6"/>
    <w:rsid w:val="00947518"/>
    <w:rsid w:val="00952D62"/>
    <w:rsid w:val="00961793"/>
    <w:rsid w:val="009709B9"/>
    <w:rsid w:val="0098403E"/>
    <w:rsid w:val="00986AD7"/>
    <w:rsid w:val="00987412"/>
    <w:rsid w:val="009A6624"/>
    <w:rsid w:val="009B3FAC"/>
    <w:rsid w:val="009B5085"/>
    <w:rsid w:val="009B7656"/>
    <w:rsid w:val="009C637F"/>
    <w:rsid w:val="009D7CC9"/>
    <w:rsid w:val="009E09E1"/>
    <w:rsid w:val="009E117F"/>
    <w:rsid w:val="009E1C9F"/>
    <w:rsid w:val="009F0A3D"/>
    <w:rsid w:val="009F6109"/>
    <w:rsid w:val="009F7810"/>
    <w:rsid w:val="00A05972"/>
    <w:rsid w:val="00A1075F"/>
    <w:rsid w:val="00A108CA"/>
    <w:rsid w:val="00A21DDD"/>
    <w:rsid w:val="00A24D73"/>
    <w:rsid w:val="00A260A1"/>
    <w:rsid w:val="00A35477"/>
    <w:rsid w:val="00A37232"/>
    <w:rsid w:val="00A437D4"/>
    <w:rsid w:val="00A447EC"/>
    <w:rsid w:val="00A526E7"/>
    <w:rsid w:val="00A605A5"/>
    <w:rsid w:val="00A71C59"/>
    <w:rsid w:val="00A7629E"/>
    <w:rsid w:val="00AA2566"/>
    <w:rsid w:val="00AA4939"/>
    <w:rsid w:val="00AB013F"/>
    <w:rsid w:val="00AB4050"/>
    <w:rsid w:val="00AC19D2"/>
    <w:rsid w:val="00AE12E7"/>
    <w:rsid w:val="00AE13D1"/>
    <w:rsid w:val="00AE25BD"/>
    <w:rsid w:val="00AE294E"/>
    <w:rsid w:val="00B04D84"/>
    <w:rsid w:val="00B06635"/>
    <w:rsid w:val="00B131FE"/>
    <w:rsid w:val="00B15898"/>
    <w:rsid w:val="00B2478B"/>
    <w:rsid w:val="00B27F32"/>
    <w:rsid w:val="00B31D0F"/>
    <w:rsid w:val="00B52418"/>
    <w:rsid w:val="00B60169"/>
    <w:rsid w:val="00B615EB"/>
    <w:rsid w:val="00B64D55"/>
    <w:rsid w:val="00B702AC"/>
    <w:rsid w:val="00B7167C"/>
    <w:rsid w:val="00B729BF"/>
    <w:rsid w:val="00B76260"/>
    <w:rsid w:val="00B86C55"/>
    <w:rsid w:val="00B950FD"/>
    <w:rsid w:val="00B95912"/>
    <w:rsid w:val="00BA0388"/>
    <w:rsid w:val="00BA22ED"/>
    <w:rsid w:val="00BB6D8E"/>
    <w:rsid w:val="00BC382C"/>
    <w:rsid w:val="00BC4651"/>
    <w:rsid w:val="00BE0FE9"/>
    <w:rsid w:val="00BF47E0"/>
    <w:rsid w:val="00C044AD"/>
    <w:rsid w:val="00C05290"/>
    <w:rsid w:val="00C07002"/>
    <w:rsid w:val="00C07AB6"/>
    <w:rsid w:val="00C11B6B"/>
    <w:rsid w:val="00C1318E"/>
    <w:rsid w:val="00C17103"/>
    <w:rsid w:val="00C21306"/>
    <w:rsid w:val="00C21C44"/>
    <w:rsid w:val="00C26C12"/>
    <w:rsid w:val="00C27FFC"/>
    <w:rsid w:val="00C33DD5"/>
    <w:rsid w:val="00C3752E"/>
    <w:rsid w:val="00C479A8"/>
    <w:rsid w:val="00C5143A"/>
    <w:rsid w:val="00C5489F"/>
    <w:rsid w:val="00C54D2D"/>
    <w:rsid w:val="00C62D71"/>
    <w:rsid w:val="00C6482C"/>
    <w:rsid w:val="00C7020F"/>
    <w:rsid w:val="00C73074"/>
    <w:rsid w:val="00C7347B"/>
    <w:rsid w:val="00C773F0"/>
    <w:rsid w:val="00C820FF"/>
    <w:rsid w:val="00C85DE7"/>
    <w:rsid w:val="00C87002"/>
    <w:rsid w:val="00CB441A"/>
    <w:rsid w:val="00CB6DF0"/>
    <w:rsid w:val="00CB76B5"/>
    <w:rsid w:val="00CC04F6"/>
    <w:rsid w:val="00CC31EF"/>
    <w:rsid w:val="00CC5E8F"/>
    <w:rsid w:val="00CD048F"/>
    <w:rsid w:val="00CD33A1"/>
    <w:rsid w:val="00CD694D"/>
    <w:rsid w:val="00CD7443"/>
    <w:rsid w:val="00CE0A94"/>
    <w:rsid w:val="00CF2D33"/>
    <w:rsid w:val="00D05B58"/>
    <w:rsid w:val="00D13B5E"/>
    <w:rsid w:val="00D17560"/>
    <w:rsid w:val="00D222D5"/>
    <w:rsid w:val="00D26348"/>
    <w:rsid w:val="00D3237B"/>
    <w:rsid w:val="00D33342"/>
    <w:rsid w:val="00D33D2C"/>
    <w:rsid w:val="00D37A64"/>
    <w:rsid w:val="00D45A97"/>
    <w:rsid w:val="00D45CBC"/>
    <w:rsid w:val="00D571E7"/>
    <w:rsid w:val="00D6065C"/>
    <w:rsid w:val="00D73990"/>
    <w:rsid w:val="00D8535A"/>
    <w:rsid w:val="00D86937"/>
    <w:rsid w:val="00D96346"/>
    <w:rsid w:val="00DA6AF9"/>
    <w:rsid w:val="00DB04F3"/>
    <w:rsid w:val="00DB2785"/>
    <w:rsid w:val="00DB4CD2"/>
    <w:rsid w:val="00DB66DF"/>
    <w:rsid w:val="00DB726B"/>
    <w:rsid w:val="00DC0314"/>
    <w:rsid w:val="00DC0A45"/>
    <w:rsid w:val="00DC34A4"/>
    <w:rsid w:val="00DC75FB"/>
    <w:rsid w:val="00DD0E4A"/>
    <w:rsid w:val="00DD29BA"/>
    <w:rsid w:val="00DD5319"/>
    <w:rsid w:val="00DE03B4"/>
    <w:rsid w:val="00DE0A78"/>
    <w:rsid w:val="00DE1A09"/>
    <w:rsid w:val="00DE44BD"/>
    <w:rsid w:val="00DE76C0"/>
    <w:rsid w:val="00DF11BB"/>
    <w:rsid w:val="00DF2874"/>
    <w:rsid w:val="00DF5F82"/>
    <w:rsid w:val="00E02045"/>
    <w:rsid w:val="00E03FB4"/>
    <w:rsid w:val="00E224F5"/>
    <w:rsid w:val="00E236C2"/>
    <w:rsid w:val="00E24036"/>
    <w:rsid w:val="00E30268"/>
    <w:rsid w:val="00E31BC1"/>
    <w:rsid w:val="00E34940"/>
    <w:rsid w:val="00E4133E"/>
    <w:rsid w:val="00E41655"/>
    <w:rsid w:val="00E60195"/>
    <w:rsid w:val="00E65331"/>
    <w:rsid w:val="00E71297"/>
    <w:rsid w:val="00E71FCF"/>
    <w:rsid w:val="00E81192"/>
    <w:rsid w:val="00E96292"/>
    <w:rsid w:val="00EA6773"/>
    <w:rsid w:val="00EB6B2C"/>
    <w:rsid w:val="00EC1AEB"/>
    <w:rsid w:val="00EC49B1"/>
    <w:rsid w:val="00EC7EE0"/>
    <w:rsid w:val="00ED7566"/>
    <w:rsid w:val="00EE0B38"/>
    <w:rsid w:val="00EE2C18"/>
    <w:rsid w:val="00F04262"/>
    <w:rsid w:val="00F04F06"/>
    <w:rsid w:val="00F12C84"/>
    <w:rsid w:val="00F2193F"/>
    <w:rsid w:val="00F24319"/>
    <w:rsid w:val="00F332B7"/>
    <w:rsid w:val="00F335D2"/>
    <w:rsid w:val="00F3448E"/>
    <w:rsid w:val="00F40FD2"/>
    <w:rsid w:val="00F42A14"/>
    <w:rsid w:val="00F43446"/>
    <w:rsid w:val="00F45E89"/>
    <w:rsid w:val="00F46E3A"/>
    <w:rsid w:val="00F52DB1"/>
    <w:rsid w:val="00F53DDF"/>
    <w:rsid w:val="00F61672"/>
    <w:rsid w:val="00F66B24"/>
    <w:rsid w:val="00F73064"/>
    <w:rsid w:val="00F76E14"/>
    <w:rsid w:val="00F90ECA"/>
    <w:rsid w:val="00F915F3"/>
    <w:rsid w:val="00F94BAF"/>
    <w:rsid w:val="00FA1F08"/>
    <w:rsid w:val="00FA4031"/>
    <w:rsid w:val="00FB6CE4"/>
    <w:rsid w:val="00FD077C"/>
    <w:rsid w:val="00FD2EE5"/>
    <w:rsid w:val="00FE3CEF"/>
    <w:rsid w:val="00FE6E8D"/>
    <w:rsid w:val="00FF5E97"/>
    <w:rsid w:val="04546E20"/>
    <w:rsid w:val="07261BF2"/>
    <w:rsid w:val="07BFC1EC"/>
    <w:rsid w:val="0EFDA3B2"/>
    <w:rsid w:val="10A51DDA"/>
    <w:rsid w:val="1AD50650"/>
    <w:rsid w:val="1DFF7DE3"/>
    <w:rsid w:val="1FFC2145"/>
    <w:rsid w:val="221C3EC6"/>
    <w:rsid w:val="23BF7EF4"/>
    <w:rsid w:val="2BBF02C7"/>
    <w:rsid w:val="2CFFF313"/>
    <w:rsid w:val="2EA93FE8"/>
    <w:rsid w:val="2EBF35D5"/>
    <w:rsid w:val="3098757B"/>
    <w:rsid w:val="33BF3D58"/>
    <w:rsid w:val="34403A44"/>
    <w:rsid w:val="36D14B6C"/>
    <w:rsid w:val="37FF53F5"/>
    <w:rsid w:val="3BD8A3F7"/>
    <w:rsid w:val="3E975390"/>
    <w:rsid w:val="3EFF9C8D"/>
    <w:rsid w:val="46771D17"/>
    <w:rsid w:val="489649C6"/>
    <w:rsid w:val="4A891AE7"/>
    <w:rsid w:val="4B2833B4"/>
    <w:rsid w:val="4CDE073E"/>
    <w:rsid w:val="52C013F8"/>
    <w:rsid w:val="547E179E"/>
    <w:rsid w:val="54EECCD6"/>
    <w:rsid w:val="57AAB0CD"/>
    <w:rsid w:val="57EE2541"/>
    <w:rsid w:val="57F9AFAA"/>
    <w:rsid w:val="57FF42EA"/>
    <w:rsid w:val="59DBF59F"/>
    <w:rsid w:val="59FFBD38"/>
    <w:rsid w:val="5A060640"/>
    <w:rsid w:val="5B4FDAB6"/>
    <w:rsid w:val="5B75D6BC"/>
    <w:rsid w:val="5D9A3915"/>
    <w:rsid w:val="5EFD3AF6"/>
    <w:rsid w:val="5EFFD9F0"/>
    <w:rsid w:val="5F7F63B7"/>
    <w:rsid w:val="5FAF848F"/>
    <w:rsid w:val="5FBB05BA"/>
    <w:rsid w:val="62810954"/>
    <w:rsid w:val="6372592B"/>
    <w:rsid w:val="670B705C"/>
    <w:rsid w:val="68FF5175"/>
    <w:rsid w:val="69BD1A4E"/>
    <w:rsid w:val="6AEFF3DA"/>
    <w:rsid w:val="6BBC5BF1"/>
    <w:rsid w:val="6BDF5209"/>
    <w:rsid w:val="6BF397D5"/>
    <w:rsid w:val="6E7E4AC1"/>
    <w:rsid w:val="722241AD"/>
    <w:rsid w:val="732F8CDC"/>
    <w:rsid w:val="733FF977"/>
    <w:rsid w:val="73BB14BC"/>
    <w:rsid w:val="73FB4755"/>
    <w:rsid w:val="749EDE31"/>
    <w:rsid w:val="757FD9EB"/>
    <w:rsid w:val="75FC9A8D"/>
    <w:rsid w:val="76FE4579"/>
    <w:rsid w:val="773FC17C"/>
    <w:rsid w:val="77667A56"/>
    <w:rsid w:val="77DB983E"/>
    <w:rsid w:val="77DCC8A4"/>
    <w:rsid w:val="793FFE44"/>
    <w:rsid w:val="79F31704"/>
    <w:rsid w:val="7B5B4596"/>
    <w:rsid w:val="7BFB8873"/>
    <w:rsid w:val="7BFE4B78"/>
    <w:rsid w:val="7CBF9CB9"/>
    <w:rsid w:val="7D778DD1"/>
    <w:rsid w:val="7DED7DFA"/>
    <w:rsid w:val="7DF33492"/>
    <w:rsid w:val="7E777DD7"/>
    <w:rsid w:val="7E7E85DF"/>
    <w:rsid w:val="7F3B184E"/>
    <w:rsid w:val="7F65D2FA"/>
    <w:rsid w:val="7F730E34"/>
    <w:rsid w:val="7F75C8FB"/>
    <w:rsid w:val="7FB947BB"/>
    <w:rsid w:val="7FBE38FC"/>
    <w:rsid w:val="7FC78BF8"/>
    <w:rsid w:val="7FE80634"/>
    <w:rsid w:val="7FEDFD7F"/>
    <w:rsid w:val="7FEFFB30"/>
    <w:rsid w:val="7FF7506F"/>
    <w:rsid w:val="7FFD530C"/>
    <w:rsid w:val="7FFDD184"/>
    <w:rsid w:val="7FFF05A4"/>
    <w:rsid w:val="9B2FEA19"/>
    <w:rsid w:val="9C6E3B94"/>
    <w:rsid w:val="9FF9D719"/>
    <w:rsid w:val="A94F536C"/>
    <w:rsid w:val="AFF1CC6B"/>
    <w:rsid w:val="AFFFFD7F"/>
    <w:rsid w:val="BCA3F3FE"/>
    <w:rsid w:val="BEDC4983"/>
    <w:rsid w:val="BF3ADE9D"/>
    <w:rsid w:val="BF5D567B"/>
    <w:rsid w:val="BFAEEAE1"/>
    <w:rsid w:val="BFBF6477"/>
    <w:rsid w:val="BFFE23F6"/>
    <w:rsid w:val="CBEB43A7"/>
    <w:rsid w:val="D23F6EBA"/>
    <w:rsid w:val="D36EEF01"/>
    <w:rsid w:val="D6AF09B0"/>
    <w:rsid w:val="D6FBFE3D"/>
    <w:rsid w:val="D79F3463"/>
    <w:rsid w:val="D7D9BD3B"/>
    <w:rsid w:val="DDF53CBD"/>
    <w:rsid w:val="DDFDA043"/>
    <w:rsid w:val="DFF7A0EF"/>
    <w:rsid w:val="E56FC0C0"/>
    <w:rsid w:val="EADE2008"/>
    <w:rsid w:val="EBFD7323"/>
    <w:rsid w:val="EDFEA0AF"/>
    <w:rsid w:val="EF3F026B"/>
    <w:rsid w:val="EF7E71DE"/>
    <w:rsid w:val="EFBBCE61"/>
    <w:rsid w:val="EFEF0EAA"/>
    <w:rsid w:val="EFFF0DB7"/>
    <w:rsid w:val="F39B8E6F"/>
    <w:rsid w:val="F47F820E"/>
    <w:rsid w:val="F59E7F50"/>
    <w:rsid w:val="F67F70C2"/>
    <w:rsid w:val="F7FEFAE7"/>
    <w:rsid w:val="F7FF6DA8"/>
    <w:rsid w:val="F9FF2E1F"/>
    <w:rsid w:val="FA7E7094"/>
    <w:rsid w:val="FABDE521"/>
    <w:rsid w:val="FAFFC4AF"/>
    <w:rsid w:val="FB9C573D"/>
    <w:rsid w:val="FBD57AFE"/>
    <w:rsid w:val="FBF382F1"/>
    <w:rsid w:val="FBF70586"/>
    <w:rsid w:val="FBF7CDF5"/>
    <w:rsid w:val="FCAF326B"/>
    <w:rsid w:val="FDA5B506"/>
    <w:rsid w:val="FDEFC1FE"/>
    <w:rsid w:val="FE7FAEE0"/>
    <w:rsid w:val="FE9D97A4"/>
    <w:rsid w:val="FED232CB"/>
    <w:rsid w:val="FEDF756C"/>
    <w:rsid w:val="FEE562BC"/>
    <w:rsid w:val="FEFF575A"/>
    <w:rsid w:val="FF1BF3D2"/>
    <w:rsid w:val="FF6F49A4"/>
    <w:rsid w:val="FFCBA3CB"/>
    <w:rsid w:val="FFF76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440" w:lineRule="exact"/>
      <w:ind w:firstLine="480" w:firstLineChars="200"/>
      <w:jc w:val="both"/>
    </w:pPr>
    <w:rPr>
      <w:rFonts w:ascii="Times New Roman" w:hAnsi="Times New Roman" w:eastAsia="仿宋" w:cs="Times New Roman"/>
      <w:kern w:val="2"/>
      <w:sz w:val="28"/>
      <w:szCs w:val="24"/>
      <w:lang w:val="en-US" w:eastAsia="zh-CN" w:bidi="ar-SA"/>
    </w:rPr>
  </w:style>
  <w:style w:type="paragraph" w:styleId="2">
    <w:name w:val="heading 2"/>
    <w:basedOn w:val="1"/>
    <w:next w:val="1"/>
    <w:qFormat/>
    <w:uiPriority w:val="9"/>
    <w:pPr>
      <w:keepNext/>
      <w:keepLines/>
      <w:snapToGrid/>
      <w:spacing w:before="260" w:after="260" w:line="416" w:lineRule="auto"/>
      <w:ind w:firstLine="0" w:firstLineChars="0"/>
      <w:outlineLvl w:val="1"/>
    </w:pPr>
    <w:rPr>
      <w:rFonts w:ascii="Cambria" w:hAnsi="Cambria" w:eastAsia="宋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0"/>
    <w:pPr>
      <w:jc w:val="left"/>
    </w:pPr>
  </w:style>
  <w:style w:type="paragraph" w:styleId="4">
    <w:name w:val="Body Text"/>
    <w:basedOn w:val="1"/>
    <w:qFormat/>
    <w:uiPriority w:val="0"/>
    <w:pPr>
      <w:snapToGrid/>
      <w:spacing w:line="240" w:lineRule="auto"/>
      <w:ind w:firstLine="0" w:firstLineChars="0"/>
    </w:pPr>
    <w:rPr>
      <w:rFonts w:ascii="Calibri" w:hAnsi="Calibri" w:eastAsia="文星仿宋"/>
      <w:sz w:val="32"/>
      <w:szCs w:val="22"/>
    </w:rPr>
  </w:style>
  <w:style w:type="paragraph" w:styleId="5">
    <w:name w:val="Balloon Text"/>
    <w:basedOn w:val="1"/>
    <w:link w:val="19"/>
    <w:qFormat/>
    <w:uiPriority w:val="0"/>
    <w:pPr>
      <w:spacing w:line="240" w:lineRule="auto"/>
    </w:pPr>
    <w:rPr>
      <w:sz w:val="18"/>
      <w:szCs w:val="18"/>
    </w:rPr>
  </w:style>
  <w:style w:type="paragraph" w:styleId="6">
    <w:name w:val="footer"/>
    <w:basedOn w:val="1"/>
    <w:link w:val="16"/>
    <w:unhideWhenUsed/>
    <w:qFormat/>
    <w:uiPriority w:val="99"/>
    <w:pPr>
      <w:tabs>
        <w:tab w:val="center" w:pos="4153"/>
        <w:tab w:val="right" w:pos="8306"/>
      </w:tabs>
      <w:spacing w:line="240" w:lineRule="auto"/>
      <w:ind w:firstLine="0" w:firstLineChars="0"/>
      <w:jc w:val="left"/>
    </w:pPr>
    <w:rPr>
      <w:rFonts w:asciiTheme="minorHAnsi" w:hAnsiTheme="minorHAnsi" w:eastAsiaTheme="minorEastAsia" w:cstheme="minorBidi"/>
      <w:sz w:val="18"/>
      <w:szCs w:val="18"/>
    </w:rPr>
  </w:style>
  <w:style w:type="paragraph" w:styleId="7">
    <w:name w:val="header"/>
    <w:basedOn w:val="1"/>
    <w:link w:val="15"/>
    <w:qFormat/>
    <w:uiPriority w:val="0"/>
    <w:pPr>
      <w:pBdr>
        <w:bottom w:val="single" w:color="auto" w:sz="6" w:space="1"/>
      </w:pBdr>
      <w:tabs>
        <w:tab w:val="center" w:pos="4153"/>
        <w:tab w:val="right" w:pos="8306"/>
      </w:tabs>
      <w:spacing w:line="240" w:lineRule="auto"/>
      <w:ind w:firstLine="0" w:firstLineChars="0"/>
      <w:jc w:val="center"/>
    </w:pPr>
    <w:rPr>
      <w:rFonts w:asciiTheme="minorHAnsi" w:hAnsiTheme="minorHAnsi" w:eastAsiaTheme="minorEastAsia" w:cstheme="minorBidi"/>
      <w:sz w:val="18"/>
      <w:szCs w:val="18"/>
    </w:rPr>
  </w:style>
  <w:style w:type="paragraph" w:styleId="8">
    <w:name w:val="toc 1"/>
    <w:basedOn w:val="1"/>
    <w:next w:val="1"/>
    <w:qFormat/>
    <w:uiPriority w:val="0"/>
  </w:style>
  <w:style w:type="paragraph" w:styleId="9">
    <w:name w:val="annotation subject"/>
    <w:basedOn w:val="3"/>
    <w:next w:val="3"/>
    <w:link w:val="22"/>
    <w:qFormat/>
    <w:uiPriority w:val="0"/>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rFonts w:ascii="Times New Roman" w:hAnsi="Times New Roman" w:eastAsia="宋体" w:cs="Times New Roman"/>
      <w:color w:val="0000FF"/>
      <w:u w:val="single"/>
    </w:rPr>
  </w:style>
  <w:style w:type="character" w:styleId="14">
    <w:name w:val="annotation reference"/>
    <w:basedOn w:val="12"/>
    <w:qFormat/>
    <w:uiPriority w:val="0"/>
    <w:rPr>
      <w:sz w:val="21"/>
      <w:szCs w:val="21"/>
    </w:rPr>
  </w:style>
  <w:style w:type="character" w:customStyle="1" w:styleId="15">
    <w:name w:val="页眉 字符"/>
    <w:basedOn w:val="12"/>
    <w:link w:val="7"/>
    <w:qFormat/>
    <w:uiPriority w:val="99"/>
    <w:rPr>
      <w:sz w:val="18"/>
      <w:szCs w:val="18"/>
    </w:rPr>
  </w:style>
  <w:style w:type="character" w:customStyle="1" w:styleId="16">
    <w:name w:val="页脚 字符"/>
    <w:basedOn w:val="12"/>
    <w:link w:val="6"/>
    <w:qFormat/>
    <w:uiPriority w:val="99"/>
    <w:rPr>
      <w:sz w:val="18"/>
      <w:szCs w:val="18"/>
    </w:rPr>
  </w:style>
  <w:style w:type="paragraph" w:customStyle="1" w:styleId="17">
    <w:name w:val="1正文"/>
    <w:basedOn w:val="1"/>
    <w:link w:val="18"/>
    <w:qFormat/>
    <w:uiPriority w:val="0"/>
    <w:pPr>
      <w:kinsoku w:val="0"/>
      <w:overflowPunct w:val="0"/>
      <w:ind w:firstLine="0" w:firstLineChars="0"/>
      <w:jc w:val="center"/>
    </w:pPr>
    <w:rPr>
      <w:szCs w:val="30"/>
    </w:rPr>
  </w:style>
  <w:style w:type="character" w:customStyle="1" w:styleId="18">
    <w:name w:val="1正文 Char"/>
    <w:link w:val="17"/>
    <w:qFormat/>
    <w:uiPriority w:val="0"/>
    <w:rPr>
      <w:rFonts w:ascii="Times New Roman" w:hAnsi="Times New Roman" w:eastAsia="仿宋" w:cs="Times New Roman"/>
      <w:sz w:val="28"/>
      <w:szCs w:val="30"/>
    </w:rPr>
  </w:style>
  <w:style w:type="character" w:customStyle="1" w:styleId="19">
    <w:name w:val="批注框文本 字符"/>
    <w:basedOn w:val="12"/>
    <w:link w:val="5"/>
    <w:semiHidden/>
    <w:qFormat/>
    <w:uiPriority w:val="99"/>
    <w:rPr>
      <w:rFonts w:ascii="Times New Roman" w:hAnsi="Times New Roman" w:eastAsia="仿宋" w:cs="Times New Roman"/>
      <w:sz w:val="18"/>
      <w:szCs w:val="18"/>
    </w:rPr>
  </w:style>
  <w:style w:type="paragraph" w:customStyle="1" w:styleId="20">
    <w:name w:val="修订1"/>
    <w:hidden/>
    <w:semiHidden/>
    <w:qFormat/>
    <w:uiPriority w:val="99"/>
    <w:rPr>
      <w:rFonts w:ascii="Times New Roman" w:hAnsi="Times New Roman" w:eastAsia="仿宋" w:cs="Times New Roman"/>
      <w:kern w:val="2"/>
      <w:sz w:val="28"/>
      <w:szCs w:val="24"/>
      <w:lang w:val="en-US" w:eastAsia="zh-CN" w:bidi="ar-SA"/>
    </w:rPr>
  </w:style>
  <w:style w:type="character" w:customStyle="1" w:styleId="21">
    <w:name w:val="批注文字 字符"/>
    <w:basedOn w:val="12"/>
    <w:link w:val="3"/>
    <w:semiHidden/>
    <w:qFormat/>
    <w:uiPriority w:val="99"/>
    <w:rPr>
      <w:rFonts w:ascii="Times New Roman" w:hAnsi="Times New Roman" w:eastAsia="仿宋" w:cs="Times New Roman"/>
      <w:kern w:val="2"/>
      <w:sz w:val="28"/>
      <w:szCs w:val="24"/>
    </w:rPr>
  </w:style>
  <w:style w:type="character" w:customStyle="1" w:styleId="22">
    <w:name w:val="批注主题 字符"/>
    <w:basedOn w:val="21"/>
    <w:link w:val="9"/>
    <w:semiHidden/>
    <w:qFormat/>
    <w:uiPriority w:val="99"/>
    <w:rPr>
      <w:rFonts w:ascii="Times New Roman" w:hAnsi="Times New Roman" w:eastAsia="仿宋" w:cs="Times New Roman"/>
      <w:b/>
      <w:bCs/>
      <w:kern w:val="2"/>
      <w:sz w:val="28"/>
      <w:szCs w:val="24"/>
    </w:rPr>
  </w:style>
  <w:style w:type="paragraph" w:customStyle="1" w:styleId="23">
    <w:name w:val="Default"/>
    <w:qFormat/>
    <w:uiPriority w:val="0"/>
    <w:pPr>
      <w:widowControl w:val="0"/>
      <w:autoSpaceDE w:val="0"/>
      <w:autoSpaceDN w:val="0"/>
      <w:adjustRightInd w:val="0"/>
      <w:jc w:val="center"/>
    </w:pPr>
    <w:rPr>
      <w:rFonts w:ascii="Times New Roman" w:hAnsi="Times New Roman" w:eastAsia="黑体" w:cs="Times New Roman"/>
      <w:color w:val="000000"/>
      <w:sz w:val="21"/>
      <w:lang w:val="en-US" w:eastAsia="zh-CN" w:bidi="ar-SA"/>
    </w:rPr>
  </w:style>
  <w:style w:type="paragraph" w:customStyle="1" w:styleId="24">
    <w:name w:val="_Style 23"/>
    <w:unhideWhenUsed/>
    <w:qFormat/>
    <w:uiPriority w:val="99"/>
    <w:rPr>
      <w:rFonts w:ascii="Calibri" w:hAnsi="Calibri" w:eastAsia="宋体" w:cs="Times New Roman"/>
      <w:kern w:val="2"/>
      <w:sz w:val="21"/>
      <w:szCs w:val="22"/>
      <w:lang w:val="en-US" w:eastAsia="zh-CN" w:bidi="ar-SA"/>
    </w:rPr>
  </w:style>
  <w:style w:type="paragraph" w:customStyle="1" w:styleId="25">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888</Words>
  <Characters>5062</Characters>
  <Lines>42</Lines>
  <Paragraphs>11</Paragraphs>
  <TotalTime>19</TotalTime>
  <ScaleCrop>false</ScaleCrop>
  <LinksUpToDate>false</LinksUpToDate>
  <CharactersWithSpaces>5939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2024-12-23T23:29:00Z</dcterms:created>
  <dc:creator>zlm</dc:creator>
  <cp:lastModifiedBy>yan</cp:lastModifiedBy>
  <cp:lastPrinted>2024-11-16T02:37:00Z</cp:lastPrinted>
  <dcterms:modified xsi:type="dcterms:W3CDTF">2025-02-08T14:47:53Z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E930CCE3211A46FFB0063A50882DBD28_12</vt:lpwstr>
  </property>
</Properties>
</file>