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宋体"/>
          <w:color w:val="000000"/>
          <w:sz w:val="28"/>
        </w:rPr>
      </w:pPr>
      <w:r>
        <w:rPr>
          <w:rFonts w:ascii="宋体"/>
          <w:b/>
          <w:color w:val="FF0000"/>
          <w:spacing w:val="2"/>
          <w:sz w:val="72"/>
          <w:szCs w:val="72"/>
        </w:rPr>
        <w:pict>
          <v:shape id="_x0000_s2051" o:spid="_x0000_s2051" o:spt="202" type="#_x0000_t202" style="position:absolute;left:0pt;margin-left:6.15pt;margin-top:0pt;height:25.2pt;width:107.45pt;z-index:251659264;mso-width-relative:margin;mso-height-relative:margin;mso-height-percent:200;" filled="f" stroked="f" coordsize="21600,21600">
            <v:path/>
            <v:fill on="f" focussize="0,0"/>
            <v:stroke on="f" joinstyle="miter"/>
            <v:imagedata o:title=""/>
            <o:lock v:ext="edit"/>
            <v:textbox style="mso-fit-shape-to-text:t;">
              <w:txbxContent>
                <w:p>
                  <w:pPr>
                    <w:jc w:val="both"/>
                    <w:rPr>
                      <w:rFonts w:ascii="黑体" w:hAnsi="黑体" w:eastAsia="黑体"/>
                    </w:rPr>
                  </w:pPr>
                  <w:r>
                    <w:rPr>
                      <w:rFonts w:hint="eastAsia" w:ascii="黑体" w:hAnsi="黑体" w:eastAsia="黑体"/>
                    </w:rPr>
                    <w:t>附件：</w:t>
                  </w:r>
                </w:p>
              </w:txbxContent>
            </v:textbox>
          </v:shape>
        </w:pic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天津市财政局关于转发《财政部关于进一步</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加强政府采购需求和履约验收管理</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的指导意见</w:t>
      </w:r>
      <w:r>
        <w:rPr>
          <w:rFonts w:ascii="方正小标宋简体" w:hAnsi="宋体" w:eastAsia="方正小标宋简体"/>
          <w:sz w:val="44"/>
          <w:szCs w:val="44"/>
        </w:rPr>
        <w:t>》的通知</w:t>
      </w:r>
    </w:p>
    <w:p>
      <w:pPr>
        <w:spacing w:line="580" w:lineRule="exact"/>
        <w:rPr>
          <w:rFonts w:ascii="仿宋_GB2312" w:eastAsia="仿宋_GB2312"/>
          <w:sz w:val="32"/>
        </w:rPr>
      </w:pPr>
    </w:p>
    <w:p>
      <w:pPr>
        <w:spacing w:line="600" w:lineRule="exact"/>
        <w:jc w:val="both"/>
        <w:rPr>
          <w:rFonts w:ascii="仿宋_GB2312" w:eastAsia="仿宋_GB2312"/>
          <w:sz w:val="32"/>
        </w:rPr>
      </w:pPr>
      <w:r>
        <w:rPr>
          <w:rFonts w:hint="eastAsia" w:ascii="仿宋_GB2312" w:eastAsia="仿宋_GB2312"/>
          <w:sz w:val="32"/>
        </w:rPr>
        <w:t>各预算单位，各区财政局，各采购代理机构：</w:t>
      </w:r>
    </w:p>
    <w:p>
      <w:pPr>
        <w:spacing w:line="600" w:lineRule="exact"/>
        <w:ind w:firstLine="640" w:firstLineChars="200"/>
        <w:jc w:val="both"/>
        <w:rPr>
          <w:rFonts w:eastAsia="仿宋_GB2312"/>
          <w:sz w:val="32"/>
          <w:szCs w:val="32"/>
        </w:rPr>
      </w:pPr>
      <w:r>
        <w:rPr>
          <w:rFonts w:eastAsia="仿宋_GB2312"/>
          <w:sz w:val="32"/>
          <w:szCs w:val="32"/>
        </w:rPr>
        <w:t>现将《财政部关于进一步加强政府采购需求和履约验收管理的指导意见》（财库〔2016〕</w:t>
      </w:r>
      <w:r>
        <w:rPr>
          <w:rFonts w:hint="eastAsia" w:eastAsia="仿宋_GB2312"/>
          <w:sz w:val="32"/>
          <w:szCs w:val="32"/>
        </w:rPr>
        <w:t>205</w:t>
      </w:r>
      <w:r>
        <w:rPr>
          <w:rFonts w:eastAsia="仿宋_GB2312"/>
          <w:sz w:val="32"/>
          <w:szCs w:val="32"/>
        </w:rPr>
        <w:t>号</w:t>
      </w:r>
      <w:r>
        <w:rPr>
          <w:rFonts w:hint="eastAsia" w:eastAsia="仿宋_GB2312"/>
          <w:sz w:val="32"/>
          <w:szCs w:val="32"/>
        </w:rPr>
        <w:t>，以下简称《意见》</w:t>
      </w:r>
      <w:r>
        <w:rPr>
          <w:rFonts w:eastAsia="仿宋_GB2312"/>
          <w:sz w:val="32"/>
          <w:szCs w:val="32"/>
        </w:rPr>
        <w:t>）转发给你们，并结合我市实际，补充通知如下，请一并遵照执行。</w:t>
      </w:r>
    </w:p>
    <w:p>
      <w:pPr>
        <w:spacing w:line="600" w:lineRule="exact"/>
        <w:ind w:firstLine="640" w:firstLineChars="200"/>
        <w:jc w:val="both"/>
        <w:rPr>
          <w:rFonts w:ascii="黑体" w:eastAsia="黑体"/>
          <w:sz w:val="32"/>
          <w:szCs w:val="32"/>
        </w:rPr>
      </w:pPr>
      <w:r>
        <w:rPr>
          <w:rFonts w:hint="eastAsia" w:ascii="黑体" w:eastAsia="黑体"/>
          <w:sz w:val="32"/>
          <w:szCs w:val="32"/>
        </w:rPr>
        <w:t>一、加强采购需求和履约验收的内部控制管理</w:t>
      </w:r>
    </w:p>
    <w:p>
      <w:pPr>
        <w:spacing w:line="600" w:lineRule="exact"/>
        <w:ind w:firstLine="640" w:firstLineChars="200"/>
        <w:jc w:val="both"/>
        <w:rPr>
          <w:rFonts w:eastAsia="仿宋_GB2312"/>
          <w:sz w:val="32"/>
          <w:szCs w:val="32"/>
        </w:rPr>
      </w:pPr>
      <w:r>
        <w:rPr>
          <w:rFonts w:hint="eastAsia" w:eastAsia="仿宋_GB2312"/>
          <w:sz w:val="32"/>
          <w:szCs w:val="32"/>
        </w:rPr>
        <w:t>各预算单位要按照政府采购内控管理要求，建立健全采购需求和履约验收工作内部管理制度，明确采购需求和履约验收的岗位职责和工作要求，严格把控需求编制和验收组织的重点环节。原则上采购需求制定与审核，采购合同签订与验收应当岗位分设、多人参与，实现分工制衡。要研究制定采购需求编制规范和履约验收格式文本，强化规范管理，提高采购绩效。</w:t>
      </w:r>
    </w:p>
    <w:p>
      <w:pPr>
        <w:spacing w:line="600" w:lineRule="exact"/>
        <w:ind w:firstLine="640" w:firstLineChars="200"/>
        <w:jc w:val="both"/>
        <w:rPr>
          <w:rFonts w:ascii="黑体" w:eastAsia="黑体"/>
          <w:sz w:val="32"/>
          <w:szCs w:val="32"/>
        </w:rPr>
      </w:pPr>
      <w:r>
        <w:rPr>
          <w:rFonts w:hint="eastAsia" w:ascii="黑体" w:eastAsia="黑体"/>
          <w:sz w:val="32"/>
          <w:szCs w:val="32"/>
        </w:rPr>
        <w:t>二、明确采购需求和履约验收的责任主体</w:t>
      </w:r>
    </w:p>
    <w:p>
      <w:pPr>
        <w:spacing w:line="600" w:lineRule="exact"/>
        <w:ind w:firstLine="640" w:firstLineChars="200"/>
        <w:jc w:val="both"/>
        <w:rPr>
          <w:rFonts w:eastAsia="仿宋_GB2312"/>
          <w:sz w:val="32"/>
          <w:szCs w:val="32"/>
        </w:rPr>
      </w:pPr>
      <w:r>
        <w:rPr>
          <w:rFonts w:hint="eastAsia" w:eastAsia="仿宋_GB2312"/>
          <w:sz w:val="32"/>
          <w:szCs w:val="32"/>
        </w:rPr>
        <w:t>各预算单位要进一步增强责任意识，履行采购人对采购需求和履约验收的主体责任，落实《意见》明确的管理要求。采购人委托采购代理机构协助编制采购需求或开展履约验收的，应当在委托代理协议中明确双方的职责分工和权利义务关系，并由采购人最终对需求内容和验收结果进行确认。涉及采购需求的供应商质疑，应当由采购人负责答复。履约验收中发生的争议问题，采购人应当依法及时处理。</w:t>
      </w:r>
    </w:p>
    <w:p>
      <w:pPr>
        <w:spacing w:line="600" w:lineRule="exact"/>
        <w:ind w:firstLine="640" w:firstLineChars="200"/>
        <w:jc w:val="both"/>
        <w:rPr>
          <w:rFonts w:ascii="黑体" w:eastAsia="黑体"/>
          <w:sz w:val="32"/>
          <w:szCs w:val="32"/>
        </w:rPr>
      </w:pPr>
      <w:r>
        <w:rPr>
          <w:rFonts w:hint="eastAsia" w:ascii="黑体" w:eastAsia="黑体"/>
          <w:sz w:val="32"/>
          <w:szCs w:val="32"/>
        </w:rPr>
        <w:t>三、着重把握采购需求和履约验收的重点环节和内容</w:t>
      </w:r>
    </w:p>
    <w:p>
      <w:pPr>
        <w:spacing w:line="600" w:lineRule="exact"/>
        <w:ind w:firstLine="640" w:firstLineChars="200"/>
        <w:jc w:val="both"/>
        <w:rPr>
          <w:rFonts w:eastAsia="仿宋_GB2312"/>
          <w:sz w:val="32"/>
          <w:szCs w:val="32"/>
        </w:rPr>
      </w:pPr>
      <w:r>
        <w:rPr>
          <w:rFonts w:hint="eastAsia" w:eastAsia="仿宋_GB2312"/>
          <w:sz w:val="32"/>
          <w:szCs w:val="32"/>
        </w:rPr>
        <w:t>各预算单位应当严格把握采购需求的合规性和完整性，落实国家强制性规定要求和政府采购政策。履约验收应当明确细化验收方案，严格把握验收标准，客观记录验收结论。要建立采购需求、采购文件、采购合同、履约验收之间的有机联系。采购需求应当与采购文件的具体评审标准相对应；采购文件应当包括拟签订的合同文本的详细内容；采购合同应当将采购需求、验收标准和程序作为合同附件；履约验收应当严格按照采购合同约定开展。</w:t>
      </w:r>
    </w:p>
    <w:p>
      <w:pPr>
        <w:spacing w:line="600" w:lineRule="exact"/>
        <w:ind w:firstLine="640" w:firstLineChars="200"/>
        <w:jc w:val="both"/>
        <w:rPr>
          <w:rFonts w:ascii="黑体" w:eastAsia="黑体"/>
          <w:sz w:val="32"/>
          <w:szCs w:val="32"/>
        </w:rPr>
      </w:pPr>
      <w:r>
        <w:rPr>
          <w:rFonts w:hint="eastAsia" w:ascii="黑体" w:eastAsia="黑体"/>
          <w:sz w:val="32"/>
          <w:szCs w:val="32"/>
        </w:rPr>
        <w:t>四、规范采购需求和履约验收的档案管理及信息公开</w:t>
      </w:r>
    </w:p>
    <w:p>
      <w:pPr>
        <w:spacing w:line="600" w:lineRule="exact"/>
        <w:ind w:firstLine="640" w:firstLineChars="200"/>
        <w:jc w:val="both"/>
        <w:rPr>
          <w:rFonts w:eastAsia="仿宋_GB2312"/>
          <w:sz w:val="32"/>
          <w:szCs w:val="32"/>
        </w:rPr>
      </w:pPr>
      <w:r>
        <w:rPr>
          <w:rFonts w:hint="eastAsia" w:eastAsia="仿宋_GB2312"/>
          <w:sz w:val="32"/>
          <w:szCs w:val="32"/>
        </w:rPr>
        <w:t>各预算单位应当完整留存需求编制和履约验收的相关材料，并按照政府采购档案管理的要求存档备查。对于政府向社会公众提供的公共服务项目，应当就采购需求征求社会公众意见，并将验收结果向社会公告。相关公告应当在天津市政府采购网上公开，需求征求意见时间不得少于3个工作日，验收结果应当在验收结束后2个工作日内公布。各预算单位也可以主动公开其他采购项目的采购需求和履约验收信息，自觉接受社会监督。</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5280" w:firstLineChars="1650"/>
        <w:rPr>
          <w:b/>
          <w:sz w:val="32"/>
          <w:szCs w:val="32"/>
        </w:rPr>
      </w:pPr>
      <w:r>
        <w:rPr>
          <w:rFonts w:eastAsia="仿宋_GB2312"/>
          <w:sz w:val="32"/>
        </w:rPr>
        <w:t>2017年</w:t>
      </w:r>
      <w:r>
        <w:rPr>
          <w:rFonts w:hint="eastAsia" w:eastAsia="仿宋_GB2312"/>
          <w:sz w:val="32"/>
        </w:rPr>
        <w:t>3</w:t>
      </w:r>
      <w:r>
        <w:rPr>
          <w:rFonts w:eastAsia="仿宋_GB2312"/>
          <w:sz w:val="32"/>
        </w:rPr>
        <w:t>月</w:t>
      </w:r>
      <w:r>
        <w:rPr>
          <w:rFonts w:hint="eastAsia" w:eastAsia="仿宋_GB2312"/>
          <w:sz w:val="32"/>
        </w:rPr>
        <w:t>2</w:t>
      </w:r>
      <w:r>
        <w:rPr>
          <w:rFonts w:eastAsia="仿宋_GB2312"/>
          <w:sz w:val="32"/>
        </w:rPr>
        <w:t>日　　　　</w:t>
      </w:r>
    </w:p>
    <w:p>
      <w:pPr>
        <w:ind w:firstLine="960" w:firstLineChars="300"/>
        <w:rPr>
          <w:rFonts w:ascii="黑体" w:eastAsia="黑体"/>
          <w:sz w:val="32"/>
          <w:szCs w:val="32"/>
        </w:rPr>
      </w:pPr>
    </w:p>
    <w:p>
      <w:pPr>
        <w:ind w:firstLine="960" w:firstLineChars="300"/>
        <w:rPr>
          <w:rFonts w:ascii="黑体" w:eastAsia="黑体"/>
          <w:sz w:val="32"/>
          <w:szCs w:val="32"/>
        </w:rPr>
      </w:pPr>
    </w:p>
    <w:p>
      <w:pPr>
        <w:ind w:firstLine="960" w:firstLineChars="300"/>
        <w:rPr>
          <w:rFonts w:ascii="黑体" w:eastAsia="黑体"/>
          <w:sz w:val="32"/>
          <w:szCs w:val="32"/>
        </w:rPr>
      </w:pPr>
    </w:p>
    <w:p>
      <w:pPr>
        <w:ind w:firstLine="960" w:firstLineChars="300"/>
        <w:rPr>
          <w:rFonts w:ascii="黑体" w:eastAsia="黑体"/>
          <w:sz w:val="32"/>
          <w:szCs w:val="32"/>
        </w:rPr>
      </w:pPr>
    </w:p>
    <w:p>
      <w:pPr>
        <w:ind w:firstLine="960" w:firstLineChars="300"/>
        <w:rPr>
          <w:rFonts w:ascii="黑体" w:eastAsia="黑体"/>
          <w:sz w:val="32"/>
          <w:szCs w:val="32"/>
        </w:rPr>
      </w:pPr>
    </w:p>
    <w:p>
      <w:bookmarkStart w:id="0" w:name="_GoBack"/>
      <w:bookmarkEnd w:id="0"/>
    </w:p>
    <w:sectPr>
      <w:headerReference r:id="rId5" w:type="default"/>
      <w:footerReference r:id="rId6" w:type="default"/>
      <w:footerReference r:id="rId7" w:type="even"/>
      <w:pgSz w:w="11907" w:h="16840"/>
      <w:pgMar w:top="2098" w:right="1474" w:bottom="1985" w:left="1588" w:header="765" w:footer="765" w:gutter="0"/>
      <w:pgNumType w:fmt="numberInDash"/>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- 2 -</w:t>
    </w:r>
    <w:r>
      <w:rPr>
        <w:rStyle w:val="7"/>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0OGU4ZmY3ZTA4M2VmZWE5NWU1MDM1ZmRjZjg1M2YifQ=="/>
  </w:docVars>
  <w:rsids>
    <w:rsidRoot w:val="003E6CEE"/>
    <w:rsid w:val="000724C3"/>
    <w:rsid w:val="003E6CEE"/>
    <w:rsid w:val="00564B40"/>
    <w:rsid w:val="008A21FA"/>
    <w:rsid w:val="008F3C3E"/>
    <w:rsid w:val="009126B3"/>
    <w:rsid w:val="00973D73"/>
    <w:rsid w:val="009A18E7"/>
    <w:rsid w:val="59106CC2"/>
    <w:rsid w:val="6C594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left"/>
      <w:textAlignment w:val="baseline"/>
    </w:pPr>
    <w:rPr>
      <w:rFonts w:ascii="Times New Roman" w:hAnsi="Times New Roman" w:eastAsia="宋体" w:cs="Times New Roman"/>
      <w:sz w:val="24"/>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pPr>
      <w:spacing w:line="240" w:lineRule="auto"/>
    </w:pPr>
    <w:rPr>
      <w:sz w:val="18"/>
      <w:szCs w:val="18"/>
    </w:rPr>
  </w:style>
  <w:style w:type="paragraph" w:styleId="3">
    <w:name w:val="footer"/>
    <w:basedOn w:val="1"/>
    <w:link w:val="9"/>
    <w:qFormat/>
    <w:uiPriority w:val="0"/>
    <w:pPr>
      <w:widowControl/>
      <w:tabs>
        <w:tab w:val="center" w:pos="4153"/>
        <w:tab w:val="right" w:pos="8306"/>
      </w:tabs>
      <w:adjustRightInd/>
      <w:snapToGrid w:val="0"/>
      <w:spacing w:line="240" w:lineRule="atLeast"/>
      <w:textAlignment w:val="auto"/>
    </w:pPr>
    <w:rPr>
      <w:rFonts w:eastAsia="仿宋_GB2312"/>
      <w:sz w:val="18"/>
      <w:szCs w:val="18"/>
    </w:rPr>
  </w:style>
  <w:style w:type="paragraph" w:styleId="4">
    <w:name w:val="header"/>
    <w:basedOn w:val="1"/>
    <w:link w:val="8"/>
    <w:qFormat/>
    <w:uiPriority w:val="0"/>
    <w:pPr>
      <w:widowControl/>
      <w:pBdr>
        <w:bottom w:val="single" w:color="auto" w:sz="6" w:space="1"/>
      </w:pBdr>
      <w:tabs>
        <w:tab w:val="center" w:pos="4153"/>
        <w:tab w:val="right" w:pos="8306"/>
      </w:tabs>
      <w:adjustRightInd/>
      <w:snapToGrid w:val="0"/>
      <w:spacing w:line="240" w:lineRule="atLeast"/>
      <w:jc w:val="center"/>
      <w:textAlignment w:val="auto"/>
    </w:pPr>
    <w:rPr>
      <w:rFonts w:eastAsia="仿宋_GB2312"/>
      <w:sz w:val="18"/>
      <w:szCs w:val="18"/>
    </w:rPr>
  </w:style>
  <w:style w:type="character" w:styleId="7">
    <w:name w:val="page number"/>
    <w:basedOn w:val="6"/>
    <w:qFormat/>
    <w:uiPriority w:val="0"/>
  </w:style>
  <w:style w:type="character" w:customStyle="1" w:styleId="8">
    <w:name w:val="页眉 Char"/>
    <w:basedOn w:val="6"/>
    <w:link w:val="4"/>
    <w:qFormat/>
    <w:uiPriority w:val="0"/>
    <w:rPr>
      <w:sz w:val="18"/>
      <w:szCs w:val="18"/>
    </w:rPr>
  </w:style>
  <w:style w:type="character" w:customStyle="1" w:styleId="9">
    <w:name w:val="页脚 Char"/>
    <w:basedOn w:val="6"/>
    <w:link w:val="3"/>
    <w:qFormat/>
    <w:uiPriority w:val="0"/>
    <w:rPr>
      <w:sz w:val="18"/>
      <w:szCs w:val="18"/>
    </w:rPr>
  </w:style>
  <w:style w:type="character" w:customStyle="1" w:styleId="10">
    <w:name w:val="批注框文本 Char"/>
    <w:basedOn w:val="6"/>
    <w:link w:val="2"/>
    <w:qFormat/>
    <w:uiPriority w:val="0"/>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1051</Words>
  <Characters>1062</Characters>
  <Lines>8</Lines>
  <Paragraphs>2</Paragraphs>
  <TotalTime>3</TotalTime>
  <ScaleCrop>false</ScaleCrop>
  <LinksUpToDate>false</LinksUpToDate>
  <CharactersWithSpaces>1077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2017-03-28T03:01:00Z</dcterms:created>
  <dc:creator>周光智</dc:creator>
  <cp:lastModifiedBy>Administrator</cp:lastModifiedBy>
  <dcterms:modified xsi:type="dcterms:W3CDTF">2023-03-30T06:56:41Z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38A216A87AC1443E852E3C9B32710F94</vt:lpwstr>
  </property>
</Properties>
</file>