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南开区城市管理委员会</w:t>
      </w:r>
      <w:r>
        <w:rPr>
          <w:rFonts w:hint="eastAsia" w:ascii="方正小标宋简体" w:eastAsia="方正小标宋简体"/>
          <w:sz w:val="44"/>
          <w:szCs w:val="44"/>
          <w:lang w:val="en-US" w:eastAsia="zh-CN"/>
        </w:rPr>
        <w:t>2024年度法治政府建设情况报告</w:t>
      </w:r>
    </w:p>
    <w:p>
      <w:pPr>
        <w:pStyle w:val="5"/>
        <w:jc w:val="both"/>
        <w:rPr>
          <w:rFonts w:hint="eastAsia" w:ascii="仿宋_GB2312" w:hAnsi="仿宋_GB2312" w:eastAsia="仿宋_GB2312" w:cs="仿宋_GB2312"/>
          <w:b w:val="0"/>
          <w:bCs w:val="0"/>
          <w:kern w:val="0"/>
          <w:sz w:val="34"/>
          <w:szCs w:val="34"/>
          <w:u w:val="none"/>
          <w:shd w:val="clear" w:color="auto" w:fill="auto"/>
          <w:lang w:val="en-US" w:eastAsia="zh-CN" w:bidi="ar"/>
        </w:rPr>
      </w:pPr>
    </w:p>
    <w:p>
      <w:pPr>
        <w:pStyle w:val="5"/>
        <w:keepNext w:val="0"/>
        <w:keepLines w:val="0"/>
        <w:pageBreakBefore w:val="0"/>
        <w:widowControl w:val="0"/>
        <w:kinsoku/>
        <w:wordWrap/>
        <w:overflowPunct/>
        <w:topLinePunct w:val="0"/>
        <w:autoSpaceDE/>
        <w:autoSpaceDN/>
        <w:bidi w:val="0"/>
        <w:adjustRightInd w:val="0"/>
        <w:snapToGrid w:val="0"/>
        <w:spacing w:line="588" w:lineRule="exact"/>
        <w:ind w:firstLine="680" w:firstLineChars="200"/>
        <w:jc w:val="both"/>
        <w:textAlignment w:val="auto"/>
        <w:rPr>
          <w:rStyle w:val="14"/>
          <w:rFonts w:hint="default" w:ascii="仿宋_GB2312" w:hAnsi="仿宋_GB2312" w:eastAsia="仿宋_GB2312" w:cs="仿宋_GB2312"/>
          <w:b w:val="0"/>
          <w:bCs w:val="0"/>
          <w:i w:val="0"/>
          <w:iCs w:val="0"/>
          <w:caps w:val="0"/>
          <w:color w:val="auto"/>
          <w:spacing w:val="0"/>
          <w:kern w:val="2"/>
          <w:sz w:val="34"/>
          <w:szCs w:val="32"/>
          <w:highlight w:val="none"/>
          <w:u w:val="none"/>
          <w:shd w:val="clear" w:color="auto" w:fill="auto"/>
          <w:lang w:val="en-US" w:eastAsia="zh-CN" w:bidi="zh-TW"/>
        </w:rPr>
      </w:pPr>
      <w:r>
        <w:rPr>
          <w:rFonts w:hint="eastAsia" w:ascii="仿宋_GB2312" w:hAnsi="仿宋_GB2312" w:eastAsia="仿宋_GB2312" w:cs="仿宋_GB2312"/>
          <w:b w:val="0"/>
          <w:bCs w:val="0"/>
          <w:kern w:val="0"/>
          <w:sz w:val="34"/>
          <w:szCs w:val="34"/>
          <w:u w:val="none"/>
          <w:shd w:val="clear" w:color="auto" w:fill="auto"/>
          <w:lang w:val="en-US" w:eastAsia="zh-CN" w:bidi="ar"/>
        </w:rPr>
        <w:t>2</w:t>
      </w:r>
      <w:r>
        <w:rPr>
          <w:rStyle w:val="14"/>
          <w:rFonts w:hint="eastAsia" w:ascii="仿宋_GB2312" w:hAnsi="仿宋_GB2312" w:eastAsia="仿宋_GB2312" w:cs="仿宋_GB2312"/>
          <w:b w:val="0"/>
          <w:bCs w:val="0"/>
          <w:i w:val="0"/>
          <w:iCs w:val="0"/>
          <w:caps w:val="0"/>
          <w:color w:val="auto"/>
          <w:spacing w:val="0"/>
          <w:kern w:val="2"/>
          <w:sz w:val="34"/>
          <w:szCs w:val="32"/>
          <w:highlight w:val="none"/>
          <w:u w:val="none"/>
          <w:shd w:val="clear" w:color="auto" w:fill="auto"/>
          <w:lang w:val="en-US" w:eastAsia="zh-CN" w:bidi="zh-TW"/>
        </w:rPr>
        <w:t>024年，南开区城管委在区委、区政府的正确领导下，以习近平法治思想为指引，深入贯彻落实法治政府建设要求，全面提升南开区城市管理法治化水平，为南开区城市管理事业高质量发展营造了良好的法治环境。现将2024年度法治政府建设情况报告如下：</w:t>
      </w:r>
    </w:p>
    <w:p>
      <w:pPr>
        <w:keepNext w:val="0"/>
        <w:keepLines w:val="0"/>
        <w:pageBreakBefore w:val="0"/>
        <w:widowControl w:val="0"/>
        <w:numPr>
          <w:ilvl w:val="0"/>
          <w:numId w:val="1"/>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lang w:val="en-US" w:eastAsia="zh-CN"/>
        </w:rPr>
        <w:t>2024年推进法治政府建设的</w:t>
      </w:r>
      <w:r>
        <w:rPr>
          <w:rFonts w:hint="eastAsia" w:ascii="黑体" w:hAnsi="黑体" w:eastAsia="黑体" w:cs="黑体"/>
          <w:sz w:val="34"/>
          <w:szCs w:val="34"/>
        </w:rPr>
        <w:t>主要</w:t>
      </w:r>
      <w:r>
        <w:rPr>
          <w:rFonts w:hint="eastAsia" w:ascii="黑体" w:hAnsi="黑体" w:eastAsia="黑体" w:cs="黑体"/>
          <w:sz w:val="34"/>
          <w:szCs w:val="34"/>
          <w:lang w:eastAsia="zh-CN"/>
        </w:rPr>
        <w:t>举措和</w:t>
      </w:r>
      <w:r>
        <w:rPr>
          <w:rFonts w:hint="eastAsia" w:ascii="黑体" w:hAnsi="黑体" w:eastAsia="黑体" w:cs="黑体"/>
          <w:sz w:val="34"/>
          <w:szCs w:val="34"/>
        </w:rPr>
        <w:t>成效</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sz w:val="34"/>
          <w:szCs w:val="34"/>
          <w:lang w:val="en-US" w:eastAsia="zh-CN"/>
        </w:rPr>
      </w:pPr>
      <w:r>
        <w:rPr>
          <w:rFonts w:hint="eastAsia" w:ascii="楷体" w:hAnsi="楷体" w:eastAsia="楷体" w:cs="楷体"/>
          <w:color w:val="auto"/>
          <w:kern w:val="2"/>
          <w:sz w:val="34"/>
          <w:szCs w:val="34"/>
          <w:shd w:val="clear" w:color="auto" w:fill="FFFFFF"/>
          <w:lang w:val="en-US" w:eastAsia="zh-CN" w:bidi="ar-SA"/>
        </w:rPr>
        <w:t>（一）强化理论学习，夯实法治政府建设理论基础</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深入学习贯彻习近平法治思想，将其作为全委法治建设的根本遵循，始终坚持用习近平法治思想引领法治建设各项工作，不断强化组织领导，推动法治建设工作全面落实。各科室、各基层单位采取多种形式深入开展学习活动。通过举办普法讲座，邀请专家学者进行专业解读，增强干部职工对习近平法治思想的理解；利用支部党小组学法等方式，组织党员干部集中学习研讨，交流学习心得，确保学习效果。在全委形成了经常学、深入学、广泛学的良好氛围。</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b w:val="0"/>
          <w:bCs w:val="0"/>
          <w:kern w:val="2"/>
          <w:sz w:val="34"/>
          <w:szCs w:val="34"/>
          <w:lang w:val="en-US" w:eastAsia="zh-CN" w:bidi="ar-SA"/>
        </w:rPr>
      </w:pPr>
      <w:r>
        <w:rPr>
          <w:rFonts w:hint="eastAsia" w:ascii="楷体" w:hAnsi="楷体" w:eastAsia="楷体" w:cs="楷体"/>
          <w:b w:val="0"/>
          <w:bCs w:val="0"/>
          <w:kern w:val="2"/>
          <w:sz w:val="34"/>
          <w:szCs w:val="34"/>
          <w:lang w:val="en-US" w:eastAsia="zh-CN" w:bidi="ar-SA"/>
        </w:rPr>
        <w:t>（二）党委统筹谋划，靶向聚焦各项法建目标任务</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党委定期听取法制部门关于法治建设情况汇</w:t>
      </w:r>
      <w:bookmarkStart w:id="0" w:name="_GoBack"/>
      <w:bookmarkEnd w:id="0"/>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报、诉讼进展情况汇报，集体研究部署法治建设重点工作。依据“一规划两纲要”文件，结合城市管理工作职责，我委自行梳理形成《南开区城管委“一规划两纲要”相关法治建设任务清单》（下称《清单》），统筹部署法治重点推进事项和任务目标，在全委上下凝聚法治合力。</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b w:val="0"/>
          <w:bCs w:val="0"/>
          <w:sz w:val="34"/>
          <w:szCs w:val="34"/>
        </w:rPr>
      </w:pPr>
      <w:r>
        <w:rPr>
          <w:rFonts w:hint="eastAsia" w:ascii="楷体" w:hAnsi="楷体" w:eastAsia="楷体" w:cs="楷体"/>
          <w:b w:val="0"/>
          <w:bCs w:val="0"/>
          <w:kern w:val="2"/>
          <w:sz w:val="34"/>
          <w:szCs w:val="34"/>
          <w:lang w:val="en-US" w:eastAsia="zh-CN" w:bidi="ar-SA"/>
        </w:rPr>
        <w:t>（三）多项举措并行，推进严格规范公正文明执法</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bCs/>
          <w:kern w:val="0"/>
          <w:sz w:val="34"/>
          <w:szCs w:val="34"/>
          <w:lang w:eastAsia="zh-CN" w:bidi="ar-SA"/>
        </w:rPr>
        <w:t>一是落实行政裁量权基准制度。</w:t>
      </w:r>
      <w:r>
        <w:rPr>
          <w:rFonts w:hint="eastAsia" w:ascii="仿宋_GB2312" w:hAnsi="仿宋_GB2312" w:eastAsia="仿宋_GB2312" w:cs="仿宋_GB2312"/>
          <w:b w:val="0"/>
          <w:bCs w:val="0"/>
          <w:kern w:val="0"/>
          <w:sz w:val="34"/>
          <w:szCs w:val="34"/>
          <w:lang w:eastAsia="zh-CN" w:bidi="ar-SA"/>
        </w:rPr>
        <w:t>严格按照市城管委下发的《天津市城市管理综合行政执法规范行政处罚裁量权规定》和《天津市城市管理综合行政处罚裁量基准表》等相关规定开展执法活动，在职权范围内进行行政裁量，确保程序合法、法条适用得当、文本规范。</w:t>
      </w:r>
      <w:r>
        <w:rPr>
          <w:rFonts w:hint="eastAsia" w:ascii="仿宋_GB2312" w:hAnsi="仿宋_GB2312" w:eastAsia="仿宋_GB2312" w:cs="仿宋_GB2312"/>
          <w:b/>
          <w:bCs/>
          <w:kern w:val="0"/>
          <w:sz w:val="34"/>
          <w:szCs w:val="34"/>
          <w:lang w:eastAsia="zh-CN" w:bidi="ar-SA"/>
        </w:rPr>
        <w:t>二是深入落实行政执法“三项制度”。</w:t>
      </w:r>
      <w:r>
        <w:rPr>
          <w:rFonts w:hint="eastAsia" w:ascii="仿宋_GB2312" w:hAnsi="仿宋_GB2312" w:eastAsia="仿宋_GB2312" w:cs="仿宋_GB2312"/>
          <w:b w:val="0"/>
          <w:bCs w:val="0"/>
          <w:kern w:val="0"/>
          <w:sz w:val="34"/>
          <w:szCs w:val="34"/>
          <w:lang w:eastAsia="zh-CN" w:bidi="ar-SA"/>
        </w:rPr>
        <w:t>建立了法制审核分级审批机制，实行初审与分级审批机制，确保互相监督。疑难案件由法制工作负责同志组织研讨，作出执法决定后进行分级审批。执法队员严格按照操作规范使用执法记录仪，对执法行动进行全过程摄录。</w:t>
      </w:r>
      <w:r>
        <w:rPr>
          <w:rFonts w:hint="eastAsia" w:ascii="仿宋_GB2312" w:hAnsi="仿宋_GB2312" w:eastAsia="仿宋_GB2312" w:cs="仿宋_GB2312"/>
          <w:b/>
          <w:bCs/>
          <w:kern w:val="0"/>
          <w:sz w:val="34"/>
          <w:szCs w:val="34"/>
          <w:lang w:eastAsia="zh-CN" w:bidi="ar-SA"/>
        </w:rPr>
        <w:t>三是加强行政执法监督。</w:t>
      </w:r>
      <w:r>
        <w:rPr>
          <w:rFonts w:hint="eastAsia" w:ascii="仿宋_GB2312" w:hAnsi="仿宋_GB2312" w:eastAsia="仿宋_GB2312" w:cs="仿宋_GB2312"/>
          <w:b w:val="0"/>
          <w:bCs w:val="0"/>
          <w:kern w:val="0"/>
          <w:sz w:val="34"/>
          <w:szCs w:val="34"/>
          <w:lang w:eastAsia="zh-CN" w:bidi="ar-SA"/>
        </w:rPr>
        <w:t>成立专项监督检查小组到各执法大队开展监督检查，督促指导街道建立教育培训制度、罚没物品管理制度等。同时就执法案卷开展现场评查及反馈，对街道在文书制作、程序规范给予规范和指导，完成对各街道的检查，进一步提升了街道大队的执法办案水平。</w:t>
      </w:r>
      <w:r>
        <w:rPr>
          <w:rFonts w:hint="eastAsia" w:ascii="仿宋_GB2312" w:hAnsi="仿宋_GB2312" w:eastAsia="仿宋_GB2312" w:cs="仿宋_GB2312"/>
          <w:b/>
          <w:bCs/>
          <w:kern w:val="0"/>
          <w:sz w:val="34"/>
          <w:szCs w:val="34"/>
          <w:lang w:eastAsia="zh-CN" w:bidi="ar-SA"/>
        </w:rPr>
        <w:t>四</w:t>
      </w:r>
      <w:r>
        <w:rPr>
          <w:rFonts w:hint="eastAsia" w:ascii="仿宋_GB2312" w:hAnsi="仿宋_GB2312" w:eastAsia="仿宋_GB2312" w:cs="仿宋_GB2312"/>
          <w:b/>
          <w:bCs/>
          <w:kern w:val="0"/>
          <w:sz w:val="34"/>
          <w:szCs w:val="34"/>
          <w:lang w:val="en-US" w:eastAsia="zh-CN" w:bidi="ar-SA"/>
        </w:rPr>
        <w:t>是强化跨区域执法联动。</w:t>
      </w:r>
      <w:r>
        <w:rPr>
          <w:rFonts w:hint="eastAsia" w:ascii="仿宋_GB2312" w:hAnsi="仿宋_GB2312" w:eastAsia="仿宋_GB2312" w:cs="仿宋_GB2312"/>
          <w:b w:val="0"/>
          <w:bCs w:val="0"/>
          <w:kern w:val="0"/>
          <w:sz w:val="34"/>
          <w:szCs w:val="34"/>
          <w:lang w:eastAsia="zh-CN" w:bidi="ar-SA"/>
        </w:rPr>
        <w:t>联合属地街道等多部门，对</w:t>
      </w:r>
      <w:r>
        <w:rPr>
          <w:rFonts w:hint="eastAsia" w:ascii="仿宋_GB2312" w:hAnsi="仿宋_GB2312" w:eastAsia="仿宋_GB2312" w:cs="仿宋_GB2312"/>
          <w:b w:val="0"/>
          <w:bCs w:val="0"/>
          <w:sz w:val="34"/>
          <w:szCs w:val="34"/>
          <w:lang w:eastAsia="zh-CN"/>
        </w:rPr>
        <w:t>违法行为进行治理，促进生态环境健康发展。在涉及全区范围内的重点保障任务，比如演唱会、路线保障等工作时，组织各大队进行跨街域联合执法行动。</w:t>
      </w:r>
    </w:p>
    <w:p>
      <w:pPr>
        <w:keepNext w:val="0"/>
        <w:keepLines w:val="0"/>
        <w:pageBreakBefore w:val="0"/>
        <w:widowControl w:val="0"/>
        <w:numPr>
          <w:ilvl w:val="0"/>
          <w:numId w:val="2"/>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color w:val="auto"/>
          <w:kern w:val="2"/>
          <w:sz w:val="34"/>
          <w:szCs w:val="34"/>
          <w:shd w:val="clear" w:color="auto" w:fill="FFFFFF"/>
          <w:lang w:val="en-US" w:eastAsia="zh-CN" w:bidi="ar-SA"/>
        </w:rPr>
      </w:pPr>
      <w:r>
        <w:rPr>
          <w:rFonts w:hint="eastAsia" w:ascii="楷体" w:hAnsi="楷体" w:eastAsia="楷体" w:cs="楷体"/>
          <w:color w:val="auto"/>
          <w:kern w:val="2"/>
          <w:sz w:val="34"/>
          <w:szCs w:val="34"/>
          <w:shd w:val="clear" w:color="auto" w:fill="FFFFFF"/>
          <w:lang w:val="en-US" w:eastAsia="zh-CN" w:bidi="ar-SA"/>
        </w:rPr>
        <w:t>规范行政行为，落实好法治建设相关制度</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Fonts w:hint="eastAsia"/>
          <w:lang w:val="en-US" w:eastAsia="zh-CN"/>
        </w:rPr>
      </w:pPr>
      <w:r>
        <w:rPr>
          <w:rFonts w:hint="eastAsia" w:ascii="仿宋_GB2312" w:hAnsi="仿宋_GB2312" w:eastAsia="仿宋_GB2312" w:cs="仿宋_GB2312"/>
          <w:b/>
          <w:bCs/>
          <w:color w:val="auto"/>
          <w:kern w:val="0"/>
          <w:sz w:val="34"/>
          <w:szCs w:val="34"/>
          <w:u w:val="none"/>
          <w:shd w:val="clear" w:color="auto" w:fill="auto"/>
          <w:lang w:val="en-US" w:eastAsia="zh-CN" w:bidi="ar"/>
        </w:rPr>
        <w:t>一是落实重大行政决策程序制度。</w:t>
      </w:r>
      <w:r>
        <w:rPr>
          <w:rFonts w:hint="eastAsia" w:ascii="仿宋_GB2312" w:hAnsi="仿宋_GB2312" w:eastAsia="仿宋_GB2312" w:cs="仿宋_GB2312"/>
          <w:color w:val="auto"/>
          <w:kern w:val="0"/>
          <w:sz w:val="34"/>
          <w:szCs w:val="34"/>
          <w:u w:val="none"/>
          <w:shd w:val="clear" w:color="auto" w:fill="auto"/>
          <w:lang w:val="en-US" w:eastAsia="zh-CN" w:bidi="ar"/>
        </w:rPr>
        <w:t>对涉及本部门的重大发展规划、重大建设项目严格落实公众参与、专家论证、风险评估、合法性审查、集体讨论等重大行政决策程序，确保行政决策科学化民主化法治化。</w:t>
      </w:r>
      <w:r>
        <w:rPr>
          <w:rFonts w:hint="eastAsia" w:ascii="仿宋_GB2312" w:hAnsi="仿宋_GB2312" w:eastAsia="仿宋_GB2312" w:cs="仿宋_GB2312"/>
          <w:b/>
          <w:bCs/>
          <w:color w:val="auto"/>
          <w:kern w:val="0"/>
          <w:sz w:val="34"/>
          <w:szCs w:val="34"/>
          <w:u w:val="none"/>
          <w:shd w:val="clear" w:color="auto" w:fill="auto"/>
          <w:lang w:val="en-US" w:eastAsia="zh-CN" w:bidi="ar"/>
        </w:rPr>
        <w:t>二是落实行政规范性文件合法性审核制度。</w:t>
      </w:r>
      <w:r>
        <w:rPr>
          <w:rFonts w:hint="eastAsia" w:ascii="仿宋_GB2312" w:hAnsi="仿宋_GB2312" w:eastAsia="仿宋_GB2312" w:cs="仿宋_GB2312"/>
          <w:color w:val="auto"/>
          <w:kern w:val="0"/>
          <w:sz w:val="34"/>
          <w:szCs w:val="34"/>
          <w:u w:val="none"/>
          <w:shd w:val="clear" w:color="auto" w:fill="auto"/>
          <w:lang w:val="en-US" w:eastAsia="zh-CN" w:bidi="ar"/>
        </w:rPr>
        <w:t>制定部门与法制部门加强沟通、及时研判、密切配合，确保本部门起草的行政规范性文件均严格履行合法性审核程序。本年度累计对《天津市南开区除雪工作预案》等5份规范性文件进行合法性审核。</w:t>
      </w:r>
      <w:r>
        <w:rPr>
          <w:rFonts w:hint="eastAsia" w:ascii="仿宋_GB2312" w:hAnsi="仿宋_GB2312" w:eastAsia="仿宋_GB2312" w:cs="仿宋_GB2312"/>
          <w:b/>
          <w:bCs/>
          <w:color w:val="auto"/>
          <w:kern w:val="0"/>
          <w:sz w:val="34"/>
          <w:szCs w:val="34"/>
          <w:u w:val="none"/>
          <w:shd w:val="clear" w:color="auto" w:fill="auto"/>
          <w:lang w:val="en-US" w:eastAsia="zh-CN" w:bidi="ar"/>
        </w:rPr>
        <w:t>三是织密内部法律风险防控网。</w:t>
      </w:r>
      <w:r>
        <w:rPr>
          <w:rFonts w:hint="eastAsia" w:ascii="仿宋_GB2312" w:hAnsi="仿宋_GB2312" w:eastAsia="仿宋_GB2312" w:cs="仿宋_GB2312"/>
          <w:color w:val="auto"/>
          <w:kern w:val="0"/>
          <w:sz w:val="34"/>
          <w:szCs w:val="34"/>
          <w:u w:val="none"/>
          <w:shd w:val="clear" w:color="auto" w:fill="auto"/>
          <w:lang w:val="en-US" w:eastAsia="zh-CN" w:bidi="ar"/>
        </w:rPr>
        <w:t>结合工作中常见问题和法审经验，形成内部法律风险常态化提示机制，定期向全委各部门提示预警法律风险，规避工作环节漏洞，筑牢内部法律风险屏障。</w:t>
      </w:r>
      <w:r>
        <w:rPr>
          <w:rFonts w:hint="eastAsia" w:ascii="仿宋_GB2312" w:hAnsi="仿宋_GB2312" w:eastAsia="仿宋_GB2312" w:cs="仿宋_GB2312"/>
          <w:b/>
          <w:bCs/>
          <w:color w:val="auto"/>
          <w:kern w:val="0"/>
          <w:sz w:val="34"/>
          <w:szCs w:val="34"/>
          <w:u w:val="none"/>
          <w:shd w:val="clear" w:color="auto" w:fill="auto"/>
          <w:lang w:val="en-US" w:eastAsia="zh-CN" w:bidi="ar"/>
        </w:rPr>
        <w:t>四是落实重大行政处罚事项集体讨论制度。</w:t>
      </w:r>
      <w:r>
        <w:rPr>
          <w:rFonts w:hint="default" w:ascii="仿宋_GB2312" w:hAnsi="仿宋_GB2312" w:eastAsia="仿宋_GB2312" w:cs="仿宋_GB2312"/>
          <w:color w:val="auto"/>
          <w:kern w:val="0"/>
          <w:sz w:val="34"/>
          <w:szCs w:val="34"/>
          <w:u w:val="none"/>
          <w:shd w:val="clear" w:color="auto" w:fill="auto"/>
          <w:lang w:val="en" w:eastAsia="zh-CN" w:bidi="ar"/>
        </w:rPr>
        <w:t>对于行政</w:t>
      </w:r>
      <w:r>
        <w:rPr>
          <w:rFonts w:hint="eastAsia" w:ascii="仿宋_GB2312" w:hAnsi="仿宋_GB2312" w:eastAsia="仿宋_GB2312" w:cs="仿宋_GB2312"/>
          <w:color w:val="auto"/>
          <w:kern w:val="0"/>
          <w:sz w:val="34"/>
          <w:szCs w:val="34"/>
          <w:u w:val="none"/>
          <w:shd w:val="clear" w:color="auto" w:fill="auto"/>
          <w:lang w:val="en-US" w:eastAsia="zh-CN" w:bidi="ar"/>
        </w:rPr>
        <w:t>罚款数额较大</w:t>
      </w:r>
      <w:r>
        <w:rPr>
          <w:rFonts w:hint="default" w:ascii="仿宋_GB2312" w:hAnsi="仿宋_GB2312" w:eastAsia="仿宋_GB2312" w:cs="仿宋_GB2312"/>
          <w:color w:val="auto"/>
          <w:kern w:val="0"/>
          <w:sz w:val="34"/>
          <w:szCs w:val="34"/>
          <w:u w:val="none"/>
          <w:shd w:val="clear" w:color="auto" w:fill="auto"/>
          <w:lang w:val="en" w:eastAsia="zh-CN" w:bidi="ar"/>
        </w:rPr>
        <w:t>、案情</w:t>
      </w:r>
      <w:r>
        <w:rPr>
          <w:rFonts w:hint="eastAsia" w:ascii="仿宋_GB2312" w:hAnsi="仿宋_GB2312" w:eastAsia="仿宋_GB2312" w:cs="仿宋_GB2312"/>
          <w:color w:val="auto"/>
          <w:kern w:val="0"/>
          <w:sz w:val="34"/>
          <w:szCs w:val="34"/>
          <w:u w:val="none"/>
          <w:shd w:val="clear" w:color="auto" w:fill="auto"/>
          <w:lang w:val="en-US" w:eastAsia="zh-CN" w:bidi="ar"/>
        </w:rPr>
        <w:t>疑难复杂</w:t>
      </w:r>
      <w:r>
        <w:rPr>
          <w:rFonts w:hint="default" w:ascii="仿宋_GB2312" w:hAnsi="仿宋_GB2312" w:eastAsia="仿宋_GB2312" w:cs="仿宋_GB2312"/>
          <w:color w:val="auto"/>
          <w:kern w:val="0"/>
          <w:sz w:val="34"/>
          <w:szCs w:val="34"/>
          <w:u w:val="none"/>
          <w:shd w:val="clear" w:color="auto" w:fill="auto"/>
          <w:lang w:val="en" w:eastAsia="zh-CN" w:bidi="ar"/>
        </w:rPr>
        <w:t>的</w:t>
      </w:r>
      <w:r>
        <w:rPr>
          <w:rFonts w:hint="eastAsia" w:ascii="仿宋_GB2312" w:hAnsi="仿宋_GB2312" w:eastAsia="仿宋_GB2312" w:cs="仿宋_GB2312"/>
          <w:color w:val="auto"/>
          <w:kern w:val="0"/>
          <w:sz w:val="34"/>
          <w:szCs w:val="34"/>
          <w:u w:val="none"/>
          <w:shd w:val="clear" w:color="auto" w:fill="auto"/>
          <w:lang w:val="en-US" w:eastAsia="zh-CN" w:bidi="ar"/>
        </w:rPr>
        <w:t>案件，落实重大行政处罚事项集体讨论制度，经集体讨论后再行做出行政处罚决定。</w:t>
      </w:r>
      <w:r>
        <w:rPr>
          <w:rFonts w:hint="eastAsia" w:ascii="仿宋_GB2312" w:hAnsi="仿宋_GB2312" w:eastAsia="仿宋_GB2312" w:cs="仿宋_GB2312"/>
          <w:b/>
          <w:bCs/>
          <w:color w:val="auto"/>
          <w:kern w:val="0"/>
          <w:sz w:val="34"/>
          <w:szCs w:val="34"/>
          <w:u w:val="none"/>
          <w:shd w:val="clear" w:color="auto" w:fill="auto"/>
          <w:lang w:val="en-US" w:eastAsia="zh-CN" w:bidi="ar"/>
        </w:rPr>
        <w:t>五是落实法律顾问、公职律师制度。</w:t>
      </w:r>
      <w:r>
        <w:rPr>
          <w:rFonts w:hint="eastAsia" w:ascii="仿宋_GB2312" w:hAnsi="仿宋_GB2312" w:eastAsia="仿宋_GB2312" w:cs="仿宋_GB2312"/>
          <w:color w:val="auto"/>
          <w:kern w:val="0"/>
          <w:sz w:val="34"/>
          <w:szCs w:val="34"/>
          <w:u w:val="none"/>
          <w:shd w:val="clear" w:color="auto" w:fill="auto"/>
          <w:lang w:val="en-US" w:eastAsia="zh-CN" w:bidi="ar"/>
        </w:rPr>
        <w:t>充分发挥法律顾问、公职律师内外两种法律资源优势，互相配合以推动城市管理法治化水平提升。本年度法律顾问及公职律师累计完成合同法律审核128份</w:t>
      </w:r>
      <w:r>
        <w:rPr>
          <w:rFonts w:hint="eastAsia" w:ascii="仿宋_GB2312" w:hAnsi="仿宋_GB2312" w:eastAsia="仿宋_GB2312" w:cs="仿宋_GB2312"/>
          <w:sz w:val="34"/>
          <w:szCs w:val="34"/>
          <w:highlight w:val="none"/>
          <w:lang w:val="en-US" w:eastAsia="zh-CN"/>
        </w:rPr>
        <w:t>，参与涉法涉诉案件化解、政府信息公开申请</w:t>
      </w:r>
      <w:r>
        <w:rPr>
          <w:rFonts w:hint="eastAsia" w:ascii="仿宋_GB2312" w:hAnsi="仿宋_GB2312" w:eastAsia="仿宋_GB2312" w:cs="仿宋_GB2312"/>
          <w:sz w:val="34"/>
          <w:szCs w:val="34"/>
          <w:highlight w:val="none"/>
          <w:lang w:val="en" w:eastAsia="zh-CN"/>
        </w:rPr>
        <w:t>近</w:t>
      </w:r>
      <w:r>
        <w:rPr>
          <w:rFonts w:hint="eastAsia" w:ascii="仿宋_GB2312" w:hAnsi="仿宋_GB2312" w:eastAsia="仿宋_GB2312" w:cs="仿宋_GB2312"/>
          <w:sz w:val="34"/>
          <w:szCs w:val="34"/>
          <w:highlight w:val="none"/>
          <w:lang w:val="en-US" w:eastAsia="zh-CN"/>
        </w:rPr>
        <w:t>30件</w:t>
      </w:r>
      <w:r>
        <w:rPr>
          <w:rFonts w:hint="default" w:ascii="仿宋_GB2312" w:hAnsi="仿宋_GB2312" w:eastAsia="仿宋_GB2312" w:cs="仿宋_GB2312"/>
          <w:sz w:val="34"/>
          <w:szCs w:val="34"/>
          <w:highlight w:val="none"/>
          <w:lang w:val="en" w:eastAsia="zh-CN"/>
        </w:rPr>
        <w:t>，</w:t>
      </w:r>
      <w:r>
        <w:rPr>
          <w:rFonts w:hint="eastAsia" w:ascii="仿宋_GB2312" w:hAnsi="仿宋_GB2312" w:eastAsia="仿宋_GB2312" w:cs="仿宋_GB2312"/>
          <w:sz w:val="34"/>
          <w:szCs w:val="34"/>
          <w:highlight w:val="none"/>
          <w:lang w:val="en-US" w:eastAsia="zh-CN"/>
        </w:rPr>
        <w:t>提供法律咨询服务28次，参与民事诉讼处置9件，参与行政处罚审核、行政复议、行政诉讼等工作11件。</w:t>
      </w:r>
    </w:p>
    <w:p>
      <w:pPr>
        <w:keepNext w:val="0"/>
        <w:keepLines w:val="0"/>
        <w:pageBreakBefore w:val="0"/>
        <w:widowControl w:val="0"/>
        <w:numPr>
          <w:ilvl w:val="0"/>
          <w:numId w:val="0"/>
        </w:numPr>
        <w:pBdr>
          <w:bottom w:val="single" w:color="FFFFFF" w:sz="4" w:space="30"/>
        </w:pBdr>
        <w:tabs>
          <w:tab w:val="left" w:pos="1980"/>
        </w:tabs>
        <w:kinsoku/>
        <w:wordWrap/>
        <w:overflowPunct/>
        <w:topLinePunct/>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sz w:val="34"/>
          <w:szCs w:val="34"/>
          <w:lang w:val="en-US" w:eastAsia="zh-CN"/>
        </w:rPr>
      </w:pPr>
      <w:r>
        <w:rPr>
          <w:rFonts w:hint="eastAsia" w:ascii="楷体" w:hAnsi="楷体" w:eastAsia="楷体" w:cs="楷体"/>
          <w:color w:val="auto"/>
          <w:kern w:val="0"/>
          <w:sz w:val="34"/>
          <w:szCs w:val="34"/>
          <w:u w:val="none"/>
          <w:shd w:val="clear" w:color="auto" w:fill="auto"/>
          <w:lang w:val="en-US" w:eastAsia="zh-CN" w:bidi="ar"/>
        </w:rPr>
        <w:t>（五）加强普法培训，提高法治意识、依法行政水平</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Fonts w:hint="eastAsia" w:ascii="仿宋_GB2312" w:hAnsi="仿宋_GB2312" w:eastAsia="仿宋_GB2312" w:cs="仿宋_GB2312"/>
          <w:color w:val="auto"/>
          <w:kern w:val="0"/>
          <w:sz w:val="34"/>
          <w:szCs w:val="34"/>
          <w:u w:val="none"/>
          <w:shd w:val="clear" w:color="auto" w:fill="auto"/>
          <w:lang w:val="en-US" w:eastAsia="zh-CN" w:bidi="ar"/>
        </w:rPr>
      </w:pPr>
      <w:r>
        <w:rPr>
          <w:rFonts w:hint="eastAsia" w:ascii="仿宋_GB2312" w:hAnsi="仿宋_GB2312" w:eastAsia="仿宋_GB2312" w:cs="仿宋_GB2312"/>
          <w:b/>
          <w:bCs/>
          <w:color w:val="auto"/>
          <w:kern w:val="0"/>
          <w:sz w:val="34"/>
          <w:szCs w:val="34"/>
          <w:u w:val="none"/>
          <w:shd w:val="clear" w:color="auto" w:fill="auto"/>
          <w:lang w:val="en-US" w:eastAsia="zh-CN" w:bidi="ar"/>
        </w:rPr>
        <w:t>一是落实领导干部学法用法机制。</w:t>
      </w:r>
      <w:r>
        <w:rPr>
          <w:rFonts w:hint="eastAsia" w:ascii="仿宋_GB2312" w:hAnsi="仿宋_GB2312" w:eastAsia="仿宋_GB2312" w:cs="仿宋_GB2312"/>
          <w:color w:val="auto"/>
          <w:kern w:val="0"/>
          <w:sz w:val="34"/>
          <w:szCs w:val="34"/>
          <w:u w:val="none"/>
          <w:shd w:val="clear" w:color="auto" w:fill="auto"/>
          <w:lang w:val="en-US" w:eastAsia="zh-CN" w:bidi="ar"/>
        </w:rPr>
        <w:t>坚持和完善党委理论学习中心组集体学法制度，本年度理论学习中心组学法12次，按时完成2024年度学法用法学习考试任务，及格率和完成率100%。</w:t>
      </w:r>
      <w:r>
        <w:rPr>
          <w:rFonts w:hint="eastAsia" w:ascii="仿宋_GB2312" w:hAnsi="仿宋_GB2312" w:eastAsia="仿宋_GB2312" w:cs="仿宋_GB2312"/>
          <w:b/>
          <w:bCs/>
          <w:color w:val="auto"/>
          <w:kern w:val="0"/>
          <w:sz w:val="34"/>
          <w:szCs w:val="34"/>
          <w:u w:val="none"/>
          <w:shd w:val="clear" w:color="auto" w:fill="auto"/>
          <w:lang w:val="en-US" w:eastAsia="zh-CN" w:bidi="ar"/>
        </w:rPr>
        <w:t>二是全面落实普法责任制。</w:t>
      </w:r>
      <w:r>
        <w:rPr>
          <w:rFonts w:hint="eastAsia" w:ascii="仿宋_GB2312" w:hAnsi="仿宋_GB2312" w:eastAsia="仿宋_GB2312" w:cs="仿宋_GB2312"/>
          <w:b w:val="0"/>
          <w:bCs w:val="0"/>
          <w:color w:val="auto"/>
          <w:kern w:val="0"/>
          <w:sz w:val="34"/>
          <w:szCs w:val="34"/>
          <w:u w:val="none"/>
          <w:shd w:val="clear" w:color="auto" w:fill="auto"/>
          <w:lang w:val="en-US" w:eastAsia="zh-CN" w:bidi="ar"/>
        </w:rPr>
        <w:t>制定《南开区城市管理委员会普法责任清单》并公示。深化落</w:t>
      </w:r>
      <w:r>
        <w:rPr>
          <w:rFonts w:hint="eastAsia" w:ascii="仿宋_GB2312" w:hAnsi="仿宋_GB2312" w:eastAsia="仿宋_GB2312" w:cs="仿宋_GB2312"/>
          <w:color w:val="auto"/>
          <w:kern w:val="0"/>
          <w:sz w:val="34"/>
          <w:szCs w:val="34"/>
          <w:u w:val="none"/>
          <w:shd w:val="clear" w:color="auto" w:fill="auto"/>
          <w:lang w:val="en-US" w:eastAsia="zh-CN" w:bidi="ar"/>
        </w:rPr>
        <w:t>实行政机关工作人员日常学法、旁听庭审等制度，各支部依托党员大会、小组会将学法常态化融入学习计划，持续性开展“普法加油站”、“法律大讲堂”、“案例速递”、旁听庭审以及“民法典宣传月”系列活动、“12·4”国家宪法日等普法活动。</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pPr>
      <w:r>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t>二、2024年推进法治政府建设存在的不足和原因</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b/>
          <w:bCs/>
          <w:i w:val="0"/>
          <w:iCs w:val="0"/>
          <w:caps w:val="0"/>
          <w:color w:val="auto"/>
          <w:spacing w:val="0"/>
          <w:kern w:val="2"/>
          <w:sz w:val="34"/>
          <w:szCs w:val="32"/>
          <w:highlight w:val="none"/>
          <w:u w:val="none"/>
          <w:shd w:val="clear" w:color="auto" w:fill="auto"/>
          <w:lang w:val="en-US" w:eastAsia="zh-CN" w:bidi="zh-TW"/>
        </w:rPr>
        <w:t>一是依法行政意识仍待提升。</w:t>
      </w:r>
      <w:r>
        <w:rPr>
          <w:rFonts w:hint="eastAsia" w:eastAsia="仿宋_GB2312"/>
          <w:sz w:val="34"/>
          <w:szCs w:val="34"/>
          <w:highlight w:val="none"/>
          <w:lang w:eastAsia="zh-CN"/>
        </w:rPr>
        <w:t>部</w:t>
      </w: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 xml:space="preserve">分干部职工对法治建设的重视程度不够高，具体表现为对法律法规的学习不够深入细致，处理问题时容易凭借个人经验或主观判断作出决策，处理日常事务、解决复杂问题时，运用法治思维和法治方式来自觉规避风险、作出合理决策的能力存在不足。  </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Style w:val="14"/>
          <w:rFonts w:hint="default"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b/>
          <w:bCs/>
          <w:i w:val="0"/>
          <w:iCs w:val="0"/>
          <w:caps w:val="0"/>
          <w:color w:val="auto"/>
          <w:spacing w:val="0"/>
          <w:kern w:val="2"/>
          <w:sz w:val="34"/>
          <w:szCs w:val="32"/>
          <w:highlight w:val="none"/>
          <w:u w:val="none"/>
          <w:shd w:val="clear" w:color="auto" w:fill="auto"/>
          <w:lang w:val="en-US" w:eastAsia="zh-CN" w:bidi="zh-TW"/>
        </w:rPr>
        <w:t>二是行政执法程序仍需规范。</w:t>
      </w: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部分执法人员在执法过程中存在程序意识淡薄的问题，未能严格按照法定程序进行执法。例如在证据收集过程中，存在证据不充分的情况。程序上的瑕疵不仅影响了执法的公正性，也容易引发行政复议或行政诉讼，增加执法成本。</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2" w:firstLineChars="200"/>
        <w:jc w:val="both"/>
        <w:textAlignment w:val="auto"/>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b/>
          <w:bCs/>
          <w:i w:val="0"/>
          <w:iCs w:val="0"/>
          <w:caps w:val="0"/>
          <w:color w:val="auto"/>
          <w:spacing w:val="0"/>
          <w:kern w:val="2"/>
          <w:sz w:val="34"/>
          <w:szCs w:val="32"/>
          <w:highlight w:val="none"/>
          <w:u w:val="none"/>
          <w:shd w:val="clear" w:color="auto" w:fill="auto"/>
          <w:lang w:val="en-US" w:eastAsia="zh-CN" w:bidi="zh-TW"/>
        </w:rPr>
        <w:t>三是普法宣传实效有待提高。</w:t>
      </w: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普法活动虽然广泛开展，但培训方式相对单一、内容选择缺乏灵活性和多样性，培训内容与实际业务工作的深度融合方面仍有待加强。此外，部分干部职工对普法活动的重视程度不够高，缺乏主动参与和学习的意识，也使得普法宣传的效果大打折扣。</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pPr>
      <w:r>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t>三、2024年南开区城管委主要负责人履行推进法治政府建设第一责任人职责、加强法治政府建设有关情况</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b w:val="0"/>
          <w:bCs w:val="0"/>
          <w:color w:val="auto"/>
          <w:kern w:val="2"/>
          <w:sz w:val="34"/>
          <w:szCs w:val="34"/>
          <w:highlight w:val="none"/>
          <w:shd w:val="clear" w:color="auto" w:fill="FFFFFF"/>
          <w:lang w:val="en-US" w:eastAsia="zh-CN" w:bidi="ar-SA"/>
        </w:rPr>
      </w:pPr>
      <w:r>
        <w:rPr>
          <w:rFonts w:hint="eastAsia" w:ascii="楷体" w:hAnsi="楷体" w:eastAsia="楷体" w:cs="楷体"/>
          <w:b w:val="0"/>
          <w:bCs w:val="0"/>
          <w:color w:val="auto"/>
          <w:kern w:val="2"/>
          <w:sz w:val="34"/>
          <w:szCs w:val="34"/>
          <w:highlight w:val="none"/>
          <w:shd w:val="clear" w:color="auto" w:fill="FFFFFF"/>
          <w:lang w:val="en-US" w:eastAsia="zh-CN" w:bidi="ar-SA"/>
        </w:rPr>
        <w:t>（一）切实履行法治建设第一责任人职责</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kern w:val="0"/>
          <w:sz w:val="34"/>
          <w:szCs w:val="34"/>
          <w:highlight w:val="none"/>
          <w:u w:val="none"/>
          <w:shd w:val="clear" w:color="auto" w:fill="auto"/>
          <w:lang w:val="en-US" w:eastAsia="zh-CN" w:bidi="ar"/>
        </w:rPr>
      </w:pPr>
      <w:r>
        <w:rPr>
          <w:rFonts w:hint="eastAsia" w:ascii="仿宋_GB2312" w:hAnsi="仿宋_GB2312" w:eastAsia="仿宋_GB2312" w:cs="仿宋_GB2312"/>
          <w:kern w:val="0"/>
          <w:sz w:val="34"/>
          <w:szCs w:val="34"/>
          <w:highlight w:val="none"/>
          <w:u w:val="none"/>
          <w:shd w:val="clear" w:color="auto" w:fill="auto"/>
          <w:lang w:val="en-US" w:eastAsia="zh-CN" w:bidi="ar"/>
        </w:rPr>
        <w:t>委主要领导始终坚持把牢政治方向，带头认真履行法治建设组织者、推动者和实践者职责，按照“主要领导负总责，分管领导联动配合”原则，认真贯彻落实《党政主要负责人履行推进法治建设第一责任人职责规定》（以下简称《规定》），带头学习贯彻习近平总书记关于法治建设的重要指示精神和区委、区政府关于依法治区工作要求，全面落实法治建设第一责任人职责，及时组织党委理论学习中心组学习贯彻习近平法治思想和习近平总书记重要讲话精神</w:t>
      </w:r>
      <w:r>
        <w:rPr>
          <w:rFonts w:hint="default" w:ascii="仿宋_GB2312" w:hAnsi="仿宋_GB2312" w:eastAsia="仿宋_GB2312" w:cs="仿宋_GB2312"/>
          <w:kern w:val="0"/>
          <w:sz w:val="34"/>
          <w:szCs w:val="34"/>
          <w:highlight w:val="none"/>
          <w:u w:val="none"/>
          <w:shd w:val="clear" w:color="auto" w:fill="auto"/>
          <w:lang w:val="en" w:eastAsia="zh-CN" w:bidi="ar"/>
        </w:rPr>
        <w:t>，</w:t>
      </w:r>
      <w:r>
        <w:rPr>
          <w:rFonts w:hint="eastAsia" w:ascii="仿宋_GB2312" w:hAnsi="仿宋_GB2312" w:eastAsia="仿宋_GB2312" w:cs="仿宋_GB2312"/>
          <w:kern w:val="0"/>
          <w:sz w:val="34"/>
          <w:szCs w:val="34"/>
          <w:highlight w:val="none"/>
          <w:u w:val="none"/>
          <w:shd w:val="clear" w:color="auto" w:fill="auto"/>
          <w:lang w:val="en-US" w:eastAsia="zh-CN" w:bidi="ar"/>
        </w:rPr>
        <w:t>推进法治建设。</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b w:val="0"/>
          <w:bCs w:val="0"/>
          <w:color w:val="auto"/>
          <w:kern w:val="2"/>
          <w:sz w:val="34"/>
          <w:szCs w:val="34"/>
          <w:highlight w:val="none"/>
          <w:shd w:val="clear" w:color="auto" w:fill="FFFFFF"/>
          <w:lang w:val="en-US" w:eastAsia="zh-CN" w:bidi="ar-SA"/>
        </w:rPr>
      </w:pPr>
      <w:r>
        <w:rPr>
          <w:rFonts w:hint="eastAsia" w:ascii="楷体" w:hAnsi="楷体" w:eastAsia="楷体" w:cs="楷体"/>
          <w:b w:val="0"/>
          <w:bCs w:val="0"/>
          <w:color w:val="auto"/>
          <w:kern w:val="2"/>
          <w:sz w:val="34"/>
          <w:szCs w:val="34"/>
          <w:highlight w:val="none"/>
          <w:shd w:val="clear" w:color="auto" w:fill="FFFFFF"/>
          <w:lang w:val="en-US" w:eastAsia="zh-CN" w:bidi="ar-SA"/>
        </w:rPr>
        <w:t>（二）积极谋划全委法治建设工作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kern w:val="0"/>
          <w:sz w:val="34"/>
          <w:szCs w:val="34"/>
          <w:highlight w:val="none"/>
          <w:u w:val="none"/>
          <w:shd w:val="clear" w:color="auto" w:fill="auto"/>
          <w:lang w:val="en-US" w:eastAsia="zh-CN" w:bidi="ar"/>
        </w:rPr>
      </w:pPr>
      <w:r>
        <w:rPr>
          <w:rFonts w:hint="eastAsia" w:ascii="仿宋_GB2312" w:hAnsi="仿宋_GB2312" w:eastAsia="仿宋_GB2312" w:cs="仿宋_GB2312"/>
          <w:kern w:val="0"/>
          <w:sz w:val="34"/>
          <w:szCs w:val="34"/>
          <w:highlight w:val="none"/>
          <w:u w:val="none"/>
          <w:shd w:val="clear" w:color="auto" w:fill="auto"/>
          <w:lang w:val="en-US" w:eastAsia="zh-CN" w:bidi="ar"/>
        </w:rPr>
        <w:t>委主要领导积极谋划参与推进城市管理法治建设相关工作，调整委法治建设工作领导小组，构建责任清晰、协同配合的法治工作体系。始终坚持对法治建设重大事项及时部署、重点环节及时协调、重要任务及时督办，定期研究推进法治工作，并将其纳入全委工作规划和年度工作要点，有力推动城市管理工作任务依法依规，落实落细。主要负责人在每年年终述职中认真落实“述法”要求，专题总结全年述法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楷体" w:hAnsi="楷体" w:eastAsia="楷体" w:cs="楷体"/>
          <w:b w:val="0"/>
          <w:bCs w:val="0"/>
          <w:i w:val="0"/>
          <w:iCs w:val="0"/>
          <w:color w:val="auto"/>
          <w:kern w:val="2"/>
          <w:sz w:val="34"/>
          <w:szCs w:val="34"/>
          <w:highlight w:val="none"/>
          <w:shd w:val="clear" w:color="auto" w:fill="FFFFFF"/>
          <w:lang w:val="en-US" w:eastAsia="zh-CN" w:bidi="ar-SA"/>
        </w:rPr>
      </w:pPr>
      <w:r>
        <w:rPr>
          <w:rFonts w:hint="eastAsia" w:ascii="楷体" w:hAnsi="楷体" w:eastAsia="楷体" w:cs="楷体"/>
          <w:b w:val="0"/>
          <w:bCs w:val="0"/>
          <w:i w:val="0"/>
          <w:iCs w:val="0"/>
          <w:color w:val="auto"/>
          <w:kern w:val="2"/>
          <w:sz w:val="34"/>
          <w:szCs w:val="34"/>
          <w:highlight w:val="none"/>
          <w:shd w:val="clear" w:color="auto" w:fill="FFFFFF"/>
          <w:lang w:val="en-US" w:eastAsia="zh-CN" w:bidi="ar-SA"/>
        </w:rPr>
        <w:t>（三）带头推进全委法治宣传教育</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pP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党政主要负责人持续强化法治建设第一责任人职责，带头尊法学法守法用法，在今年“民法典宣传</w:t>
      </w:r>
      <w:r>
        <w:rPr>
          <w:rStyle w:val="14"/>
          <w:rFonts w:hint="default" w:ascii="仿宋_GB2312" w:hAnsi="仿宋_GB2312" w:eastAsia="仿宋_GB2312" w:cs="仿宋_GB2312"/>
          <w:i w:val="0"/>
          <w:iCs w:val="0"/>
          <w:caps w:val="0"/>
          <w:color w:val="auto"/>
          <w:spacing w:val="0"/>
          <w:kern w:val="2"/>
          <w:sz w:val="34"/>
          <w:szCs w:val="32"/>
          <w:highlight w:val="none"/>
          <w:u w:val="none"/>
          <w:shd w:val="clear" w:color="auto" w:fill="auto"/>
          <w:lang w:val="en" w:eastAsia="zh-CN" w:bidi="zh-TW"/>
        </w:rPr>
        <w:t>月</w:t>
      </w:r>
      <w:r>
        <w:rPr>
          <w:rStyle w:val="14"/>
          <w:rFonts w:hint="eastAsia" w:ascii="仿宋_GB2312" w:hAnsi="仿宋_GB2312" w:eastAsia="仿宋_GB2312" w:cs="仿宋_GB2312"/>
          <w:i w:val="0"/>
          <w:iCs w:val="0"/>
          <w:caps w:val="0"/>
          <w:color w:val="auto"/>
          <w:spacing w:val="0"/>
          <w:kern w:val="2"/>
          <w:sz w:val="34"/>
          <w:szCs w:val="32"/>
          <w:highlight w:val="none"/>
          <w:u w:val="none"/>
          <w:shd w:val="clear" w:color="auto" w:fill="auto"/>
          <w:lang w:val="en-US" w:eastAsia="zh-CN" w:bidi="zh-TW"/>
        </w:rPr>
        <w:t>”期间，围绕习近平法治思想就深入推进法治工作面向全委作了专题授课和工作部署。</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pPr>
      <w:r>
        <w:rPr>
          <w:rStyle w:val="14"/>
          <w:rFonts w:hint="eastAsia" w:ascii="黑体" w:hAnsi="黑体" w:eastAsia="黑体" w:cs="黑体"/>
          <w:i w:val="0"/>
          <w:iCs w:val="0"/>
          <w:caps w:val="0"/>
          <w:color w:val="auto"/>
          <w:spacing w:val="0"/>
          <w:kern w:val="2"/>
          <w:sz w:val="34"/>
          <w:szCs w:val="32"/>
          <w:highlight w:val="none"/>
          <w:u w:val="none"/>
          <w:shd w:val="clear" w:color="auto" w:fill="auto"/>
          <w:lang w:val="en-US" w:eastAsia="zh-CN" w:bidi="zh-TW"/>
        </w:rPr>
        <w:t>四、2025年推进法治政府建设的主要安排</w:t>
      </w:r>
    </w:p>
    <w:p>
      <w:pPr>
        <w:keepNext w:val="0"/>
        <w:keepLines w:val="0"/>
        <w:pageBreakBefore w:val="0"/>
        <w:widowControl w:val="0"/>
        <w:numPr>
          <w:ilvl w:val="0"/>
          <w:numId w:val="3"/>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kern w:val="0"/>
          <w:sz w:val="34"/>
          <w:szCs w:val="34"/>
          <w:highlight w:val="none"/>
          <w:u w:val="none"/>
          <w:shd w:val="clear" w:color="auto" w:fill="auto"/>
          <w:lang w:val="en-US" w:eastAsia="zh-CN" w:bidi="ar"/>
        </w:rPr>
      </w:pPr>
      <w:r>
        <w:rPr>
          <w:rFonts w:hint="eastAsia" w:ascii="楷体" w:hAnsi="楷体" w:eastAsia="楷体" w:cs="楷体"/>
          <w:color w:val="auto"/>
          <w:kern w:val="2"/>
          <w:sz w:val="34"/>
          <w:szCs w:val="34"/>
          <w:highlight w:val="none"/>
          <w:lang w:val="en-US" w:eastAsia="zh-CN" w:bidi="ar-SA"/>
        </w:rPr>
        <w:t>加强统筹谋划和协调推动</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kern w:val="0"/>
          <w:sz w:val="34"/>
          <w:szCs w:val="34"/>
          <w:highlight w:val="none"/>
          <w:u w:val="none"/>
          <w:shd w:val="clear" w:color="auto" w:fill="auto"/>
          <w:lang w:val="en-US" w:eastAsia="zh-CN" w:bidi="ar"/>
        </w:rPr>
      </w:pPr>
      <w:r>
        <w:rPr>
          <w:rFonts w:hint="eastAsia" w:ascii="仿宋_GB2312" w:hAnsi="仿宋_GB2312" w:eastAsia="仿宋_GB2312" w:cs="仿宋_GB2312"/>
          <w:kern w:val="0"/>
          <w:sz w:val="34"/>
          <w:szCs w:val="34"/>
          <w:highlight w:val="none"/>
          <w:u w:val="none"/>
          <w:shd w:val="clear" w:color="auto" w:fill="auto"/>
          <w:lang w:val="en-US" w:eastAsia="zh-CN" w:bidi="ar"/>
        </w:rPr>
        <w:t>2025年度将继续严格落实《规定》要求，压实领导干部法治政府建设的重要组织者、推动者和实践者责任，依据《清单》继续统筹部署法治重点推进事项和任务目标并组织实施。</w:t>
      </w:r>
    </w:p>
    <w:p>
      <w:pPr>
        <w:keepNext w:val="0"/>
        <w:keepLines w:val="0"/>
        <w:pageBreakBefore w:val="0"/>
        <w:widowControl w:val="0"/>
        <w:numPr>
          <w:ilvl w:val="0"/>
          <w:numId w:val="3"/>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楷体" w:hAnsi="楷体" w:eastAsia="楷体" w:cs="楷体"/>
          <w:color w:val="auto"/>
          <w:kern w:val="2"/>
          <w:sz w:val="34"/>
          <w:szCs w:val="34"/>
          <w:highlight w:val="none"/>
          <w:lang w:val="en-US" w:eastAsia="zh-CN" w:bidi="ar-SA"/>
        </w:rPr>
        <w:t>加强重点领域执法，持续深化执法能力建设</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sz w:val="34"/>
          <w:szCs w:val="34"/>
          <w:highlight w:val="none"/>
          <w:lang w:eastAsia="zh-CN"/>
        </w:rPr>
        <w:t>落实“一支</w:t>
      </w:r>
      <w:r>
        <w:rPr>
          <w:rFonts w:hint="eastAsia" w:ascii="仿宋_GB2312" w:hAnsi="仿宋_GB2312" w:eastAsia="仿宋_GB2312" w:cs="仿宋_GB2312"/>
          <w:sz w:val="34"/>
          <w:szCs w:val="34"/>
          <w:highlight w:val="none"/>
          <w:lang w:eastAsia="zh-CN"/>
        </w:rPr>
        <w:t>队伍管执法”，加强对新增执法事项的针对性培训和实践指导，在</w:t>
      </w:r>
      <w:r>
        <w:rPr>
          <w:rFonts w:hint="eastAsia" w:ascii="仿宋_GB2312" w:hAnsi="仿宋_GB2312" w:eastAsia="仿宋_GB2312" w:cs="仿宋_GB2312"/>
          <w:kern w:val="2"/>
          <w:sz w:val="34"/>
          <w:szCs w:val="34"/>
          <w:highlight w:val="none"/>
          <w:lang w:val="en-US" w:eastAsia="zh-CN" w:bidi="ar-SA"/>
        </w:rPr>
        <w:t>燃气安全、园林绿化、垃圾分类、餐饮企业油污治理等城市管理重点领域执法工作中，始终保持力度、延伸深度，拓展广度。</w:t>
      </w:r>
      <w:r>
        <w:rPr>
          <w:rFonts w:hint="eastAsia" w:ascii="仿宋_GB2312" w:hAnsi="仿宋_GB2312" w:eastAsia="仿宋_GB2312" w:cs="仿宋_GB2312"/>
          <w:color w:val="auto"/>
          <w:sz w:val="34"/>
          <w:szCs w:val="34"/>
          <w:highlight w:val="none"/>
          <w:lang w:eastAsia="zh-CN"/>
        </w:rPr>
        <w:t>定期召开执法经验研讨会和兄弟单位间互学互看活动，拓展执法工作思路，</w:t>
      </w:r>
      <w:r>
        <w:rPr>
          <w:rFonts w:hint="eastAsia" w:ascii="仿宋_GB2312" w:hAnsi="仿宋_GB2312" w:eastAsia="仿宋_GB2312" w:cs="仿宋_GB2312"/>
          <w:color w:val="auto"/>
          <w:kern w:val="2"/>
          <w:sz w:val="34"/>
          <w:szCs w:val="34"/>
          <w:highlight w:val="none"/>
          <w:lang w:val="en-US" w:eastAsia="zh-CN" w:bidi="ar-SA"/>
        </w:rPr>
        <w:t>强化“以案释法”制度落实，带头深化“谁执法谁普法”实践，持续提升服务意识，提高执法效能。</w:t>
      </w:r>
    </w:p>
    <w:p>
      <w:pPr>
        <w:keepNext w:val="0"/>
        <w:keepLines w:val="0"/>
        <w:pageBreakBefore w:val="0"/>
        <w:widowControl w:val="0"/>
        <w:numPr>
          <w:ilvl w:val="0"/>
          <w:numId w:val="3"/>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楷体" w:hAnsi="楷体" w:eastAsia="楷体" w:cs="楷体"/>
          <w:color w:val="auto"/>
          <w:kern w:val="2"/>
          <w:sz w:val="34"/>
          <w:szCs w:val="34"/>
          <w:highlight w:val="none"/>
          <w:lang w:val="en-US" w:eastAsia="zh-CN" w:bidi="ar-SA"/>
        </w:rPr>
        <w:t>持续强化法律队伍建设，做好普法培训工作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坚持重视法治素养、法治能力的用人导向，做好人才梯队建设。强化城管特色法律培训，推动更多具有法律专业背景的公职人员参与日常法律事务，推动全委上下形成依法办事、依法行政的浓厚氛围。继续实施“八五”普法规划，落实相应工作要求，强化普法效果。结合工作实际，精准研判不同部门的普法需求，强化个性化普法、精准普法。</w:t>
      </w:r>
    </w:p>
    <w:p>
      <w:pPr>
        <w:pStyle w:val="8"/>
        <w:rPr>
          <w:rFonts w:hint="eastAsia" w:ascii="仿宋_GB2312" w:hAnsi="仿宋_GB2312" w:eastAsia="仿宋_GB2312" w:cs="仿宋_GB2312"/>
          <w:color w:val="auto"/>
          <w:kern w:val="2"/>
          <w:sz w:val="34"/>
          <w:szCs w:val="34"/>
          <w:highlight w:val="none"/>
          <w:lang w:val="en-US" w:eastAsia="zh-CN" w:bidi="ar-SA"/>
        </w:rPr>
      </w:pPr>
    </w:p>
    <w:p>
      <w:pPr>
        <w:rPr>
          <w:rFonts w:hint="eastAsia"/>
          <w:lang w:val="en-US" w:eastAsia="zh-CN"/>
        </w:rPr>
      </w:pP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firstLine="420" w:firstLineChars="200"/>
        <w:jc w:val="both"/>
        <w:textAlignment w:val="auto"/>
        <w:rPr>
          <w:rFonts w:hint="eastAsia"/>
          <w:lang w:val="en-US" w:eastAsia="zh-CN"/>
        </w:rPr>
      </w:pPr>
      <w:r>
        <w:rPr>
          <w:rFonts w:hint="eastAsia"/>
          <w:lang w:val="en-US" w:eastAsia="zh-CN"/>
        </w:rPr>
        <w:tab/>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val="0"/>
        <w:snapToGrid w:val="0"/>
        <w:spacing w:line="588" w:lineRule="exact"/>
        <w:ind w:right="0" w:rightChars="0"/>
        <w:jc w:val="both"/>
        <w:textAlignment w:val="auto"/>
        <w:rPr>
          <w:rFonts w:hint="eastAsia"/>
          <w:lang w:val="en-US" w:eastAsia="zh-CN"/>
        </w:rPr>
      </w:pPr>
    </w:p>
    <w:p>
      <w:pPr>
        <w:keepNext w:val="0"/>
        <w:keepLines w:val="0"/>
        <w:pageBreakBefore w:val="0"/>
        <w:widowControl w:val="0"/>
        <w:numPr>
          <w:ilvl w:val="0"/>
          <w:numId w:val="0"/>
        </w:numPr>
        <w:pBdr>
          <w:bottom w:val="single" w:color="FFFFFF" w:sz="4" w:space="30"/>
        </w:pBdr>
        <w:tabs>
          <w:tab w:val="left" w:pos="1980"/>
        </w:tabs>
        <w:kinsoku/>
        <w:wordWrap w:val="0"/>
        <w:overflowPunct/>
        <w:topLinePunct w:val="0"/>
        <w:autoSpaceDE/>
        <w:autoSpaceDN/>
        <w:bidi w:val="0"/>
        <w:adjustRightInd w:val="0"/>
        <w:snapToGrid w:val="0"/>
        <w:spacing w:line="588" w:lineRule="exact"/>
        <w:ind w:right="0" w:rightChars="0"/>
        <w:jc w:val="right"/>
        <w:textAlignment w:val="auto"/>
        <w:rPr>
          <w:rFonts w:hint="default"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 xml:space="preserve">南开区城市管理委员会  </w:t>
      </w:r>
    </w:p>
    <w:p>
      <w:pPr>
        <w:keepNext w:val="0"/>
        <w:keepLines w:val="0"/>
        <w:pageBreakBefore w:val="0"/>
        <w:widowControl w:val="0"/>
        <w:numPr>
          <w:ilvl w:val="0"/>
          <w:numId w:val="0"/>
        </w:numPr>
        <w:pBdr>
          <w:bottom w:val="single" w:color="FFFFFF" w:sz="4" w:space="30"/>
        </w:pBdr>
        <w:tabs>
          <w:tab w:val="left" w:pos="1980"/>
        </w:tabs>
        <w:kinsoku/>
        <w:wordWrap w:val="0"/>
        <w:overflowPunct/>
        <w:topLinePunct w:val="0"/>
        <w:autoSpaceDE/>
        <w:autoSpaceDN/>
        <w:bidi w:val="0"/>
        <w:adjustRightInd w:val="0"/>
        <w:snapToGrid w:val="0"/>
        <w:spacing w:line="588" w:lineRule="exact"/>
        <w:ind w:right="0" w:rightChars="0" w:firstLine="680" w:firstLineChars="200"/>
        <w:jc w:val="right"/>
        <w:textAlignment w:val="auto"/>
        <w:rPr>
          <w:rFonts w:hint="default"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 xml:space="preserve">2024年12月31日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黑体"/>
    <w:panose1 w:val="00000000000000000000"/>
    <w:charset w:val="00"/>
    <w:family w:val="auto"/>
    <w:pitch w:val="default"/>
    <w:sig w:usb0="00000000" w:usb1="00000000" w:usb2="0000001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96E8A"/>
    <w:multiLevelType w:val="singleLevel"/>
    <w:tmpl w:val="F3796E8A"/>
    <w:lvl w:ilvl="0" w:tentative="0">
      <w:start w:val="1"/>
      <w:numFmt w:val="chineseCounting"/>
      <w:suff w:val="nothing"/>
      <w:lvlText w:val="%1、"/>
      <w:lvlJc w:val="left"/>
      <w:rPr>
        <w:rFonts w:hint="eastAsia"/>
      </w:rPr>
    </w:lvl>
  </w:abstractNum>
  <w:abstractNum w:abstractNumId="1">
    <w:nsid w:val="F3EF6F39"/>
    <w:multiLevelType w:val="singleLevel"/>
    <w:tmpl w:val="F3EF6F39"/>
    <w:lvl w:ilvl="0" w:tentative="0">
      <w:start w:val="1"/>
      <w:numFmt w:val="chineseCounting"/>
      <w:suff w:val="nothing"/>
      <w:lvlText w:val="（%1）"/>
      <w:lvlJc w:val="left"/>
      <w:rPr>
        <w:rFonts w:hint="eastAsia"/>
      </w:rPr>
    </w:lvl>
  </w:abstractNum>
  <w:abstractNum w:abstractNumId="2">
    <w:nsid w:val="793AF5E0"/>
    <w:multiLevelType w:val="singleLevel"/>
    <w:tmpl w:val="793AF5E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FBE69"/>
    <w:rsid w:val="6FF7AAF3"/>
    <w:rsid w:val="778DC28E"/>
    <w:rsid w:val="77BE1694"/>
    <w:rsid w:val="7F8D53D6"/>
    <w:rsid w:val="7FAFF95D"/>
    <w:rsid w:val="86FF9A83"/>
    <w:rsid w:val="D7A765BF"/>
    <w:rsid w:val="F69F69C2"/>
    <w:rsid w:val="FDED4CA5"/>
    <w:rsid w:val="FF73112E"/>
    <w:rsid w:val="FF78CCB5"/>
    <w:rsid w:val="FFCFB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420" w:leftChars="200" w:firstLine="420" w:firstLineChars="200"/>
    </w:pPr>
  </w:style>
  <w:style w:type="paragraph" w:styleId="3">
    <w:name w:val="Body Text Indent"/>
    <w:basedOn w:val="1"/>
    <w:next w:val="4"/>
    <w:qFormat/>
    <w:uiPriority w:val="0"/>
    <w:pPr>
      <w:spacing w:line="600" w:lineRule="exact"/>
      <w:ind w:firstLine="630"/>
    </w:pPr>
  </w:style>
  <w:style w:type="paragraph" w:styleId="4">
    <w:name w:val="Normal Indent"/>
    <w:basedOn w:val="1"/>
    <w:next w:val="5"/>
    <w:qFormat/>
    <w:uiPriority w:val="0"/>
    <w:pPr>
      <w:autoSpaceDE w:val="0"/>
      <w:autoSpaceDN w:val="0"/>
      <w:adjustRightInd w:val="0"/>
      <w:snapToGrid w:val="0"/>
      <w:spacing w:before="60" w:line="324" w:lineRule="auto"/>
      <w:ind w:firstLine="567"/>
      <w:textAlignment w:val="baseline"/>
    </w:pPr>
    <w:rPr>
      <w:rFonts w:ascii="Calibri" w:hAnsi="Calibri" w:eastAsia="宋体" w:cs="Times New Roman"/>
      <w:kern w:val="0"/>
      <w:sz w:val="28"/>
      <w:szCs w:val="24"/>
    </w:rPr>
  </w:style>
  <w:style w:type="paragraph" w:styleId="5">
    <w:name w:val="toc 1"/>
    <w:basedOn w:val="1"/>
    <w:next w:val="1"/>
    <w:unhideWhenUsed/>
    <w:qFormat/>
    <w:uiPriority w:val="39"/>
    <w:pPr>
      <w:jc w:val="center"/>
    </w:pPr>
    <w:rPr>
      <w:rFonts w:ascii="方正仿宋简体" w:hAnsi="方正仿宋简体" w:eastAsia="方正仿宋简体" w:cs="仿宋_GB2312"/>
      <w:b/>
      <w:bCs/>
      <w:sz w:val="32"/>
      <w:szCs w:val="32"/>
    </w:rPr>
  </w:style>
  <w:style w:type="paragraph" w:styleId="6">
    <w:name w:val="Date"/>
    <w:basedOn w:val="1"/>
    <w:next w:val="1"/>
    <w:qFormat/>
    <w:uiPriority w:val="0"/>
    <w:pPr>
      <w:ind w:left="100" w:leftChars="2500"/>
    </w:pPr>
  </w:style>
  <w:style w:type="paragraph" w:styleId="8">
    <w:name w:val="Body Text"/>
    <w:basedOn w:val="1"/>
    <w:next w:val="1"/>
    <w:qFormat/>
    <w:uiPriority w:val="0"/>
    <w:rPr>
      <w:rFonts w:eastAsia="文星仿宋"/>
      <w:sz w:val="32"/>
      <w:szCs w:val="32"/>
    </w:rPr>
  </w:style>
  <w:style w:type="paragraph" w:styleId="9">
    <w:name w:val="Body Text Indent 2"/>
    <w:basedOn w:val="1"/>
    <w:qFormat/>
    <w:uiPriority w:val="0"/>
    <w:pPr>
      <w:spacing w:after="120" w:afterLines="0" w:afterAutospacing="0" w:line="480" w:lineRule="auto"/>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4">
    <w:name w:val="Emphasis"/>
    <w:basedOn w:val="13"/>
    <w:qFormat/>
    <w:uiPriority w:val="0"/>
    <w:rPr>
      <w:i/>
    </w:rPr>
  </w:style>
  <w:style w:type="paragraph" w:customStyle="1" w:styleId="15">
    <w:name w:val="Heading #3|1"/>
    <w:basedOn w:val="1"/>
    <w:qFormat/>
    <w:uiPriority w:val="0"/>
    <w:pPr>
      <w:widowControl w:val="0"/>
      <w:shd w:val="clear" w:color="auto" w:fill="auto"/>
      <w:spacing w:after="480"/>
      <w:jc w:val="center"/>
      <w:outlineLvl w:val="2"/>
    </w:pPr>
    <w:rPr>
      <w:rFonts w:ascii="宋体" w:hAnsi="宋体" w:eastAsia="宋体" w:cs="宋体"/>
      <w:sz w:val="42"/>
      <w:szCs w:val="42"/>
      <w:u w:val="none"/>
      <w:shd w:val="clear" w:color="auto" w:fill="auto"/>
      <w:lang w:val="zh-TW" w:eastAsia="zh-TW" w:bidi="zh-TW"/>
    </w:rPr>
  </w:style>
  <w:style w:type="paragraph" w:customStyle="1" w:styleId="16">
    <w:name w:val="Body Text First Indent1"/>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2024-12-30T17:07:00Z</dcterms:created>
  <dc:creator>法规科</dc:creator>
  <cp:lastModifiedBy>法规科</cp:lastModifiedBy>
  <cp:lastPrinted>2025-01-24T00:47:46Z</cp:lastPrinted>
  <dcterms:modified xsi:type="dcterms:W3CDTF">2025-02-05T16:14:50Z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