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82003">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default" w:ascii="Times New Roman" w:hAnsi="Times New Roman" w:eastAsia="方正小标宋简体" w:cs="Times New Roman"/>
          <w:b w:val="0"/>
          <w:bCs/>
          <w:color w:val="auto"/>
          <w:spacing w:val="0"/>
          <w:sz w:val="44"/>
          <w:szCs w:val="44"/>
          <w:highlight w:val="none"/>
        </w:rPr>
      </w:pPr>
      <w:r>
        <w:rPr>
          <w:rFonts w:hint="default" w:ascii="Times New Roman" w:hAnsi="Times New Roman" w:eastAsia="方正小标宋简体" w:cs="Times New Roman"/>
          <w:b w:val="0"/>
          <w:bCs/>
          <w:color w:val="auto"/>
          <w:spacing w:val="0"/>
          <w:sz w:val="44"/>
          <w:szCs w:val="44"/>
          <w:highlight w:val="none"/>
        </w:rPr>
        <w:t>南开区</w:t>
      </w:r>
      <w:r>
        <w:rPr>
          <w:rFonts w:hint="default" w:ascii="Times New Roman" w:hAnsi="Times New Roman" w:eastAsia="方正小标宋简体" w:cs="Times New Roman"/>
          <w:b w:val="0"/>
          <w:bCs/>
          <w:color w:val="auto"/>
          <w:spacing w:val="0"/>
          <w:sz w:val="44"/>
          <w:szCs w:val="44"/>
          <w:highlight w:val="none"/>
          <w:lang w:val="en-US" w:eastAsia="zh-CN"/>
        </w:rPr>
        <w:t>国资委2024</w:t>
      </w:r>
      <w:r>
        <w:rPr>
          <w:rFonts w:hint="default" w:ascii="Times New Roman" w:hAnsi="Times New Roman" w:eastAsia="方正小标宋简体" w:cs="Times New Roman"/>
          <w:b w:val="0"/>
          <w:bCs/>
          <w:color w:val="auto"/>
          <w:spacing w:val="0"/>
          <w:sz w:val="44"/>
          <w:szCs w:val="44"/>
          <w:highlight w:val="none"/>
        </w:rPr>
        <w:t>年度法治政府建设</w:t>
      </w:r>
    </w:p>
    <w:p w14:paraId="58D9F5B1">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default" w:ascii="Times New Roman" w:hAnsi="Times New Roman" w:eastAsia="方正小标宋简体" w:cs="Times New Roman"/>
          <w:b w:val="0"/>
          <w:bCs/>
          <w:color w:val="auto"/>
          <w:spacing w:val="0"/>
          <w:sz w:val="44"/>
          <w:szCs w:val="44"/>
          <w:highlight w:val="none"/>
          <w:lang w:eastAsia="zh-CN"/>
        </w:rPr>
      </w:pPr>
      <w:r>
        <w:rPr>
          <w:rFonts w:hint="default" w:ascii="Times New Roman" w:hAnsi="Times New Roman" w:eastAsia="方正小标宋简体" w:cs="Times New Roman"/>
          <w:b w:val="0"/>
          <w:bCs/>
          <w:color w:val="auto"/>
          <w:spacing w:val="0"/>
          <w:sz w:val="44"/>
          <w:szCs w:val="44"/>
          <w:highlight w:val="none"/>
        </w:rPr>
        <w:t>情况报告</w:t>
      </w:r>
    </w:p>
    <w:p w14:paraId="7931934C">
      <w:pPr>
        <w:keepNext w:val="0"/>
        <w:keepLines w:val="0"/>
        <w:pageBreakBefore w:val="0"/>
        <w:widowControl w:val="0"/>
        <w:suppressLineNumbers w:val="0"/>
        <w:kinsoku/>
        <w:wordWrap/>
        <w:overflowPunct/>
        <w:topLinePunct w:val="0"/>
        <w:autoSpaceDE/>
        <w:autoSpaceDN/>
        <w:bidi w:val="0"/>
        <w:adjustRightInd/>
        <w:snapToGrid/>
        <w:spacing w:line="588" w:lineRule="exact"/>
        <w:jc w:val="left"/>
        <w:textAlignment w:val="auto"/>
        <w:rPr>
          <w:rFonts w:hint="default" w:ascii="Times New Roman" w:hAnsi="Times New Roman" w:eastAsia="方正小标宋简体" w:cs="Times New Roman"/>
          <w:b w:val="0"/>
          <w:bCs/>
          <w:color w:val="000000"/>
          <w:spacing w:val="0"/>
          <w:sz w:val="44"/>
          <w:szCs w:val="44"/>
          <w:highlight w:val="none"/>
          <w:lang w:val="en-US" w:eastAsia="zh-CN"/>
        </w:rPr>
      </w:pPr>
    </w:p>
    <w:p w14:paraId="6AA0E1BA">
      <w:pPr>
        <w:keepNext w:val="0"/>
        <w:keepLines w:val="0"/>
        <w:pageBreakBefore w:val="0"/>
        <w:widowControl/>
        <w:suppressLineNumbers w:val="0"/>
        <w:kinsoku/>
        <w:wordWrap/>
        <w:overflowPunct/>
        <w:topLinePunct w:val="0"/>
        <w:bidi w:val="0"/>
        <w:snapToGrid/>
        <w:spacing w:line="588" w:lineRule="exact"/>
        <w:ind w:firstLine="680" w:firstLineChars="200"/>
        <w:jc w:val="left"/>
        <w:textAlignment w:val="auto"/>
        <w:rPr>
          <w:rFonts w:hint="default" w:ascii="Times New Roman" w:hAnsi="Times New Roman" w:eastAsia="仿宋" w:cs="Times New Roman"/>
          <w:b w:val="0"/>
          <w:bCs/>
          <w:color w:val="000000"/>
          <w:spacing w:val="0"/>
          <w:sz w:val="34"/>
          <w:szCs w:val="34"/>
          <w:highlight w:val="none"/>
          <w:lang w:val="en-US" w:eastAsia="zh-CN"/>
        </w:rPr>
      </w:pPr>
      <w:r>
        <w:rPr>
          <w:rFonts w:hint="default" w:ascii="Times New Roman" w:hAnsi="Times New Roman" w:eastAsia="仿宋" w:cs="Times New Roman"/>
          <w:b w:val="0"/>
          <w:bCs/>
          <w:color w:val="auto"/>
          <w:spacing w:val="0"/>
          <w:kern w:val="0"/>
          <w:sz w:val="34"/>
          <w:szCs w:val="34"/>
          <w:lang w:val="en-US" w:eastAsia="zh-CN"/>
        </w:rPr>
        <w:t>2024年，</w:t>
      </w:r>
      <w:r>
        <w:rPr>
          <w:rFonts w:hint="default" w:ascii="Times New Roman" w:hAnsi="Times New Roman" w:eastAsia="仿宋" w:cs="Times New Roman"/>
          <w:b w:val="0"/>
          <w:bCs/>
          <w:spacing w:val="0"/>
          <w:kern w:val="0"/>
          <w:sz w:val="34"/>
          <w:szCs w:val="34"/>
          <w:lang w:eastAsia="zh-CN"/>
        </w:rPr>
        <w:t>区国资委坚持以习近</w:t>
      </w:r>
      <w:r>
        <w:rPr>
          <w:rFonts w:hint="default" w:ascii="Times New Roman" w:hAnsi="Times New Roman" w:eastAsia="仿宋" w:cs="Times New Roman"/>
          <w:b w:val="0"/>
          <w:bCs/>
          <w:spacing w:val="0"/>
          <w:kern w:val="0"/>
          <w:sz w:val="34"/>
          <w:szCs w:val="34"/>
          <w:highlight w:val="none"/>
          <w:lang w:eastAsia="zh-CN"/>
        </w:rPr>
        <w:t>平新时代中国特色社会主义思想为指导，深入学习贯彻习近平法治思想，紧紧围绕区委、区政府关于全面依法治区的重要决策部署，将法治政府建设融入国资监管工作日常，广泛开展普法宣传培训，不断完善监管体系、规章制度，持续提升依法监管效能和依法治企能力，为国有企业深化改革提供坚实法治保障</w:t>
      </w:r>
      <w:r>
        <w:rPr>
          <w:rFonts w:hint="default" w:ascii="Times New Roman" w:hAnsi="Times New Roman" w:eastAsia="仿宋" w:cs="Times New Roman"/>
          <w:b w:val="0"/>
          <w:bCs/>
          <w:spacing w:val="0"/>
          <w:kern w:val="0"/>
          <w:sz w:val="34"/>
          <w:szCs w:val="34"/>
          <w:highlight w:val="none"/>
        </w:rPr>
        <w:t>。</w:t>
      </w:r>
      <w:r>
        <w:rPr>
          <w:rFonts w:hint="default" w:ascii="Times New Roman" w:hAnsi="Times New Roman" w:eastAsia="仿宋" w:cs="Times New Roman"/>
          <w:b w:val="0"/>
          <w:bCs/>
          <w:color w:val="000000"/>
          <w:spacing w:val="0"/>
          <w:sz w:val="34"/>
          <w:szCs w:val="34"/>
          <w:highlight w:val="none"/>
          <w:lang w:val="en-US" w:eastAsia="zh-CN"/>
        </w:rPr>
        <w:t>现将</w:t>
      </w:r>
      <w:r>
        <w:rPr>
          <w:rFonts w:hint="default" w:ascii="Times New Roman" w:hAnsi="Times New Roman" w:eastAsia="仿宋" w:cs="Times New Roman"/>
          <w:b w:val="0"/>
          <w:bCs/>
          <w:color w:val="auto"/>
          <w:spacing w:val="0"/>
          <w:kern w:val="0"/>
          <w:sz w:val="34"/>
          <w:szCs w:val="34"/>
          <w:highlight w:val="none"/>
          <w:lang w:val="en-US" w:eastAsia="zh-CN"/>
        </w:rPr>
        <w:t>2024</w:t>
      </w:r>
      <w:r>
        <w:rPr>
          <w:rFonts w:hint="default" w:ascii="Times New Roman" w:hAnsi="Times New Roman" w:eastAsia="仿宋" w:cs="Times New Roman"/>
          <w:b w:val="0"/>
          <w:bCs/>
          <w:color w:val="auto"/>
          <w:spacing w:val="0"/>
          <w:sz w:val="34"/>
          <w:szCs w:val="34"/>
          <w:highlight w:val="none"/>
          <w:lang w:val="en-US" w:eastAsia="zh-CN"/>
        </w:rPr>
        <w:t>年</w:t>
      </w:r>
      <w:r>
        <w:rPr>
          <w:rFonts w:hint="default" w:ascii="Times New Roman" w:hAnsi="Times New Roman" w:eastAsia="仿宋" w:cs="Times New Roman"/>
          <w:b w:val="0"/>
          <w:bCs/>
          <w:color w:val="000000"/>
          <w:spacing w:val="0"/>
          <w:sz w:val="34"/>
          <w:szCs w:val="34"/>
          <w:highlight w:val="none"/>
          <w:lang w:val="en-US" w:eastAsia="zh-CN"/>
        </w:rPr>
        <w:t>度法治政府建设情况报告如下：</w:t>
      </w:r>
    </w:p>
    <w:p w14:paraId="4A9E44CC">
      <w:pPr>
        <w:pStyle w:val="10"/>
        <w:keepNext w:val="0"/>
        <w:keepLines w:val="0"/>
        <w:pageBreakBefore w:val="0"/>
        <w:widowControl w:val="0"/>
        <w:kinsoku/>
        <w:wordWrap/>
        <w:overflowPunct/>
        <w:topLinePunct w:val="0"/>
        <w:autoSpaceDE w:val="0"/>
        <w:autoSpaceDN w:val="0"/>
        <w:bidi w:val="0"/>
        <w:adjustRightInd w:val="0"/>
        <w:snapToGrid/>
        <w:spacing w:line="588" w:lineRule="exact"/>
        <w:ind w:firstLine="680" w:firstLineChars="200"/>
        <w:jc w:val="left"/>
        <w:textAlignment w:val="auto"/>
        <w:rPr>
          <w:rFonts w:hint="default" w:ascii="Times New Roman" w:hAnsi="Times New Roman" w:eastAsia="黑体" w:cs="Times New Roman"/>
          <w:b w:val="0"/>
          <w:bCs/>
          <w:color w:val="auto"/>
          <w:spacing w:val="0"/>
          <w:kern w:val="0"/>
          <w:sz w:val="34"/>
          <w:szCs w:val="34"/>
          <w:highlight w:val="none"/>
          <w:lang w:val="en-US" w:eastAsia="zh-CN" w:bidi="ar-SA"/>
        </w:rPr>
      </w:pPr>
      <w:r>
        <w:rPr>
          <w:rFonts w:hint="default" w:ascii="Times New Roman" w:hAnsi="Times New Roman" w:eastAsia="黑体" w:cs="Times New Roman"/>
          <w:b w:val="0"/>
          <w:bCs/>
          <w:color w:val="auto"/>
          <w:spacing w:val="0"/>
          <w:kern w:val="0"/>
          <w:sz w:val="34"/>
          <w:szCs w:val="34"/>
          <w:highlight w:val="none"/>
          <w:lang w:val="en-US" w:eastAsia="zh-CN" w:bidi="ar-SA"/>
        </w:rPr>
        <w:t>一、</w:t>
      </w:r>
      <w:r>
        <w:rPr>
          <w:rFonts w:hint="default" w:ascii="Times New Roman" w:hAnsi="Times New Roman" w:eastAsia="黑体" w:cs="Times New Roman"/>
          <w:b w:val="0"/>
          <w:bCs/>
          <w:color w:val="auto"/>
          <w:spacing w:val="0"/>
          <w:kern w:val="0"/>
          <w:sz w:val="34"/>
          <w:szCs w:val="34"/>
          <w:highlight w:val="none"/>
          <w:lang w:val="en-US" w:eastAsia="zh-CN"/>
        </w:rPr>
        <w:t>2024</w:t>
      </w:r>
      <w:r>
        <w:rPr>
          <w:rFonts w:hint="default" w:ascii="Times New Roman" w:hAnsi="Times New Roman" w:eastAsia="黑体" w:cs="Times New Roman"/>
          <w:b w:val="0"/>
          <w:bCs/>
          <w:color w:val="auto"/>
          <w:spacing w:val="0"/>
          <w:kern w:val="0"/>
          <w:sz w:val="34"/>
          <w:szCs w:val="34"/>
          <w:highlight w:val="none"/>
          <w:lang w:val="en-US" w:eastAsia="zh-CN" w:bidi="ar-SA"/>
        </w:rPr>
        <w:t>年推进法治政府建设的主要举措和成效</w:t>
      </w:r>
    </w:p>
    <w:p w14:paraId="5BC45FB4">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588" w:lineRule="exact"/>
        <w:ind w:firstLine="680" w:firstLineChars="200"/>
        <w:jc w:val="left"/>
        <w:textAlignment w:val="auto"/>
        <w:rPr>
          <w:rFonts w:hint="default" w:ascii="Times New Roman" w:hAnsi="Times New Roman" w:eastAsia="楷体" w:cs="Times New Roman"/>
          <w:b w:val="0"/>
          <w:bCs/>
          <w:snapToGrid w:val="0"/>
          <w:color w:val="auto"/>
          <w:spacing w:val="0"/>
          <w:kern w:val="0"/>
          <w:sz w:val="34"/>
          <w:szCs w:val="34"/>
          <w:highlight w:val="none"/>
          <w:u w:val="none"/>
          <w:lang w:val="en-US" w:eastAsia="zh-CN"/>
        </w:rPr>
      </w:pPr>
      <w:r>
        <w:rPr>
          <w:rFonts w:hint="default" w:ascii="Times New Roman" w:hAnsi="Times New Roman" w:eastAsia="楷体" w:cs="Times New Roman"/>
          <w:b w:val="0"/>
          <w:bCs/>
          <w:snapToGrid w:val="0"/>
          <w:color w:val="auto"/>
          <w:spacing w:val="0"/>
          <w:kern w:val="0"/>
          <w:sz w:val="34"/>
          <w:szCs w:val="34"/>
          <w:highlight w:val="none"/>
          <w:u w:val="none"/>
          <w:lang w:val="en-US" w:eastAsia="zh-CN"/>
        </w:rPr>
        <w:t>（一）依法行权履职</w:t>
      </w:r>
    </w:p>
    <w:p w14:paraId="179316CE">
      <w:pPr>
        <w:keepNext w:val="0"/>
        <w:keepLines w:val="0"/>
        <w:pageBreakBefore w:val="0"/>
        <w:widowControl w:val="0"/>
        <w:kinsoku/>
        <w:wordWrap/>
        <w:overflowPunct/>
        <w:topLinePunct w:val="0"/>
        <w:autoSpaceDE/>
        <w:autoSpaceDN/>
        <w:bidi w:val="0"/>
        <w:adjustRightInd/>
        <w:snapToGrid/>
        <w:spacing w:line="588" w:lineRule="exact"/>
        <w:ind w:firstLine="683" w:firstLineChars="200"/>
        <w:jc w:val="left"/>
        <w:textAlignment w:val="auto"/>
        <w:rPr>
          <w:rFonts w:hint="default" w:ascii="Times New Roman" w:hAnsi="Times New Roman" w:eastAsia="仿宋" w:cs="Times New Roman"/>
          <w:b w:val="0"/>
          <w:bCs/>
          <w:spacing w:val="0"/>
          <w:sz w:val="34"/>
          <w:szCs w:val="34"/>
          <w:highlight w:val="none"/>
          <w:lang w:val="en-US" w:eastAsia="zh-CN"/>
        </w:rPr>
      </w:pPr>
      <w:r>
        <w:rPr>
          <w:rFonts w:hint="default" w:ascii="Times New Roman" w:hAnsi="Times New Roman" w:eastAsia="仿宋" w:cs="Times New Roman"/>
          <w:b/>
          <w:bCs w:val="0"/>
          <w:spacing w:val="0"/>
          <w:sz w:val="34"/>
          <w:szCs w:val="34"/>
          <w:highlight w:val="none"/>
          <w:shd w:val="clear" w:color="auto" w:fill="auto"/>
          <w:lang w:val="en-US" w:eastAsia="zh-CN"/>
        </w:rPr>
        <w:t>一是优化国有资本布局</w:t>
      </w:r>
      <w:r>
        <w:rPr>
          <w:rFonts w:hint="default" w:ascii="Times New Roman" w:hAnsi="Times New Roman" w:eastAsia="仿宋" w:cs="Times New Roman"/>
          <w:b/>
          <w:bCs w:val="0"/>
          <w:color w:val="auto"/>
          <w:spacing w:val="0"/>
          <w:sz w:val="34"/>
          <w:szCs w:val="34"/>
          <w:highlight w:val="none"/>
          <w:shd w:val="clear" w:color="auto" w:fill="auto"/>
          <w:lang w:val="en-US" w:eastAsia="zh-CN"/>
        </w:rPr>
        <w:t>。</w:t>
      </w:r>
      <w:r>
        <w:rPr>
          <w:rFonts w:hint="default" w:ascii="Times New Roman" w:hAnsi="Times New Roman" w:eastAsia="仿宋" w:cs="Times New Roman"/>
          <w:b w:val="0"/>
          <w:bCs/>
          <w:color w:val="auto"/>
          <w:spacing w:val="0"/>
          <w:sz w:val="34"/>
          <w:szCs w:val="34"/>
          <w:highlight w:val="none"/>
          <w:shd w:val="clear" w:color="auto" w:fill="auto"/>
          <w:lang w:val="en-US" w:eastAsia="zh-CN"/>
        </w:rPr>
        <w:t>严格履行出资人监管职责，指导城服公司整合同质化业务板块，3家企业完成“三项制度改革”；注销空壳低效企业12家，2家企业完成混改，3家企业完成股权转让；剥离城投公司土地整理职能，推动其</w:t>
      </w:r>
      <w:r>
        <w:rPr>
          <w:rFonts w:hint="default" w:ascii="Times New Roman" w:hAnsi="Times New Roman" w:eastAsia="仿宋" w:cs="Times New Roman"/>
          <w:b w:val="0"/>
          <w:bCs/>
          <w:spacing w:val="0"/>
          <w:sz w:val="34"/>
          <w:szCs w:val="34"/>
          <w:highlight w:val="none"/>
          <w:shd w:val="clear" w:color="auto" w:fill="auto"/>
          <w:lang w:val="en-US" w:eastAsia="zh-CN"/>
        </w:rPr>
        <w:t>向商业二类企业转型；配备5名企业领导班子成员，区属国企董事会、经理层建设更加完备。</w:t>
      </w:r>
      <w:r>
        <w:rPr>
          <w:rFonts w:hint="default" w:ascii="Times New Roman" w:hAnsi="Times New Roman" w:eastAsia="仿宋" w:cs="Times New Roman"/>
          <w:b/>
          <w:bCs w:val="0"/>
          <w:spacing w:val="0"/>
          <w:sz w:val="34"/>
          <w:szCs w:val="34"/>
          <w:highlight w:val="none"/>
          <w:shd w:val="clear" w:color="auto" w:fill="auto"/>
          <w:lang w:val="en-US" w:eastAsia="zh-CN"/>
        </w:rPr>
        <w:t>二是完善国资监管体制。</w:t>
      </w:r>
      <w:r>
        <w:rPr>
          <w:rFonts w:hint="default" w:ascii="Times New Roman" w:hAnsi="Times New Roman" w:eastAsia="仿宋" w:cs="Times New Roman"/>
          <w:b w:val="0"/>
          <w:bCs/>
          <w:spacing w:val="0"/>
          <w:sz w:val="34"/>
          <w:szCs w:val="34"/>
          <w:highlight w:val="none"/>
          <w:shd w:val="clear" w:color="auto" w:fill="auto"/>
          <w:lang w:val="en-US" w:eastAsia="zh-CN"/>
        </w:rPr>
        <w:t>对照新《公司法》关于国有企业的特别规定，结合我区实际编订《南开区区属企业公司章程指引》，指导企业规范章程内容，强化章程约束；制定《南开区国资委深化国有企业监事会改革实施方案》，召开监事会改革推动会，优化企业监督体系建设。</w:t>
      </w:r>
      <w:r>
        <w:rPr>
          <w:rFonts w:hint="default" w:ascii="Times New Roman" w:hAnsi="Times New Roman" w:eastAsia="仿宋" w:cs="Times New Roman"/>
          <w:b/>
          <w:bCs w:val="0"/>
          <w:spacing w:val="0"/>
          <w:sz w:val="34"/>
          <w:szCs w:val="34"/>
          <w:highlight w:val="none"/>
          <w:shd w:val="clear" w:color="auto" w:fill="auto"/>
          <w:lang w:val="en-US" w:eastAsia="zh-CN"/>
        </w:rPr>
        <w:t>三是维护国有资产安全。</w:t>
      </w:r>
      <w:r>
        <w:rPr>
          <w:rFonts w:hint="default" w:ascii="Times New Roman" w:hAnsi="Times New Roman" w:eastAsia="仿宋" w:cs="Times New Roman"/>
          <w:b w:val="0"/>
          <w:bCs/>
          <w:spacing w:val="0"/>
          <w:sz w:val="34"/>
          <w:szCs w:val="34"/>
          <w:highlight w:val="none"/>
          <w:shd w:val="clear" w:color="auto" w:fill="auto"/>
          <w:lang w:val="en-US" w:eastAsia="zh-CN"/>
        </w:rPr>
        <w:t>依法整治“跑冒滴漏”，指导企业通过法律手段清理“二房东”、追缴欠款；落实《安全生产法》要求，制定《安全生产攻坚治本三年行动方案》子方案，进行安全生产检查14轮，下发整改提示函10件，督促指导企业完成应急消防演练5次，整改重大隐患3处。</w:t>
      </w:r>
    </w:p>
    <w:p w14:paraId="61E22162">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588" w:lineRule="exact"/>
        <w:ind w:firstLine="680" w:firstLineChars="200"/>
        <w:jc w:val="left"/>
        <w:textAlignment w:val="auto"/>
        <w:rPr>
          <w:rFonts w:hint="default" w:ascii="Times New Roman" w:hAnsi="Times New Roman" w:eastAsia="楷体" w:cs="Times New Roman"/>
          <w:b w:val="0"/>
          <w:bCs/>
          <w:snapToGrid w:val="0"/>
          <w:color w:val="auto"/>
          <w:spacing w:val="0"/>
          <w:kern w:val="0"/>
          <w:sz w:val="34"/>
          <w:szCs w:val="34"/>
          <w:highlight w:val="none"/>
          <w:u w:val="none"/>
          <w:lang w:val="en-US" w:eastAsia="zh-CN"/>
        </w:rPr>
      </w:pPr>
      <w:r>
        <w:rPr>
          <w:rFonts w:hint="default" w:ascii="Times New Roman" w:hAnsi="Times New Roman" w:eastAsia="楷体" w:cs="Times New Roman"/>
          <w:b w:val="0"/>
          <w:bCs/>
          <w:snapToGrid w:val="0"/>
          <w:color w:val="auto"/>
          <w:spacing w:val="0"/>
          <w:kern w:val="0"/>
          <w:sz w:val="34"/>
          <w:szCs w:val="34"/>
          <w:highlight w:val="none"/>
          <w:u w:val="none"/>
          <w:lang w:val="en-US" w:eastAsia="zh-CN"/>
        </w:rPr>
        <w:t>（二）依法合规治企</w:t>
      </w:r>
    </w:p>
    <w:p w14:paraId="55B0D738">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588" w:lineRule="exact"/>
        <w:ind w:firstLine="683" w:firstLineChars="200"/>
        <w:jc w:val="left"/>
        <w:textAlignment w:val="auto"/>
        <w:rPr>
          <w:rFonts w:hint="default" w:ascii="Times New Roman" w:hAnsi="Times New Roman" w:eastAsia="仿宋" w:cs="Times New Roman"/>
          <w:b w:val="0"/>
          <w:bCs/>
          <w:snapToGrid w:val="0"/>
          <w:color w:val="auto"/>
          <w:spacing w:val="0"/>
          <w:kern w:val="0"/>
          <w:sz w:val="34"/>
          <w:szCs w:val="34"/>
          <w:highlight w:val="none"/>
          <w:u w:val="none"/>
          <w:lang w:val="en-US" w:eastAsia="zh-CN"/>
        </w:rPr>
      </w:pPr>
      <w:r>
        <w:rPr>
          <w:rFonts w:hint="default" w:ascii="Times New Roman" w:hAnsi="Times New Roman" w:eastAsia="仿宋" w:cs="Times New Roman"/>
          <w:b/>
          <w:bCs w:val="0"/>
          <w:snapToGrid w:val="0"/>
          <w:color w:val="auto"/>
          <w:spacing w:val="0"/>
          <w:kern w:val="0"/>
          <w:sz w:val="34"/>
          <w:szCs w:val="34"/>
          <w:highlight w:val="none"/>
          <w:u w:val="none"/>
          <w:lang w:val="en-US" w:eastAsia="zh-CN"/>
        </w:rPr>
        <w:t>一是理顺权责关系</w:t>
      </w:r>
      <w:r>
        <w:rPr>
          <w:rFonts w:hint="default" w:ascii="Times New Roman" w:hAnsi="Times New Roman" w:eastAsia="仿宋" w:cs="Times New Roman"/>
          <w:b w:val="0"/>
          <w:bCs/>
          <w:snapToGrid w:val="0"/>
          <w:color w:val="auto"/>
          <w:spacing w:val="0"/>
          <w:kern w:val="0"/>
          <w:sz w:val="34"/>
          <w:szCs w:val="34"/>
          <w:highlight w:val="none"/>
          <w:u w:val="none"/>
          <w:lang w:val="en-US" w:eastAsia="zh-CN"/>
        </w:rPr>
        <w:t>。结合国资监管工作变化，修订《出资人监管权责清单》《重大事项报告管理办法》等</w:t>
      </w:r>
      <w:r>
        <w:rPr>
          <w:rFonts w:hint="default" w:ascii="Times New Roman" w:hAnsi="Times New Roman" w:eastAsia="仿宋" w:cs="Times New Roman"/>
          <w:b w:val="0"/>
          <w:bCs/>
          <w:color w:val="auto"/>
          <w:spacing w:val="0"/>
          <w:kern w:val="2"/>
          <w:sz w:val="34"/>
          <w:szCs w:val="34"/>
          <w:shd w:val="clear" w:color="auto" w:fill="auto"/>
          <w:lang w:val="en-US" w:eastAsia="zh-CN" w:bidi="ar-SA"/>
        </w:rPr>
        <w:t>制度文件，明晰权责边界、监管边界。</w:t>
      </w:r>
      <w:r>
        <w:rPr>
          <w:rFonts w:hint="default" w:ascii="Times New Roman" w:hAnsi="Times New Roman" w:eastAsia="仿宋" w:cs="Times New Roman"/>
          <w:b/>
          <w:bCs w:val="0"/>
          <w:snapToGrid w:val="0"/>
          <w:color w:val="auto"/>
          <w:spacing w:val="0"/>
          <w:kern w:val="0"/>
          <w:sz w:val="34"/>
          <w:szCs w:val="34"/>
          <w:highlight w:val="none"/>
          <w:u w:val="none"/>
          <w:lang w:val="en-US" w:eastAsia="zh-CN"/>
        </w:rPr>
        <w:t>二是巩固抗风险能力。</w:t>
      </w:r>
      <w:r>
        <w:rPr>
          <w:rFonts w:hint="default" w:ascii="Times New Roman" w:hAnsi="Times New Roman" w:eastAsia="仿宋" w:cs="Times New Roman"/>
          <w:color w:val="auto"/>
          <w:spacing w:val="0"/>
          <w:kern w:val="2"/>
          <w:sz w:val="34"/>
          <w:szCs w:val="34"/>
          <w:highlight w:val="none"/>
          <w:u w:val="none"/>
          <w:lang w:val="en-US" w:eastAsia="zh-CN" w:bidi="ar-SA"/>
        </w:rPr>
        <w:t>以科创、天河2家平台公司为试点，明确各层级企业资产评估、产权转让事项的主体责任和操作流程</w:t>
      </w:r>
      <w:r>
        <w:rPr>
          <w:rFonts w:hint="default" w:ascii="Times New Roman" w:hAnsi="Times New Roman" w:eastAsia="仿宋" w:cs="Times New Roman"/>
          <w:b w:val="0"/>
          <w:bCs/>
          <w:snapToGrid w:val="0"/>
          <w:color w:val="auto"/>
          <w:spacing w:val="0"/>
          <w:kern w:val="0"/>
          <w:sz w:val="34"/>
          <w:szCs w:val="34"/>
          <w:highlight w:val="none"/>
          <w:u w:val="none"/>
          <w:lang w:val="en-US" w:eastAsia="zh-CN"/>
        </w:rPr>
        <w:t>；结合</w:t>
      </w:r>
      <w:r>
        <w:rPr>
          <w:rFonts w:hint="default" w:ascii="Times New Roman" w:hAnsi="Times New Roman" w:eastAsia="仿宋" w:cs="Times New Roman"/>
          <w:color w:val="auto"/>
          <w:spacing w:val="0"/>
          <w:sz w:val="34"/>
          <w:szCs w:val="34"/>
        </w:rPr>
        <w:t>债务风险防控需要，</w:t>
      </w:r>
      <w:r>
        <w:rPr>
          <w:rFonts w:hint="default" w:ascii="Times New Roman" w:hAnsi="Times New Roman" w:eastAsia="仿宋" w:cs="Times New Roman"/>
          <w:b w:val="0"/>
          <w:bCs/>
          <w:snapToGrid w:val="0"/>
          <w:color w:val="auto"/>
          <w:spacing w:val="0"/>
          <w:kern w:val="0"/>
          <w:sz w:val="34"/>
          <w:szCs w:val="34"/>
          <w:highlight w:val="none"/>
          <w:u w:val="none"/>
          <w:lang w:val="en-US" w:eastAsia="zh-CN"/>
        </w:rPr>
        <w:t>制定《区属国有企业债务风险预警体系实施办法（试行）》，指导企业</w:t>
      </w:r>
      <w:r>
        <w:rPr>
          <w:rFonts w:hint="default" w:ascii="Times New Roman" w:hAnsi="Times New Roman" w:eastAsia="仿宋" w:cs="Times New Roman"/>
          <w:color w:val="auto"/>
          <w:spacing w:val="0"/>
          <w:sz w:val="34"/>
          <w:szCs w:val="34"/>
        </w:rPr>
        <w:t>科学评估债务风险，</w:t>
      </w:r>
      <w:r>
        <w:rPr>
          <w:rFonts w:hint="default" w:ascii="Times New Roman" w:hAnsi="Times New Roman" w:eastAsia="仿宋" w:cs="Times New Roman"/>
          <w:b w:val="0"/>
          <w:bCs/>
          <w:snapToGrid w:val="0"/>
          <w:color w:val="auto"/>
          <w:spacing w:val="0"/>
          <w:kern w:val="0"/>
          <w:sz w:val="34"/>
          <w:szCs w:val="34"/>
          <w:highlight w:val="none"/>
          <w:u w:val="none"/>
          <w:lang w:val="en-US" w:eastAsia="zh-CN"/>
        </w:rPr>
        <w:t>强化事前防控</w:t>
      </w:r>
      <w:r>
        <w:rPr>
          <w:rFonts w:hint="default" w:ascii="Times New Roman" w:hAnsi="Times New Roman" w:eastAsia="仿宋" w:cs="Times New Roman"/>
          <w:color w:val="auto"/>
          <w:spacing w:val="0"/>
          <w:sz w:val="34"/>
          <w:szCs w:val="34"/>
          <w:lang w:eastAsia="zh-CN"/>
        </w:rPr>
        <w:t>。</w:t>
      </w:r>
      <w:r>
        <w:rPr>
          <w:rFonts w:hint="default" w:ascii="Times New Roman" w:hAnsi="Times New Roman" w:eastAsia="仿宋" w:cs="Times New Roman"/>
          <w:b/>
          <w:bCs/>
          <w:color w:val="auto"/>
          <w:spacing w:val="0"/>
          <w:sz w:val="34"/>
          <w:szCs w:val="34"/>
          <w:lang w:eastAsia="zh-CN"/>
        </w:rPr>
        <w:t>三是提高指导企业力度</w:t>
      </w:r>
      <w:r>
        <w:rPr>
          <w:rFonts w:hint="default" w:ascii="Times New Roman" w:hAnsi="Times New Roman" w:eastAsia="仿宋" w:cs="Times New Roman"/>
          <w:color w:val="auto"/>
          <w:spacing w:val="0"/>
          <w:sz w:val="34"/>
          <w:szCs w:val="34"/>
          <w:lang w:eastAsia="zh-CN"/>
        </w:rPr>
        <w:t>。指导新设平台公司</w:t>
      </w:r>
      <w:r>
        <w:rPr>
          <w:rFonts w:hint="default" w:ascii="Times New Roman" w:hAnsi="Times New Roman" w:eastAsia="仿宋" w:cs="Times New Roman"/>
          <w:color w:val="auto"/>
          <w:spacing w:val="0"/>
          <w:sz w:val="34"/>
          <w:szCs w:val="34"/>
          <w:highlight w:val="none"/>
          <w:lang w:val="en-US" w:eastAsia="zh-CN"/>
        </w:rPr>
        <w:t>建立健全</w:t>
      </w:r>
      <w:r>
        <w:rPr>
          <w:rFonts w:hint="default" w:ascii="Times New Roman" w:hAnsi="Times New Roman" w:eastAsia="仿宋" w:cs="Times New Roman"/>
          <w:color w:val="auto"/>
          <w:spacing w:val="0"/>
          <w:sz w:val="34"/>
          <w:szCs w:val="34"/>
          <w:lang w:eastAsia="zh-CN"/>
        </w:rPr>
        <w:t>“</w:t>
      </w:r>
      <w:r>
        <w:rPr>
          <w:rFonts w:hint="default" w:ascii="Times New Roman" w:hAnsi="Times New Roman" w:eastAsia="仿宋" w:cs="Times New Roman"/>
          <w:color w:val="auto"/>
          <w:spacing w:val="0"/>
          <w:sz w:val="34"/>
          <w:szCs w:val="34"/>
          <w:lang w:val="en-US" w:eastAsia="zh-CN"/>
        </w:rPr>
        <w:t>1+3</w:t>
      </w:r>
      <w:r>
        <w:rPr>
          <w:rFonts w:hint="default" w:ascii="Times New Roman" w:hAnsi="Times New Roman" w:eastAsia="仿宋" w:cs="Times New Roman"/>
          <w:color w:val="auto"/>
          <w:spacing w:val="0"/>
          <w:sz w:val="34"/>
          <w:szCs w:val="34"/>
          <w:lang w:eastAsia="zh-CN"/>
        </w:rPr>
        <w:t>”权责事项，完善“三会”议事规</w:t>
      </w:r>
      <w:r>
        <w:rPr>
          <w:rFonts w:hint="default" w:ascii="Times New Roman" w:hAnsi="Times New Roman" w:eastAsia="仿宋" w:cs="Times New Roman"/>
          <w:color w:val="auto"/>
          <w:spacing w:val="0"/>
          <w:sz w:val="34"/>
          <w:szCs w:val="34"/>
          <w:highlight w:val="none"/>
          <w:lang w:eastAsia="zh-CN"/>
        </w:rPr>
        <w:t>则</w:t>
      </w:r>
      <w:r>
        <w:rPr>
          <w:rFonts w:hint="default" w:ascii="Times New Roman" w:hAnsi="Times New Roman" w:eastAsia="仿宋" w:cs="Times New Roman"/>
          <w:color w:val="auto"/>
          <w:spacing w:val="0"/>
          <w:sz w:val="34"/>
          <w:szCs w:val="34"/>
          <w:highlight w:val="none"/>
          <w:lang w:val="en-US" w:eastAsia="zh-CN"/>
        </w:rPr>
        <w:t>，规范董事会向经理层授权制度</w:t>
      </w:r>
      <w:r>
        <w:rPr>
          <w:rFonts w:hint="default" w:ascii="Times New Roman" w:hAnsi="Times New Roman" w:eastAsia="仿宋" w:cs="Times New Roman"/>
          <w:color w:val="auto"/>
          <w:spacing w:val="0"/>
          <w:sz w:val="34"/>
          <w:szCs w:val="34"/>
          <w:highlight w:val="none"/>
          <w:lang w:eastAsia="zh-CN"/>
        </w:rPr>
        <w:t>，确保决策流程协调有序；指导城服公司、天河公司、西区公司等</w:t>
      </w:r>
      <w:r>
        <w:rPr>
          <w:rFonts w:hint="default" w:ascii="Times New Roman" w:hAnsi="Times New Roman" w:eastAsia="仿宋" w:cs="Times New Roman"/>
          <w:color w:val="auto"/>
          <w:spacing w:val="0"/>
          <w:kern w:val="2"/>
          <w:sz w:val="34"/>
          <w:szCs w:val="34"/>
          <w:highlight w:val="none"/>
          <w:u w:val="none"/>
          <w:lang w:val="en-US" w:eastAsia="zh-CN" w:bidi="ar-SA"/>
        </w:rPr>
        <w:t>3</w:t>
      </w:r>
      <w:r>
        <w:rPr>
          <w:rFonts w:hint="default" w:ascii="Times New Roman" w:hAnsi="Times New Roman" w:eastAsia="仿宋" w:cs="Times New Roman"/>
          <w:color w:val="auto"/>
          <w:spacing w:val="0"/>
          <w:sz w:val="34"/>
          <w:szCs w:val="34"/>
          <w:highlight w:val="none"/>
          <w:lang w:val="en-US" w:eastAsia="zh-CN"/>
        </w:rPr>
        <w:t>家企业</w:t>
      </w:r>
      <w:r>
        <w:rPr>
          <w:rFonts w:hint="default" w:ascii="Times New Roman" w:hAnsi="Times New Roman" w:eastAsia="仿宋" w:cs="Times New Roman"/>
          <w:color w:val="auto"/>
          <w:spacing w:val="0"/>
          <w:sz w:val="34"/>
          <w:szCs w:val="34"/>
          <w:highlight w:val="none"/>
          <w:lang w:eastAsia="zh-CN"/>
        </w:rPr>
        <w:t>建立健全全员绩</w:t>
      </w:r>
      <w:r>
        <w:rPr>
          <w:rFonts w:hint="default" w:ascii="Times New Roman" w:hAnsi="Times New Roman" w:eastAsia="仿宋" w:cs="Times New Roman"/>
          <w:color w:val="auto"/>
          <w:spacing w:val="0"/>
          <w:sz w:val="34"/>
          <w:szCs w:val="34"/>
          <w:lang w:eastAsia="zh-CN"/>
        </w:rPr>
        <w:t>效管理和考核制度，将“三项制度改革”由阶段性成果转化为长效管理机制。</w:t>
      </w:r>
    </w:p>
    <w:p w14:paraId="13C3A28D">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588" w:lineRule="exact"/>
        <w:ind w:firstLine="680" w:firstLineChars="200"/>
        <w:jc w:val="left"/>
        <w:textAlignment w:val="auto"/>
        <w:rPr>
          <w:rFonts w:hint="default" w:ascii="Times New Roman" w:hAnsi="Times New Roman" w:eastAsia="楷体" w:cs="Times New Roman"/>
          <w:b w:val="0"/>
          <w:bCs/>
          <w:snapToGrid w:val="0"/>
          <w:color w:val="auto"/>
          <w:spacing w:val="0"/>
          <w:kern w:val="0"/>
          <w:sz w:val="34"/>
          <w:szCs w:val="34"/>
          <w:highlight w:val="none"/>
          <w:u w:val="none"/>
          <w:lang w:val="en-US" w:eastAsia="zh-CN"/>
        </w:rPr>
      </w:pPr>
      <w:r>
        <w:rPr>
          <w:rFonts w:hint="default" w:ascii="Times New Roman" w:hAnsi="Times New Roman" w:eastAsia="楷体" w:cs="Times New Roman"/>
          <w:b w:val="0"/>
          <w:bCs/>
          <w:snapToGrid w:val="0"/>
          <w:color w:val="auto"/>
          <w:spacing w:val="0"/>
          <w:kern w:val="0"/>
          <w:sz w:val="34"/>
          <w:szCs w:val="34"/>
          <w:highlight w:val="none"/>
          <w:u w:val="none"/>
          <w:lang w:val="en-US" w:eastAsia="zh-CN"/>
        </w:rPr>
        <w:t>（三）强化依法监督</w:t>
      </w:r>
    </w:p>
    <w:p w14:paraId="42264919">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588" w:lineRule="exact"/>
        <w:ind w:firstLine="683" w:firstLineChars="200"/>
        <w:jc w:val="left"/>
        <w:textAlignment w:val="auto"/>
        <w:rPr>
          <w:rFonts w:hint="default" w:ascii="Times New Roman" w:hAnsi="Times New Roman" w:eastAsia="仿宋" w:cs="Times New Roman"/>
          <w:b w:val="0"/>
          <w:bCs/>
          <w:snapToGrid w:val="0"/>
          <w:color w:val="auto"/>
          <w:spacing w:val="0"/>
          <w:kern w:val="0"/>
          <w:sz w:val="34"/>
          <w:szCs w:val="34"/>
          <w:highlight w:val="none"/>
          <w:u w:val="none"/>
          <w:lang w:val="en-US" w:eastAsia="zh-CN"/>
        </w:rPr>
      </w:pPr>
      <w:r>
        <w:rPr>
          <w:rFonts w:hint="default" w:ascii="Times New Roman" w:hAnsi="Times New Roman" w:eastAsia="仿宋" w:cs="Times New Roman"/>
          <w:b/>
          <w:bCs/>
          <w:color w:val="auto"/>
          <w:spacing w:val="0"/>
          <w:sz w:val="34"/>
          <w:szCs w:val="34"/>
          <w:lang w:eastAsia="zh-CN"/>
        </w:rPr>
        <w:t>一是完善考核指标。</w:t>
      </w:r>
      <w:r>
        <w:rPr>
          <w:rFonts w:hint="default" w:ascii="Times New Roman" w:hAnsi="Times New Roman" w:eastAsia="仿宋" w:cs="Times New Roman"/>
          <w:b w:val="0"/>
          <w:bCs w:val="0"/>
          <w:color w:val="auto"/>
          <w:spacing w:val="0"/>
          <w:sz w:val="34"/>
          <w:szCs w:val="34"/>
          <w:lang w:eastAsia="zh-CN"/>
        </w:rPr>
        <w:t>优化</w:t>
      </w:r>
      <w:r>
        <w:rPr>
          <w:rFonts w:hint="default" w:ascii="Times New Roman" w:hAnsi="Times New Roman" w:eastAsia="仿宋" w:cs="Times New Roman"/>
          <w:color w:val="auto"/>
          <w:spacing w:val="0"/>
          <w:sz w:val="34"/>
          <w:szCs w:val="34"/>
          <w:lang w:eastAsia="zh-CN"/>
        </w:rPr>
        <w:t>企业负责人经营业绩考核方案，增加企业负责人盘活打样项目、减亏扭亏、招商引资、巡察整改、宣传曝光等分类考核指标，引导企业在稳底盘、促增长上勇挑大梁。</w:t>
      </w:r>
      <w:r>
        <w:rPr>
          <w:rFonts w:hint="default" w:ascii="Times New Roman" w:hAnsi="Times New Roman" w:eastAsia="仿宋" w:cs="Times New Roman"/>
          <w:b/>
          <w:bCs/>
          <w:color w:val="auto"/>
          <w:spacing w:val="0"/>
          <w:sz w:val="34"/>
          <w:szCs w:val="34"/>
          <w:lang w:val="en-US" w:eastAsia="zh-CN"/>
        </w:rPr>
        <w:t>二是建立内部审计制度。</w:t>
      </w:r>
      <w:r>
        <w:rPr>
          <w:rFonts w:hint="default" w:ascii="Times New Roman" w:hAnsi="Times New Roman" w:eastAsia="仿宋" w:cs="Times New Roman"/>
          <w:b w:val="0"/>
          <w:bCs w:val="0"/>
          <w:color w:val="auto"/>
          <w:spacing w:val="0"/>
          <w:sz w:val="34"/>
          <w:szCs w:val="34"/>
          <w:lang w:val="en-US" w:eastAsia="zh-CN"/>
        </w:rPr>
        <w:t>锚定以“管资本”为主的国有资产监管目标，全面推动区属国企建立内审网格，明确“一格两员</w:t>
      </w:r>
      <w:r>
        <w:rPr>
          <w:rFonts w:hint="default" w:ascii="Times New Roman" w:hAnsi="Times New Roman" w:eastAsia="仿宋" w:cs="Times New Roman"/>
          <w:b w:val="0"/>
          <w:bCs w:val="0"/>
          <w:color w:val="auto"/>
          <w:spacing w:val="0"/>
          <w:sz w:val="34"/>
          <w:szCs w:val="34"/>
          <w:highlight w:val="none"/>
          <w:lang w:val="en-US" w:eastAsia="zh-CN"/>
        </w:rPr>
        <w:t>”，进一步厘清国家审计、出资人审计和企业内部审计间的交叉环节。</w:t>
      </w:r>
      <w:r>
        <w:rPr>
          <w:rFonts w:hint="default" w:ascii="Times New Roman" w:hAnsi="Times New Roman" w:eastAsia="仿宋" w:cs="Times New Roman"/>
          <w:b w:val="0"/>
          <w:bCs w:val="0"/>
          <w:color w:val="auto"/>
          <w:spacing w:val="0"/>
          <w:sz w:val="34"/>
          <w:szCs w:val="34"/>
          <w:lang w:val="en-US" w:eastAsia="zh-CN"/>
        </w:rPr>
        <w:t>指导</w:t>
      </w:r>
      <w:r>
        <w:rPr>
          <w:rFonts w:hint="default" w:ascii="Times New Roman" w:hAnsi="Times New Roman" w:eastAsia="仿宋" w:cs="Times New Roman"/>
          <w:color w:val="auto"/>
          <w:spacing w:val="0"/>
          <w:sz w:val="34"/>
          <w:szCs w:val="34"/>
          <w:highlight w:val="none"/>
          <w:lang w:val="en-US" w:eastAsia="zh-CN"/>
        </w:rPr>
        <w:t>城投公司、科创公司和天河公司聘任总审计师，与城投公司、科创公司2家试点企业</w:t>
      </w:r>
      <w:r>
        <w:rPr>
          <w:rFonts w:hint="default" w:ascii="Times New Roman" w:hAnsi="Times New Roman" w:eastAsia="仿宋" w:cs="Times New Roman"/>
          <w:b w:val="0"/>
          <w:bCs w:val="0"/>
          <w:color w:val="auto"/>
          <w:spacing w:val="0"/>
          <w:sz w:val="34"/>
          <w:szCs w:val="34"/>
          <w:lang w:val="en-US" w:eastAsia="zh-CN"/>
        </w:rPr>
        <w:t>针对内部控制、风险管理等13项重点内容进行交叉互审，推动企业切实发挥内部监督重要作用</w:t>
      </w:r>
      <w:r>
        <w:rPr>
          <w:rFonts w:hint="default" w:ascii="Times New Roman" w:hAnsi="Times New Roman" w:eastAsia="仿宋" w:cs="Times New Roman"/>
          <w:color w:val="auto"/>
          <w:spacing w:val="0"/>
          <w:sz w:val="34"/>
          <w:szCs w:val="34"/>
          <w:highlight w:val="none"/>
          <w:lang w:val="en-US" w:eastAsia="zh-CN"/>
        </w:rPr>
        <w:t>。</w:t>
      </w:r>
    </w:p>
    <w:p w14:paraId="5BE357CF">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588" w:lineRule="exact"/>
        <w:ind w:firstLine="680" w:firstLineChars="200"/>
        <w:jc w:val="left"/>
        <w:textAlignment w:val="auto"/>
        <w:rPr>
          <w:rFonts w:hint="default" w:ascii="Times New Roman" w:hAnsi="Times New Roman" w:eastAsia="楷体" w:cs="Times New Roman"/>
          <w:b w:val="0"/>
          <w:bCs/>
          <w:snapToGrid w:val="0"/>
          <w:color w:val="auto"/>
          <w:spacing w:val="0"/>
          <w:kern w:val="0"/>
          <w:sz w:val="34"/>
          <w:szCs w:val="34"/>
          <w:highlight w:val="none"/>
          <w:u w:val="none"/>
          <w:lang w:val="en-US" w:eastAsia="zh-CN"/>
        </w:rPr>
      </w:pPr>
      <w:r>
        <w:rPr>
          <w:rFonts w:hint="default" w:ascii="Times New Roman" w:hAnsi="Times New Roman" w:eastAsia="楷体" w:cs="Times New Roman"/>
          <w:b w:val="0"/>
          <w:bCs/>
          <w:snapToGrid w:val="0"/>
          <w:color w:val="auto"/>
          <w:spacing w:val="0"/>
          <w:kern w:val="0"/>
          <w:sz w:val="34"/>
          <w:szCs w:val="34"/>
          <w:highlight w:val="none"/>
          <w:u w:val="none"/>
          <w:lang w:val="en-US" w:eastAsia="zh-CN"/>
        </w:rPr>
        <w:t>（四）推进法治建设</w:t>
      </w:r>
    </w:p>
    <w:p w14:paraId="3E7A0BF0">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588" w:lineRule="exact"/>
        <w:ind w:firstLine="683" w:firstLineChars="200"/>
        <w:jc w:val="left"/>
        <w:textAlignment w:val="auto"/>
        <w:rPr>
          <w:rFonts w:hint="default" w:ascii="Times New Roman" w:hAnsi="Times New Roman" w:eastAsia="仿宋" w:cs="Times New Roman"/>
          <w:color w:val="auto"/>
          <w:spacing w:val="0"/>
          <w:sz w:val="34"/>
          <w:szCs w:val="34"/>
          <w:lang w:val="en-US" w:eastAsia="zh-CN"/>
        </w:rPr>
      </w:pPr>
      <w:r>
        <w:rPr>
          <w:rFonts w:hint="default" w:ascii="Times New Roman" w:hAnsi="Times New Roman" w:eastAsia="仿宋" w:cs="Times New Roman"/>
          <w:b/>
          <w:bCs/>
          <w:color w:val="auto"/>
          <w:spacing w:val="0"/>
          <w:sz w:val="34"/>
          <w:szCs w:val="34"/>
          <w:lang w:val="en-US" w:eastAsia="zh-CN"/>
        </w:rPr>
        <w:t>一是严格落实依法决策机制。</w:t>
      </w:r>
      <w:r>
        <w:rPr>
          <w:rFonts w:hint="default" w:ascii="Times New Roman" w:hAnsi="Times New Roman" w:eastAsia="仿宋" w:cs="Times New Roman"/>
          <w:b w:val="0"/>
          <w:bCs w:val="0"/>
          <w:color w:val="auto"/>
          <w:spacing w:val="0"/>
          <w:sz w:val="34"/>
          <w:szCs w:val="34"/>
          <w:lang w:val="en-US" w:eastAsia="zh-CN"/>
        </w:rPr>
        <w:t>坚决执行“三重一大”决策规则，注重前期调研和科学论证</w:t>
      </w:r>
      <w:r>
        <w:rPr>
          <w:rFonts w:hint="default" w:ascii="Times New Roman" w:hAnsi="Times New Roman" w:eastAsia="仿宋" w:cs="Times New Roman"/>
          <w:b w:val="0"/>
          <w:bCs w:val="0"/>
          <w:color w:val="auto"/>
          <w:spacing w:val="0"/>
          <w:sz w:val="34"/>
          <w:szCs w:val="34"/>
          <w:highlight w:val="none"/>
          <w:lang w:val="en-US" w:eastAsia="zh-CN"/>
        </w:rPr>
        <w:t>，充分听取企业建议；落实法律顾问参与制度制定、重大事项决策等合法性审核制度，2024年全年邀请法律顾问参与研判及审查8次；建立出台《南开区国资委公平竞争内部审查工作机制》并对照执行，加强内部合法性审查。</w:t>
      </w:r>
      <w:r>
        <w:rPr>
          <w:rFonts w:hint="default" w:ascii="Times New Roman" w:hAnsi="Times New Roman" w:eastAsia="仿宋" w:cs="Times New Roman"/>
          <w:b/>
          <w:bCs/>
          <w:color w:val="auto"/>
          <w:spacing w:val="0"/>
          <w:sz w:val="34"/>
          <w:szCs w:val="34"/>
          <w:highlight w:val="none"/>
          <w:lang w:val="en-US" w:eastAsia="zh-CN"/>
        </w:rPr>
        <w:t>二是做好信息公开。</w:t>
      </w:r>
      <w:r>
        <w:rPr>
          <w:rFonts w:hint="default" w:ascii="Times New Roman" w:hAnsi="Times New Roman" w:eastAsia="仿宋" w:cs="Times New Roman"/>
          <w:b w:val="0"/>
          <w:bCs w:val="0"/>
          <w:color w:val="auto"/>
          <w:spacing w:val="0"/>
          <w:sz w:val="34"/>
          <w:szCs w:val="34"/>
          <w:highlight w:val="none"/>
          <w:lang w:val="en-US" w:eastAsia="zh-CN"/>
        </w:rPr>
        <w:t>通过区政府网站、“国资南开”微信公众号、微博等互联网平台主动发布国资国企改革发展动态26条，更新机构信息2条。答复依申请公开1份，回复信访及12345平台群众问题140余次，依法保障人民群众知情权、参与</w:t>
      </w:r>
      <w:r>
        <w:rPr>
          <w:rFonts w:hint="default" w:ascii="Times New Roman" w:hAnsi="Times New Roman" w:eastAsia="仿宋" w:cs="Times New Roman"/>
          <w:b w:val="0"/>
          <w:bCs w:val="0"/>
          <w:color w:val="auto"/>
          <w:spacing w:val="0"/>
          <w:sz w:val="34"/>
          <w:szCs w:val="34"/>
          <w:lang w:val="en-US" w:eastAsia="zh-CN"/>
        </w:rPr>
        <w:t>权和监督权。</w:t>
      </w:r>
    </w:p>
    <w:p w14:paraId="167F0D01">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588" w:lineRule="exact"/>
        <w:ind w:firstLine="680" w:firstLineChars="200"/>
        <w:jc w:val="left"/>
        <w:textAlignment w:val="auto"/>
        <w:rPr>
          <w:rFonts w:hint="default" w:ascii="Times New Roman" w:hAnsi="Times New Roman" w:eastAsia="楷体" w:cs="Times New Roman"/>
          <w:b w:val="0"/>
          <w:bCs/>
          <w:snapToGrid w:val="0"/>
          <w:color w:val="auto"/>
          <w:spacing w:val="0"/>
          <w:kern w:val="0"/>
          <w:sz w:val="34"/>
          <w:szCs w:val="34"/>
          <w:highlight w:val="none"/>
          <w:u w:val="none"/>
          <w:lang w:val="en-US" w:eastAsia="zh-CN"/>
        </w:rPr>
      </w:pPr>
      <w:r>
        <w:rPr>
          <w:rFonts w:hint="default" w:ascii="Times New Roman" w:hAnsi="Times New Roman" w:eastAsia="楷体" w:cs="Times New Roman"/>
          <w:b w:val="0"/>
          <w:bCs/>
          <w:snapToGrid w:val="0"/>
          <w:color w:val="auto"/>
          <w:spacing w:val="0"/>
          <w:kern w:val="0"/>
          <w:sz w:val="34"/>
          <w:szCs w:val="34"/>
          <w:highlight w:val="none"/>
          <w:u w:val="none"/>
          <w:lang w:val="en-US" w:eastAsia="zh-CN"/>
        </w:rPr>
        <w:t>（五）加强法律培训</w:t>
      </w:r>
    </w:p>
    <w:p w14:paraId="7A78FE08">
      <w:pPr>
        <w:pStyle w:val="7"/>
        <w:keepNext w:val="0"/>
        <w:keepLines w:val="0"/>
        <w:pageBreakBefore w:val="0"/>
        <w:widowControl w:val="0"/>
        <w:numPr>
          <w:ilvl w:val="0"/>
          <w:numId w:val="0"/>
        </w:numPr>
        <w:kinsoku/>
        <w:wordWrap/>
        <w:overflowPunct/>
        <w:topLinePunct w:val="0"/>
        <w:autoSpaceDE/>
        <w:autoSpaceDN/>
        <w:bidi w:val="0"/>
        <w:adjustRightInd/>
        <w:snapToGrid/>
        <w:spacing w:after="0" w:line="588" w:lineRule="exact"/>
        <w:ind w:leftChars="0" w:firstLine="683" w:firstLineChars="200"/>
        <w:jc w:val="left"/>
        <w:textAlignment w:val="auto"/>
        <w:rPr>
          <w:rFonts w:hint="default" w:ascii="Times New Roman" w:hAnsi="Times New Roman" w:eastAsia="仿宋" w:cs="Times New Roman"/>
          <w:b w:val="0"/>
          <w:bCs/>
          <w:spacing w:val="0"/>
          <w:sz w:val="34"/>
          <w:szCs w:val="34"/>
          <w:lang w:val="en-US" w:eastAsia="zh-CN"/>
        </w:rPr>
      </w:pPr>
      <w:r>
        <w:rPr>
          <w:rFonts w:hint="default" w:ascii="Times New Roman" w:hAnsi="Times New Roman" w:eastAsia="仿宋" w:cs="Times New Roman"/>
          <w:b/>
          <w:bCs w:val="0"/>
          <w:spacing w:val="0"/>
          <w:sz w:val="34"/>
          <w:szCs w:val="34"/>
          <w:lang w:val="en-US" w:eastAsia="zh-CN"/>
        </w:rPr>
        <w:t>一是建立健全国资系统学法制度。</w:t>
      </w:r>
      <w:r>
        <w:rPr>
          <w:rFonts w:hint="default" w:ascii="Times New Roman" w:hAnsi="Times New Roman" w:eastAsia="仿宋" w:cs="Times New Roman"/>
          <w:b w:val="0"/>
          <w:bCs/>
          <w:spacing w:val="0"/>
          <w:sz w:val="34"/>
          <w:szCs w:val="34"/>
          <w:lang w:val="en-US" w:eastAsia="zh-CN"/>
        </w:rPr>
        <w:t>制定《普法责任清单》《党内法规和法律法规应知应会清单》，做好年度普法工作部署，同步推动基本法规和国资专业法规的学习贯彻。</w:t>
      </w:r>
      <w:r>
        <w:rPr>
          <w:rFonts w:hint="default" w:ascii="Times New Roman" w:hAnsi="Times New Roman" w:eastAsia="仿宋" w:cs="Times New Roman"/>
          <w:b/>
          <w:bCs w:val="0"/>
          <w:spacing w:val="0"/>
          <w:sz w:val="34"/>
          <w:szCs w:val="34"/>
          <w:lang w:val="en-US" w:eastAsia="zh-CN"/>
        </w:rPr>
        <w:t>二是开展线上学法。</w:t>
      </w:r>
      <w:r>
        <w:rPr>
          <w:rFonts w:hint="default" w:ascii="Times New Roman" w:hAnsi="Times New Roman" w:eastAsia="仿宋" w:cs="Times New Roman"/>
          <w:b w:val="0"/>
          <w:bCs/>
          <w:spacing w:val="0"/>
          <w:sz w:val="34"/>
          <w:szCs w:val="34"/>
          <w:lang w:val="en-US" w:eastAsia="zh-CN"/>
        </w:rPr>
        <w:t>组织机</w:t>
      </w:r>
      <w:r>
        <w:rPr>
          <w:rFonts w:hint="default" w:ascii="Times New Roman" w:hAnsi="Times New Roman" w:eastAsia="仿宋" w:cs="Times New Roman"/>
          <w:b w:val="0"/>
          <w:bCs/>
          <w:color w:val="auto"/>
          <w:spacing w:val="0"/>
          <w:sz w:val="34"/>
          <w:szCs w:val="34"/>
          <w:lang w:val="en-US" w:eastAsia="zh-CN"/>
        </w:rPr>
        <w:t>关干部、企业负责人在学法用法平台、干部在线平台进行年度学法，100%完成各项学习任务，参与习近平法治思想考试的平均成绩为97.17分。</w:t>
      </w:r>
      <w:r>
        <w:rPr>
          <w:rFonts w:hint="default" w:ascii="Times New Roman" w:hAnsi="Times New Roman" w:eastAsia="仿宋" w:cs="Times New Roman"/>
          <w:b/>
          <w:bCs w:val="0"/>
          <w:color w:val="auto"/>
          <w:spacing w:val="0"/>
          <w:sz w:val="34"/>
          <w:szCs w:val="34"/>
          <w:lang w:val="en-US" w:eastAsia="zh-CN"/>
        </w:rPr>
        <w:t>三是进行专题培训。</w:t>
      </w:r>
      <w:r>
        <w:rPr>
          <w:rFonts w:hint="default" w:ascii="Times New Roman" w:hAnsi="Times New Roman" w:eastAsia="仿宋" w:cs="Times New Roman"/>
          <w:b w:val="0"/>
          <w:bCs/>
          <w:snapToGrid w:val="0"/>
          <w:color w:val="auto"/>
          <w:spacing w:val="0"/>
          <w:sz w:val="34"/>
          <w:szCs w:val="34"/>
          <w:highlight w:val="none"/>
          <w:u w:val="none"/>
          <w:lang w:val="en-US" w:eastAsia="zh-CN"/>
        </w:rPr>
        <w:t>组织企业领导干部及法务人员参加新</w:t>
      </w:r>
      <w:r>
        <w:rPr>
          <w:rFonts w:hint="default" w:ascii="Times New Roman" w:hAnsi="Times New Roman" w:eastAsia="仿宋" w:cs="Times New Roman"/>
          <w:b w:val="0"/>
          <w:bCs/>
          <w:color w:val="auto"/>
          <w:spacing w:val="0"/>
          <w:sz w:val="34"/>
          <w:szCs w:val="34"/>
          <w:highlight w:val="none"/>
        </w:rPr>
        <w:t>《公司法》</w:t>
      </w:r>
      <w:r>
        <w:rPr>
          <w:rFonts w:hint="default" w:ascii="Times New Roman" w:hAnsi="Times New Roman" w:eastAsia="仿宋" w:cs="Times New Roman"/>
          <w:b w:val="0"/>
          <w:bCs/>
          <w:color w:val="auto"/>
          <w:spacing w:val="0"/>
          <w:sz w:val="34"/>
          <w:szCs w:val="34"/>
          <w:highlight w:val="none"/>
          <w:lang w:eastAsia="zh-CN"/>
        </w:rPr>
        <w:t>专题</w:t>
      </w:r>
      <w:r>
        <w:rPr>
          <w:rFonts w:hint="default" w:ascii="Times New Roman" w:hAnsi="Times New Roman" w:eastAsia="仿宋" w:cs="Times New Roman"/>
          <w:b w:val="0"/>
          <w:bCs/>
          <w:color w:val="auto"/>
          <w:spacing w:val="0"/>
          <w:sz w:val="34"/>
          <w:szCs w:val="34"/>
          <w:highlight w:val="none"/>
        </w:rPr>
        <w:t>培训</w:t>
      </w:r>
      <w:r>
        <w:rPr>
          <w:rFonts w:hint="default" w:ascii="Times New Roman" w:hAnsi="Times New Roman" w:eastAsia="仿宋" w:cs="Times New Roman"/>
          <w:b w:val="0"/>
          <w:bCs/>
          <w:color w:val="auto"/>
          <w:spacing w:val="0"/>
          <w:sz w:val="34"/>
          <w:szCs w:val="34"/>
          <w:highlight w:val="none"/>
          <w:lang w:val="en-US" w:eastAsia="zh-CN"/>
        </w:rPr>
        <w:t>3次</w:t>
      </w:r>
      <w:r>
        <w:rPr>
          <w:rFonts w:hint="default" w:ascii="Times New Roman" w:hAnsi="Times New Roman" w:eastAsia="仿宋" w:cs="Times New Roman"/>
          <w:b w:val="0"/>
          <w:bCs/>
          <w:color w:val="auto"/>
          <w:spacing w:val="0"/>
          <w:sz w:val="34"/>
          <w:szCs w:val="34"/>
          <w:highlight w:val="none"/>
        </w:rPr>
        <w:t>，</w:t>
      </w:r>
      <w:r>
        <w:rPr>
          <w:rFonts w:hint="default" w:ascii="Times New Roman" w:hAnsi="Times New Roman" w:eastAsia="仿宋" w:cs="Times New Roman"/>
          <w:b w:val="0"/>
          <w:bCs/>
          <w:color w:val="auto"/>
          <w:spacing w:val="0"/>
          <w:sz w:val="34"/>
          <w:szCs w:val="34"/>
          <w:highlight w:val="none"/>
          <w:lang w:eastAsia="zh-CN"/>
        </w:rPr>
        <w:t>《国有企业管理人员处分条例》培训</w:t>
      </w:r>
      <w:r>
        <w:rPr>
          <w:rFonts w:hint="default" w:ascii="Times New Roman" w:hAnsi="Times New Roman" w:eastAsia="仿宋" w:cs="Times New Roman"/>
          <w:b w:val="0"/>
          <w:bCs/>
          <w:spacing w:val="0"/>
          <w:sz w:val="34"/>
          <w:szCs w:val="34"/>
          <w:highlight w:val="none"/>
          <w:lang w:val="en-US" w:eastAsia="zh-CN"/>
        </w:rPr>
        <w:t>1次，合规经营</w:t>
      </w:r>
      <w:r>
        <w:rPr>
          <w:rFonts w:hint="default" w:ascii="Times New Roman" w:hAnsi="Times New Roman" w:eastAsia="仿宋" w:cs="Times New Roman"/>
          <w:b w:val="0"/>
          <w:bCs/>
          <w:spacing w:val="0"/>
          <w:sz w:val="34"/>
          <w:szCs w:val="34"/>
          <w:highlight w:val="none"/>
          <w:lang w:eastAsia="zh-CN"/>
        </w:rPr>
        <w:t>培训</w:t>
      </w:r>
      <w:r>
        <w:rPr>
          <w:rFonts w:hint="default" w:ascii="Times New Roman" w:hAnsi="Times New Roman" w:eastAsia="仿宋" w:cs="Times New Roman"/>
          <w:b w:val="0"/>
          <w:bCs/>
          <w:spacing w:val="0"/>
          <w:sz w:val="34"/>
          <w:szCs w:val="34"/>
          <w:highlight w:val="none"/>
          <w:lang w:val="en-US" w:eastAsia="zh-CN"/>
        </w:rPr>
        <w:t>3次，邀请专家学者及相关工作人员</w:t>
      </w:r>
      <w:r>
        <w:rPr>
          <w:rFonts w:hint="default" w:ascii="Times New Roman" w:hAnsi="Times New Roman" w:eastAsia="仿宋" w:cs="Times New Roman"/>
          <w:b w:val="0"/>
          <w:bCs/>
          <w:spacing w:val="0"/>
          <w:sz w:val="34"/>
          <w:szCs w:val="34"/>
          <w:highlight w:val="none"/>
          <w:lang w:eastAsia="zh-CN"/>
        </w:rPr>
        <w:t>围绕公司制度改革、企业合规管理，组织架构调整等重点内容展开深入分析，帮助企业</w:t>
      </w:r>
      <w:r>
        <w:rPr>
          <w:rFonts w:hint="default" w:ascii="Times New Roman" w:hAnsi="Times New Roman" w:eastAsia="仿宋" w:cs="Times New Roman"/>
          <w:b w:val="0"/>
          <w:bCs/>
          <w:spacing w:val="0"/>
          <w:sz w:val="34"/>
          <w:szCs w:val="34"/>
          <w:highlight w:val="none"/>
        </w:rPr>
        <w:t>进一步理清改革发展脉络</w:t>
      </w:r>
      <w:r>
        <w:rPr>
          <w:rFonts w:hint="default" w:ascii="Times New Roman" w:hAnsi="Times New Roman" w:eastAsia="仿宋" w:cs="Times New Roman"/>
          <w:b w:val="0"/>
          <w:bCs/>
          <w:spacing w:val="0"/>
          <w:sz w:val="34"/>
          <w:szCs w:val="34"/>
          <w:highlight w:val="none"/>
          <w:lang w:eastAsia="zh-CN"/>
        </w:rPr>
        <w:t>、明确发展方向。</w:t>
      </w:r>
    </w:p>
    <w:p w14:paraId="4ADB8D4F">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588" w:lineRule="exact"/>
        <w:ind w:firstLine="680" w:firstLineChars="200"/>
        <w:jc w:val="left"/>
        <w:textAlignment w:val="auto"/>
        <w:rPr>
          <w:rFonts w:hint="default" w:ascii="Times New Roman" w:hAnsi="Times New Roman" w:eastAsia="楷体" w:cs="Times New Roman"/>
          <w:b w:val="0"/>
          <w:bCs/>
          <w:snapToGrid w:val="0"/>
          <w:color w:val="auto"/>
          <w:spacing w:val="0"/>
          <w:kern w:val="0"/>
          <w:sz w:val="34"/>
          <w:szCs w:val="34"/>
          <w:highlight w:val="none"/>
          <w:u w:val="none"/>
          <w:lang w:eastAsia="zh-CN"/>
        </w:rPr>
      </w:pPr>
      <w:r>
        <w:rPr>
          <w:rFonts w:hint="default" w:ascii="Times New Roman" w:hAnsi="Times New Roman" w:eastAsia="楷体" w:cs="Times New Roman"/>
          <w:b w:val="0"/>
          <w:bCs/>
          <w:snapToGrid w:val="0"/>
          <w:color w:val="auto"/>
          <w:spacing w:val="0"/>
          <w:kern w:val="0"/>
          <w:sz w:val="34"/>
          <w:szCs w:val="34"/>
          <w:highlight w:val="none"/>
          <w:u w:val="none"/>
          <w:lang w:val="en-US" w:eastAsia="zh-CN"/>
        </w:rPr>
        <w:t>（六）开展普法宣传</w:t>
      </w:r>
    </w:p>
    <w:p w14:paraId="019A075D">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588" w:lineRule="exact"/>
        <w:ind w:firstLine="680"/>
        <w:jc w:val="left"/>
        <w:textAlignment w:val="auto"/>
        <w:rPr>
          <w:rFonts w:hint="default" w:ascii="Times New Roman" w:hAnsi="Times New Roman" w:eastAsia="仿宋_GB2312" w:cs="Times New Roman"/>
          <w:b w:val="0"/>
          <w:bCs/>
          <w:snapToGrid w:val="0"/>
          <w:color w:val="auto"/>
          <w:spacing w:val="0"/>
          <w:sz w:val="34"/>
          <w:szCs w:val="34"/>
          <w:highlight w:val="none"/>
          <w:u w:val="none"/>
          <w:lang w:val="en-US" w:eastAsia="zh-CN"/>
        </w:rPr>
      </w:pPr>
      <w:r>
        <w:rPr>
          <w:rFonts w:hint="default" w:ascii="Times New Roman" w:hAnsi="Times New Roman" w:eastAsia="仿宋" w:cs="Times New Roman"/>
          <w:b/>
          <w:bCs w:val="0"/>
          <w:snapToGrid w:val="0"/>
          <w:color w:val="auto"/>
          <w:spacing w:val="0"/>
          <w:sz w:val="34"/>
          <w:szCs w:val="34"/>
          <w:highlight w:val="none"/>
          <w:u w:val="none"/>
          <w:lang w:val="en-US" w:eastAsia="zh-CN"/>
        </w:rPr>
        <w:t>一是全面落实“八五”普法规划。</w:t>
      </w:r>
      <w:r>
        <w:rPr>
          <w:rFonts w:hint="default" w:ascii="Times New Roman" w:hAnsi="Times New Roman" w:eastAsia="仿宋" w:cs="Times New Roman"/>
          <w:b w:val="0"/>
          <w:bCs/>
          <w:snapToGrid w:val="0"/>
          <w:color w:val="auto"/>
          <w:spacing w:val="0"/>
          <w:sz w:val="34"/>
          <w:szCs w:val="34"/>
          <w:highlight w:val="none"/>
          <w:u w:val="none"/>
          <w:lang w:val="en-US" w:eastAsia="zh-CN"/>
        </w:rPr>
        <w:t>在民法典宣传月、宪法宣传周等重要时间节点，组织国资系统干部职工开展普法学法活动。在机关及企业办公楼、服务窗口、工地等场所张贴普法宣传海报，营造宣传氛围。组织干部职工积极参与“中国普法”举办的法律知识竞答活动，利用</w:t>
      </w:r>
      <w:r>
        <w:rPr>
          <w:rFonts w:hint="default" w:ascii="Times New Roman" w:hAnsi="Times New Roman" w:eastAsia="仿宋" w:cs="Times New Roman"/>
          <w:b w:val="0"/>
          <w:bCs/>
          <w:snapToGrid w:val="0"/>
          <w:color w:val="auto"/>
          <w:spacing w:val="0"/>
          <w:sz w:val="34"/>
          <w:szCs w:val="34"/>
          <w:highlight w:val="none"/>
          <w:u w:val="none"/>
          <w:lang w:val="en" w:eastAsia="zh-CN"/>
        </w:rPr>
        <w:t>“国资南开”平台转发、发布普法知识</w:t>
      </w:r>
      <w:r>
        <w:rPr>
          <w:rFonts w:hint="default" w:ascii="Times New Roman" w:hAnsi="Times New Roman" w:eastAsia="仿宋" w:cs="Times New Roman"/>
          <w:b w:val="0"/>
          <w:bCs/>
          <w:snapToGrid w:val="0"/>
          <w:color w:val="auto"/>
          <w:spacing w:val="0"/>
          <w:sz w:val="34"/>
          <w:szCs w:val="34"/>
          <w:highlight w:val="none"/>
          <w:u w:val="none"/>
          <w:lang w:val="en-US" w:eastAsia="zh-CN"/>
        </w:rPr>
        <w:t>，2024年全年累计刊发法律法规及党规党纪宣传素材19篇。</w:t>
      </w:r>
      <w:r>
        <w:rPr>
          <w:rFonts w:hint="default" w:ascii="Times New Roman" w:hAnsi="Times New Roman" w:eastAsia="仿宋" w:cs="Times New Roman"/>
          <w:b/>
          <w:bCs w:val="0"/>
          <w:snapToGrid w:val="0"/>
          <w:color w:val="auto"/>
          <w:spacing w:val="0"/>
          <w:sz w:val="34"/>
          <w:szCs w:val="34"/>
          <w:highlight w:val="none"/>
          <w:u w:val="none"/>
          <w:lang w:val="en-US" w:eastAsia="zh-CN"/>
        </w:rPr>
        <w:t>二是推进“沉浸式”法治教育。</w:t>
      </w:r>
      <w:r>
        <w:rPr>
          <w:rFonts w:hint="default" w:ascii="Times New Roman" w:hAnsi="Times New Roman" w:eastAsia="仿宋" w:cs="Times New Roman"/>
          <w:b w:val="0"/>
          <w:bCs/>
          <w:snapToGrid w:val="0"/>
          <w:color w:val="auto"/>
          <w:spacing w:val="0"/>
          <w:sz w:val="34"/>
          <w:szCs w:val="34"/>
          <w:highlight w:val="none"/>
          <w:u w:val="none"/>
          <w:lang w:val="en-US" w:eastAsia="zh-CN"/>
        </w:rPr>
        <w:t>组织机关工作人员旁听行政案件庭审，直观了解行政诉讼的审理程序，深化依法行政、接受监督的法治理念；在全系统范围开展以案释法、以案说纪，用“身边事”教育“身边人”，加强警示教育力度，引导党员干部明法纪、知敬畏。</w:t>
      </w:r>
    </w:p>
    <w:p w14:paraId="026D24D0">
      <w:pPr>
        <w:pStyle w:val="10"/>
        <w:keepNext w:val="0"/>
        <w:keepLines w:val="0"/>
        <w:pageBreakBefore w:val="0"/>
        <w:widowControl w:val="0"/>
        <w:kinsoku/>
        <w:wordWrap/>
        <w:overflowPunct/>
        <w:topLinePunct w:val="0"/>
        <w:autoSpaceDE w:val="0"/>
        <w:autoSpaceDN w:val="0"/>
        <w:bidi w:val="0"/>
        <w:adjustRightInd w:val="0"/>
        <w:snapToGrid/>
        <w:spacing w:line="588" w:lineRule="exact"/>
        <w:ind w:firstLine="680" w:firstLineChars="200"/>
        <w:jc w:val="left"/>
        <w:textAlignment w:val="auto"/>
        <w:rPr>
          <w:rFonts w:hint="default" w:ascii="Times New Roman" w:hAnsi="Times New Roman" w:eastAsia="黑体" w:cs="Times New Roman"/>
          <w:b w:val="0"/>
          <w:bCs/>
          <w:color w:val="auto"/>
          <w:spacing w:val="0"/>
          <w:kern w:val="2"/>
          <w:sz w:val="34"/>
          <w:szCs w:val="34"/>
          <w:highlight w:val="none"/>
          <w:lang w:val="en-US" w:eastAsia="zh-CN" w:bidi="ar-SA"/>
        </w:rPr>
      </w:pPr>
      <w:r>
        <w:rPr>
          <w:rFonts w:hint="default" w:ascii="Times New Roman" w:hAnsi="Times New Roman" w:eastAsia="黑体" w:cs="Times New Roman"/>
          <w:b w:val="0"/>
          <w:bCs/>
          <w:color w:val="auto"/>
          <w:spacing w:val="0"/>
          <w:kern w:val="2"/>
          <w:sz w:val="34"/>
          <w:szCs w:val="34"/>
          <w:highlight w:val="none"/>
          <w:lang w:val="en-US" w:eastAsia="zh-CN" w:bidi="ar-SA"/>
        </w:rPr>
        <w:t>二、</w:t>
      </w:r>
      <w:r>
        <w:rPr>
          <w:rFonts w:hint="default" w:ascii="Times New Roman" w:hAnsi="Times New Roman" w:eastAsia="黑体" w:cs="Times New Roman"/>
          <w:b w:val="0"/>
          <w:bCs/>
          <w:color w:val="auto"/>
          <w:spacing w:val="0"/>
          <w:kern w:val="0"/>
          <w:sz w:val="34"/>
          <w:szCs w:val="34"/>
          <w:highlight w:val="none"/>
          <w:lang w:val="en-US" w:eastAsia="zh-CN"/>
        </w:rPr>
        <w:t>2024</w:t>
      </w:r>
      <w:r>
        <w:rPr>
          <w:rFonts w:hint="default" w:ascii="Times New Roman" w:hAnsi="Times New Roman" w:eastAsia="黑体" w:cs="Times New Roman"/>
          <w:b w:val="0"/>
          <w:bCs/>
          <w:color w:val="auto"/>
          <w:spacing w:val="0"/>
          <w:kern w:val="2"/>
          <w:sz w:val="34"/>
          <w:szCs w:val="34"/>
          <w:highlight w:val="none"/>
          <w:lang w:val="en-US" w:eastAsia="zh-CN" w:bidi="ar-SA"/>
        </w:rPr>
        <w:t>年推进法治政府建设存在的不足和原因</w:t>
      </w:r>
    </w:p>
    <w:p w14:paraId="57993CEB">
      <w:pPr>
        <w:keepNext w:val="0"/>
        <w:keepLines w:val="0"/>
        <w:pageBreakBefore w:val="0"/>
        <w:widowControl/>
        <w:suppressLineNumbers w:val="0"/>
        <w:kinsoku/>
        <w:wordWrap/>
        <w:overflowPunct/>
        <w:topLinePunct w:val="0"/>
        <w:bidi w:val="0"/>
        <w:snapToGrid/>
        <w:spacing w:line="588" w:lineRule="exact"/>
        <w:ind w:firstLine="680" w:firstLineChars="200"/>
        <w:jc w:val="left"/>
        <w:textAlignment w:val="auto"/>
        <w:rPr>
          <w:rFonts w:hint="default" w:ascii="Times New Roman" w:hAnsi="Times New Roman" w:eastAsia="仿宋" w:cs="Times New Roman"/>
          <w:b w:val="0"/>
          <w:bCs/>
          <w:color w:val="auto"/>
          <w:spacing w:val="0"/>
          <w:kern w:val="2"/>
          <w:sz w:val="34"/>
          <w:szCs w:val="34"/>
          <w:highlight w:val="none"/>
          <w:lang w:val="en-US" w:eastAsia="zh-CN" w:bidi="ar-SA"/>
        </w:rPr>
      </w:pPr>
      <w:r>
        <w:rPr>
          <w:rFonts w:hint="default" w:ascii="Times New Roman" w:hAnsi="Times New Roman" w:eastAsia="仿宋" w:cs="Times New Roman"/>
          <w:b w:val="0"/>
          <w:bCs/>
          <w:color w:val="auto"/>
          <w:spacing w:val="0"/>
          <w:kern w:val="2"/>
          <w:sz w:val="34"/>
          <w:szCs w:val="34"/>
          <w:highlight w:val="none"/>
          <w:lang w:val="en-US" w:eastAsia="zh-CN" w:bidi="ar-SA"/>
        </w:rPr>
        <w:t>2024年，区国资委推进法治政府建设工作虽然取得了一定成效，但仍存在着一些问题。</w:t>
      </w:r>
      <w:r>
        <w:rPr>
          <w:rFonts w:hint="default" w:ascii="Times New Roman" w:hAnsi="Times New Roman" w:eastAsia="仿宋" w:cs="Times New Roman"/>
          <w:b/>
          <w:bCs w:val="0"/>
          <w:color w:val="auto"/>
          <w:spacing w:val="0"/>
          <w:kern w:val="2"/>
          <w:sz w:val="34"/>
          <w:szCs w:val="34"/>
          <w:highlight w:val="none"/>
          <w:lang w:val="en-US" w:eastAsia="zh-CN" w:bidi="ar-SA"/>
        </w:rPr>
        <w:t>一是</w:t>
      </w:r>
      <w:r>
        <w:rPr>
          <w:rFonts w:hint="default" w:ascii="Times New Roman" w:hAnsi="Times New Roman" w:eastAsia="仿宋" w:cs="Times New Roman"/>
          <w:b w:val="0"/>
          <w:bCs/>
          <w:color w:val="auto"/>
          <w:spacing w:val="0"/>
          <w:kern w:val="2"/>
          <w:sz w:val="34"/>
          <w:szCs w:val="34"/>
          <w:highlight w:val="none"/>
          <w:lang w:val="en-US" w:eastAsia="zh-CN" w:bidi="ar-SA"/>
        </w:rPr>
        <w:t>干部职工对国资国企相关法律法规的学习不够深入，举一反三、融会贯通的能力有待提高。</w:t>
      </w:r>
      <w:r>
        <w:rPr>
          <w:rFonts w:hint="default" w:ascii="Times New Roman" w:hAnsi="Times New Roman" w:eastAsia="仿宋" w:cs="Times New Roman"/>
          <w:b/>
          <w:bCs w:val="0"/>
          <w:color w:val="auto"/>
          <w:spacing w:val="0"/>
          <w:kern w:val="2"/>
          <w:sz w:val="34"/>
          <w:szCs w:val="34"/>
          <w:highlight w:val="none"/>
          <w:lang w:val="en-US" w:eastAsia="zh-CN" w:bidi="ar-SA"/>
        </w:rPr>
        <w:t>二是</w:t>
      </w:r>
      <w:r>
        <w:rPr>
          <w:rFonts w:hint="default" w:ascii="Times New Roman" w:hAnsi="Times New Roman" w:eastAsia="仿宋" w:cs="Times New Roman"/>
          <w:b w:val="0"/>
          <w:bCs/>
          <w:color w:val="auto"/>
          <w:spacing w:val="0"/>
          <w:kern w:val="2"/>
          <w:sz w:val="34"/>
          <w:szCs w:val="34"/>
          <w:highlight w:val="none"/>
          <w:lang w:val="en-US" w:eastAsia="zh-CN" w:bidi="ar-SA"/>
        </w:rPr>
        <w:t>指导企业高效、稳妥处理涉法涉诉案件的针对性、实效性还不强。</w:t>
      </w:r>
      <w:r>
        <w:rPr>
          <w:rFonts w:hint="default" w:ascii="Times New Roman" w:hAnsi="Times New Roman" w:eastAsia="仿宋" w:cs="Times New Roman"/>
          <w:b/>
          <w:bCs w:val="0"/>
          <w:color w:val="auto"/>
          <w:spacing w:val="0"/>
          <w:kern w:val="2"/>
          <w:sz w:val="34"/>
          <w:szCs w:val="34"/>
          <w:highlight w:val="none"/>
          <w:lang w:val="en-US" w:eastAsia="zh-CN" w:bidi="ar-SA"/>
        </w:rPr>
        <w:t>三是</w:t>
      </w:r>
      <w:r>
        <w:rPr>
          <w:rFonts w:hint="default" w:ascii="Times New Roman" w:hAnsi="Times New Roman" w:eastAsia="仿宋" w:cs="Times New Roman"/>
          <w:b w:val="0"/>
          <w:bCs/>
          <w:color w:val="auto"/>
          <w:spacing w:val="0"/>
          <w:kern w:val="2"/>
          <w:sz w:val="34"/>
          <w:szCs w:val="34"/>
          <w:highlight w:val="none"/>
          <w:lang w:val="en-US" w:eastAsia="zh-CN" w:bidi="ar-SA"/>
        </w:rPr>
        <w:t>区属国企法治建设总体上还不平衡，个别企业在制度建设、人才培养方面仍有短板。</w:t>
      </w:r>
    </w:p>
    <w:p w14:paraId="32877528">
      <w:pPr>
        <w:keepNext w:val="0"/>
        <w:keepLines w:val="0"/>
        <w:pageBreakBefore w:val="0"/>
        <w:widowControl/>
        <w:suppressLineNumbers w:val="0"/>
        <w:kinsoku/>
        <w:wordWrap/>
        <w:overflowPunct/>
        <w:topLinePunct w:val="0"/>
        <w:bidi w:val="0"/>
        <w:snapToGrid/>
        <w:spacing w:line="588" w:lineRule="exact"/>
        <w:ind w:firstLine="680" w:firstLineChars="200"/>
        <w:jc w:val="left"/>
        <w:textAlignment w:val="auto"/>
        <w:rPr>
          <w:rFonts w:hint="default" w:ascii="Times New Roman" w:hAnsi="Times New Roman" w:eastAsia="仿宋" w:cs="Times New Roman"/>
          <w:b w:val="0"/>
          <w:bCs/>
          <w:color w:val="auto"/>
          <w:spacing w:val="0"/>
          <w:kern w:val="2"/>
          <w:sz w:val="34"/>
          <w:szCs w:val="34"/>
          <w:highlight w:val="none"/>
          <w:lang w:val="en-US" w:eastAsia="zh-CN" w:bidi="ar-SA"/>
        </w:rPr>
      </w:pPr>
      <w:r>
        <w:rPr>
          <w:rFonts w:hint="default" w:ascii="Times New Roman" w:hAnsi="Times New Roman" w:eastAsia="仿宋" w:cs="Times New Roman"/>
          <w:b w:val="0"/>
          <w:bCs/>
          <w:color w:val="auto"/>
          <w:spacing w:val="0"/>
          <w:kern w:val="2"/>
          <w:sz w:val="34"/>
          <w:szCs w:val="34"/>
          <w:highlight w:val="none"/>
          <w:lang w:val="en-US" w:eastAsia="zh-CN" w:bidi="ar-SA"/>
        </w:rPr>
        <w:t>究其原因，</w:t>
      </w:r>
      <w:r>
        <w:rPr>
          <w:rFonts w:hint="default" w:ascii="Times New Roman" w:hAnsi="Times New Roman" w:eastAsia="仿宋" w:cs="Times New Roman"/>
          <w:b/>
          <w:bCs w:val="0"/>
          <w:color w:val="auto"/>
          <w:spacing w:val="0"/>
          <w:kern w:val="2"/>
          <w:sz w:val="34"/>
          <w:szCs w:val="34"/>
          <w:highlight w:val="none"/>
          <w:lang w:val="en-US" w:eastAsia="zh-CN" w:bidi="ar-SA"/>
        </w:rPr>
        <w:t>一是</w:t>
      </w:r>
      <w:r>
        <w:rPr>
          <w:rFonts w:hint="default" w:ascii="Times New Roman" w:hAnsi="Times New Roman" w:eastAsia="仿宋" w:cs="Times New Roman"/>
          <w:b w:val="0"/>
          <w:bCs/>
          <w:color w:val="auto"/>
          <w:spacing w:val="0"/>
          <w:kern w:val="2"/>
          <w:sz w:val="34"/>
          <w:szCs w:val="34"/>
          <w:highlight w:val="none"/>
          <w:lang w:val="en-US" w:eastAsia="zh-CN" w:bidi="ar-SA"/>
        </w:rPr>
        <w:t>随着国企改革任务的推进深化，一些新情况、新问题不断出现，需要不断学习新知识以应对新挑战。</w:t>
      </w:r>
      <w:r>
        <w:rPr>
          <w:rFonts w:hint="default" w:ascii="Times New Roman" w:hAnsi="Times New Roman" w:eastAsia="仿宋" w:cs="Times New Roman"/>
          <w:b/>
          <w:bCs w:val="0"/>
          <w:color w:val="auto"/>
          <w:spacing w:val="0"/>
          <w:kern w:val="2"/>
          <w:sz w:val="34"/>
          <w:szCs w:val="34"/>
          <w:highlight w:val="none"/>
          <w:lang w:val="en-US" w:eastAsia="zh-CN" w:bidi="ar-SA"/>
        </w:rPr>
        <w:t>二是</w:t>
      </w:r>
      <w:r>
        <w:rPr>
          <w:rFonts w:hint="default" w:ascii="Times New Roman" w:hAnsi="Times New Roman" w:eastAsia="仿宋" w:cs="Times New Roman"/>
          <w:b w:val="0"/>
          <w:bCs/>
          <w:color w:val="auto"/>
          <w:spacing w:val="0"/>
          <w:kern w:val="2"/>
          <w:sz w:val="34"/>
          <w:szCs w:val="34"/>
          <w:highlight w:val="none"/>
          <w:lang w:val="en-US" w:eastAsia="zh-CN" w:bidi="ar-SA"/>
        </w:rPr>
        <w:t>干部队伍年龄较轻，应对处理历史遗留问题的研判能力和工作经验相对欠缺。</w:t>
      </w:r>
      <w:r>
        <w:rPr>
          <w:rFonts w:hint="default" w:ascii="Times New Roman" w:hAnsi="Times New Roman" w:eastAsia="仿宋" w:cs="Times New Roman"/>
          <w:b/>
          <w:bCs w:val="0"/>
          <w:color w:val="auto"/>
          <w:spacing w:val="0"/>
          <w:kern w:val="2"/>
          <w:sz w:val="34"/>
          <w:szCs w:val="34"/>
          <w:highlight w:val="none"/>
          <w:lang w:val="en-US" w:eastAsia="zh-CN" w:bidi="ar-SA"/>
        </w:rPr>
        <w:t>三是</w:t>
      </w:r>
      <w:r>
        <w:rPr>
          <w:rFonts w:hint="default" w:ascii="Times New Roman" w:hAnsi="Times New Roman" w:eastAsia="仿宋" w:cs="Times New Roman"/>
          <w:b w:val="0"/>
          <w:bCs/>
          <w:color w:val="auto"/>
          <w:spacing w:val="0"/>
          <w:kern w:val="2"/>
          <w:sz w:val="34"/>
          <w:szCs w:val="34"/>
          <w:highlight w:val="none"/>
          <w:lang w:val="en-US" w:eastAsia="zh-CN" w:bidi="ar-SA"/>
        </w:rPr>
        <w:t>少数企业对制度建设仍抱有墨守陈规的观念，进取精神和风险意识不强。</w:t>
      </w:r>
    </w:p>
    <w:p w14:paraId="6A4342E8">
      <w:pPr>
        <w:keepNext w:val="0"/>
        <w:keepLines w:val="0"/>
        <w:pageBreakBefore w:val="0"/>
        <w:widowControl/>
        <w:suppressLineNumbers w:val="0"/>
        <w:kinsoku/>
        <w:wordWrap/>
        <w:overflowPunct/>
        <w:topLinePunct w:val="0"/>
        <w:bidi w:val="0"/>
        <w:snapToGrid/>
        <w:spacing w:line="588" w:lineRule="exact"/>
        <w:ind w:firstLine="680" w:firstLineChars="200"/>
        <w:jc w:val="left"/>
        <w:textAlignment w:val="auto"/>
        <w:rPr>
          <w:rFonts w:hint="default" w:ascii="Times New Roman" w:hAnsi="Times New Roman" w:eastAsia="黑体" w:cs="Times New Roman"/>
          <w:b w:val="0"/>
          <w:bCs/>
          <w:color w:val="auto"/>
          <w:spacing w:val="0"/>
          <w:kern w:val="2"/>
          <w:sz w:val="34"/>
          <w:szCs w:val="34"/>
          <w:highlight w:val="none"/>
          <w:lang w:val="en-US" w:eastAsia="zh-CN" w:bidi="ar-SA"/>
        </w:rPr>
      </w:pPr>
      <w:r>
        <w:rPr>
          <w:rFonts w:hint="default" w:ascii="Times New Roman" w:hAnsi="Times New Roman" w:eastAsia="黑体" w:cs="Times New Roman"/>
          <w:b w:val="0"/>
          <w:bCs/>
          <w:color w:val="auto"/>
          <w:spacing w:val="0"/>
          <w:kern w:val="2"/>
          <w:sz w:val="34"/>
          <w:szCs w:val="34"/>
          <w:highlight w:val="none"/>
          <w:lang w:val="en-US" w:eastAsia="zh-CN" w:bidi="ar-SA"/>
        </w:rPr>
        <w:t>三</w:t>
      </w:r>
      <w:r>
        <w:rPr>
          <w:rFonts w:hint="default" w:ascii="Times New Roman" w:hAnsi="Times New Roman" w:eastAsia="黑体" w:cs="Times New Roman"/>
          <w:b w:val="0"/>
          <w:bCs/>
          <w:color w:val="auto"/>
          <w:spacing w:val="0"/>
          <w:kern w:val="0"/>
          <w:sz w:val="34"/>
          <w:szCs w:val="34"/>
          <w:highlight w:val="none"/>
          <w:lang w:val="en-US" w:eastAsia="zh-CN"/>
        </w:rPr>
        <w:t>、2024</w:t>
      </w:r>
      <w:r>
        <w:rPr>
          <w:rFonts w:hint="default" w:ascii="Times New Roman" w:hAnsi="Times New Roman" w:eastAsia="黑体" w:cs="Times New Roman"/>
          <w:b w:val="0"/>
          <w:bCs/>
          <w:color w:val="auto"/>
          <w:spacing w:val="0"/>
          <w:kern w:val="2"/>
          <w:sz w:val="34"/>
          <w:szCs w:val="34"/>
          <w:highlight w:val="none"/>
          <w:lang w:val="en-US" w:eastAsia="zh-CN" w:bidi="ar-SA"/>
        </w:rPr>
        <w:t>年区国资委主要负责人履行推进法治政府建设第一责任人职责、加强法治政府建设有关情况</w:t>
      </w:r>
    </w:p>
    <w:p w14:paraId="4A6CFC8C">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jc w:val="left"/>
        <w:textAlignment w:val="auto"/>
        <w:rPr>
          <w:rFonts w:hint="default" w:ascii="Times New Roman" w:hAnsi="Times New Roman" w:eastAsia="仿宋" w:cs="Times New Roman"/>
          <w:spacing w:val="0"/>
          <w:kern w:val="2"/>
          <w:sz w:val="34"/>
          <w:szCs w:val="34"/>
          <w:shd w:val="clear" w:color="auto" w:fill="auto"/>
          <w:lang w:val="en-US" w:eastAsia="zh-CN" w:bidi="ar-SA"/>
        </w:rPr>
      </w:pPr>
      <w:r>
        <w:rPr>
          <w:rFonts w:hint="default" w:ascii="Times New Roman" w:hAnsi="Times New Roman" w:eastAsia="仿宋" w:cs="Times New Roman"/>
          <w:spacing w:val="0"/>
          <w:sz w:val="34"/>
          <w:szCs w:val="34"/>
          <w:lang w:val="en-US" w:eastAsia="zh-CN"/>
        </w:rPr>
        <w:t>区国资委主要负责同志能够始终把习近平法治思想作为国资国企系统法治建设的根本遵循，认真履行推进法治政府建设“第一责任人”职责，严格贯彻落实区委区政府关于法治建设的重大决策部署，在</w:t>
      </w:r>
      <w:r>
        <w:rPr>
          <w:rFonts w:hint="default" w:ascii="Times New Roman" w:hAnsi="Times New Roman" w:eastAsia="仿宋" w:cs="Times New Roman"/>
          <w:b w:val="0"/>
          <w:bCs/>
          <w:color w:val="auto"/>
          <w:spacing w:val="0"/>
          <w:kern w:val="0"/>
          <w:sz w:val="34"/>
          <w:szCs w:val="34"/>
          <w:lang w:eastAsia="zh-CN"/>
        </w:rPr>
        <w:t>党委会、理论学习中心组研讨时</w:t>
      </w:r>
      <w:r>
        <w:rPr>
          <w:rFonts w:hint="default" w:ascii="Times New Roman" w:hAnsi="Times New Roman" w:eastAsia="仿宋" w:cs="Times New Roman"/>
          <w:spacing w:val="0"/>
          <w:sz w:val="34"/>
          <w:szCs w:val="34"/>
          <w:lang w:val="en-US" w:eastAsia="zh-CN"/>
        </w:rPr>
        <w:t>带头深入学习宣传</w:t>
      </w:r>
      <w:r>
        <w:rPr>
          <w:rFonts w:hint="default" w:ascii="Times New Roman" w:hAnsi="Times New Roman" w:eastAsia="仿宋" w:cs="Times New Roman"/>
          <w:b w:val="0"/>
          <w:bCs/>
          <w:color w:val="auto"/>
          <w:spacing w:val="0"/>
          <w:kern w:val="0"/>
          <w:sz w:val="34"/>
          <w:szCs w:val="34"/>
          <w:lang w:eastAsia="zh-CN"/>
        </w:rPr>
        <w:t>党的二十大</w:t>
      </w:r>
      <w:r>
        <w:rPr>
          <w:rFonts w:hint="default" w:ascii="Times New Roman" w:hAnsi="Times New Roman" w:eastAsia="仿宋" w:cs="Times New Roman"/>
          <w:b w:val="0"/>
          <w:bCs/>
          <w:color w:val="auto"/>
          <w:spacing w:val="0"/>
          <w:kern w:val="0"/>
          <w:sz w:val="34"/>
          <w:szCs w:val="34"/>
          <w:lang w:val="en-US" w:eastAsia="zh-CN"/>
        </w:rPr>
        <w:t>和</w:t>
      </w:r>
      <w:r>
        <w:rPr>
          <w:rFonts w:hint="default" w:ascii="Times New Roman" w:hAnsi="Times New Roman" w:eastAsia="仿宋" w:cs="Times New Roman"/>
          <w:b w:val="0"/>
          <w:bCs/>
          <w:color w:val="auto"/>
          <w:spacing w:val="0"/>
          <w:kern w:val="0"/>
          <w:sz w:val="34"/>
          <w:szCs w:val="34"/>
          <w:lang w:eastAsia="zh-CN"/>
        </w:rPr>
        <w:t>二十届三中全会精神，积极</w:t>
      </w:r>
      <w:r>
        <w:rPr>
          <w:rFonts w:hint="default" w:ascii="Times New Roman" w:hAnsi="Times New Roman" w:eastAsia="仿宋" w:cs="Times New Roman"/>
          <w:spacing w:val="0"/>
          <w:sz w:val="34"/>
          <w:szCs w:val="34"/>
          <w:lang w:val="en-US" w:eastAsia="zh-CN"/>
        </w:rPr>
        <w:t>贯彻</w:t>
      </w:r>
      <w:r>
        <w:rPr>
          <w:rFonts w:hint="default" w:ascii="Times New Roman" w:hAnsi="Times New Roman" w:eastAsia="仿宋" w:cs="Times New Roman"/>
          <w:b w:val="0"/>
          <w:bCs/>
          <w:color w:val="auto"/>
          <w:spacing w:val="0"/>
          <w:kern w:val="0"/>
          <w:sz w:val="34"/>
          <w:szCs w:val="34"/>
          <w:lang w:eastAsia="zh-CN"/>
        </w:rPr>
        <w:t>习近平总书记关于全面依法治国的最新部署要求</w:t>
      </w:r>
      <w:r>
        <w:rPr>
          <w:rFonts w:hint="default" w:ascii="Times New Roman" w:hAnsi="Times New Roman" w:eastAsia="仿宋" w:cs="Times New Roman"/>
          <w:b w:val="0"/>
          <w:bCs/>
          <w:color w:val="auto"/>
          <w:spacing w:val="0"/>
          <w:kern w:val="0"/>
          <w:sz w:val="34"/>
          <w:szCs w:val="34"/>
          <w:highlight w:val="none"/>
          <w:lang w:eastAsia="zh-CN"/>
        </w:rPr>
        <w:t>，高度重视法治建设“一规划两纲要”各项工作目标，将</w:t>
      </w:r>
      <w:r>
        <w:rPr>
          <w:rFonts w:hint="default" w:ascii="Times New Roman" w:hAnsi="Times New Roman" w:eastAsia="仿宋" w:cs="Times New Roman"/>
          <w:b w:val="0"/>
          <w:bCs/>
          <w:color w:val="auto"/>
          <w:spacing w:val="0"/>
          <w:kern w:val="0"/>
          <w:sz w:val="34"/>
          <w:szCs w:val="34"/>
          <w:lang w:eastAsia="zh-CN"/>
        </w:rPr>
        <w:t>推进法治政府建设作为深化国有企业改革的重要举措，引导国资系统广大干部职工尊法学法守法用法，自觉运用法治思维和法治</w:t>
      </w:r>
      <w:bookmarkStart w:id="0" w:name="_GoBack"/>
      <w:bookmarkEnd w:id="0"/>
      <w:r>
        <w:rPr>
          <w:rFonts w:hint="default" w:ascii="Times New Roman" w:hAnsi="Times New Roman" w:eastAsia="仿宋" w:cs="Times New Roman"/>
          <w:b w:val="0"/>
          <w:bCs/>
          <w:color w:val="auto"/>
          <w:spacing w:val="0"/>
          <w:kern w:val="0"/>
          <w:sz w:val="34"/>
          <w:szCs w:val="34"/>
          <w:lang w:eastAsia="zh-CN"/>
        </w:rPr>
        <w:t>方式深化改革、推动发展、破解难题，确保国资国企各项工作于法有据、于理有依。</w:t>
      </w:r>
    </w:p>
    <w:p w14:paraId="0768F00D">
      <w:pPr>
        <w:keepNext w:val="0"/>
        <w:keepLines w:val="0"/>
        <w:pageBreakBefore w:val="0"/>
        <w:widowControl w:val="0"/>
        <w:kinsoku/>
        <w:wordWrap/>
        <w:overflowPunct/>
        <w:topLinePunct w:val="0"/>
        <w:autoSpaceDE/>
        <w:autoSpaceDN/>
        <w:bidi w:val="0"/>
        <w:adjustRightInd/>
        <w:snapToGrid/>
        <w:spacing w:before="0" w:beforeLines="0" w:after="0" w:afterLines="0" w:line="588" w:lineRule="exact"/>
        <w:ind w:left="0" w:leftChars="0" w:right="0" w:rightChars="0" w:firstLine="680" w:firstLineChars="200"/>
        <w:jc w:val="left"/>
        <w:textAlignment w:val="auto"/>
        <w:outlineLvl w:val="9"/>
        <w:rPr>
          <w:rFonts w:hint="default" w:ascii="Times New Roman" w:hAnsi="Times New Roman" w:eastAsia="黑体" w:cs="Times New Roman"/>
          <w:b w:val="0"/>
          <w:bCs/>
          <w:spacing w:val="0"/>
          <w:sz w:val="34"/>
          <w:szCs w:val="34"/>
          <w:lang w:val="en-US" w:eastAsia="zh-CN"/>
        </w:rPr>
      </w:pPr>
      <w:r>
        <w:rPr>
          <w:rFonts w:hint="default" w:ascii="Times New Roman" w:hAnsi="Times New Roman" w:eastAsia="黑体" w:cs="Times New Roman"/>
          <w:b w:val="0"/>
          <w:bCs/>
          <w:spacing w:val="0"/>
          <w:sz w:val="34"/>
          <w:szCs w:val="34"/>
          <w:lang w:val="en-US" w:eastAsia="zh-CN"/>
        </w:rPr>
        <w:t>四、</w:t>
      </w:r>
      <w:r>
        <w:rPr>
          <w:rFonts w:hint="default" w:ascii="Times New Roman" w:hAnsi="Times New Roman" w:eastAsia="黑体" w:cs="Times New Roman"/>
          <w:b w:val="0"/>
          <w:bCs/>
          <w:color w:val="auto"/>
          <w:spacing w:val="0"/>
          <w:kern w:val="0"/>
          <w:sz w:val="34"/>
          <w:szCs w:val="34"/>
          <w:highlight w:val="none"/>
          <w:lang w:val="en-US" w:eastAsia="zh-CN"/>
        </w:rPr>
        <w:t>2025</w:t>
      </w:r>
      <w:r>
        <w:rPr>
          <w:rFonts w:hint="default" w:ascii="Times New Roman" w:hAnsi="Times New Roman" w:eastAsia="黑体" w:cs="Times New Roman"/>
          <w:b w:val="0"/>
          <w:bCs/>
          <w:spacing w:val="0"/>
          <w:sz w:val="34"/>
          <w:szCs w:val="34"/>
          <w:lang w:val="en-US" w:eastAsia="zh-CN"/>
        </w:rPr>
        <w:t>年推进法治政府建设的主要安排</w:t>
      </w:r>
    </w:p>
    <w:p w14:paraId="646CA819">
      <w:pPr>
        <w:keepNext w:val="0"/>
        <w:keepLines w:val="0"/>
        <w:pageBreakBefore w:val="0"/>
        <w:widowControl/>
        <w:suppressLineNumbers w:val="0"/>
        <w:kinsoku/>
        <w:wordWrap/>
        <w:overflowPunct/>
        <w:topLinePunct w:val="0"/>
        <w:bidi w:val="0"/>
        <w:snapToGrid/>
        <w:spacing w:line="588" w:lineRule="exact"/>
        <w:ind w:firstLine="683" w:firstLineChars="200"/>
        <w:jc w:val="left"/>
        <w:textAlignment w:val="auto"/>
        <w:rPr>
          <w:rFonts w:hint="default" w:ascii="Times New Roman" w:hAnsi="Times New Roman" w:eastAsia="仿宋" w:cs="Times New Roman"/>
          <w:b w:val="0"/>
          <w:bCs w:val="0"/>
          <w:snapToGrid w:val="0"/>
          <w:color w:val="auto"/>
          <w:spacing w:val="0"/>
          <w:sz w:val="34"/>
          <w:szCs w:val="34"/>
          <w:highlight w:val="none"/>
          <w:u w:val="none"/>
          <w:lang w:val="en-US" w:eastAsia="zh-CN"/>
        </w:rPr>
      </w:pPr>
      <w:r>
        <w:rPr>
          <w:rFonts w:hint="default" w:ascii="Times New Roman" w:hAnsi="Times New Roman" w:eastAsia="仿宋" w:cs="Times New Roman"/>
          <w:b/>
          <w:bCs/>
          <w:snapToGrid w:val="0"/>
          <w:color w:val="auto"/>
          <w:spacing w:val="0"/>
          <w:sz w:val="34"/>
          <w:szCs w:val="34"/>
          <w:highlight w:val="none"/>
          <w:u w:val="none"/>
          <w:lang w:val="en-US" w:eastAsia="zh-CN"/>
        </w:rPr>
        <w:t>一是</w:t>
      </w:r>
      <w:r>
        <w:rPr>
          <w:rFonts w:hint="default" w:ascii="Times New Roman" w:hAnsi="Times New Roman" w:eastAsia="仿宋" w:cs="Times New Roman"/>
          <w:b/>
          <w:bCs/>
          <w:snapToGrid w:val="0"/>
          <w:color w:val="auto"/>
          <w:spacing w:val="0"/>
          <w:sz w:val="34"/>
          <w:szCs w:val="34"/>
          <w:highlight w:val="none"/>
          <w:u w:val="none"/>
          <w:lang w:val="en" w:eastAsia="zh-CN"/>
        </w:rPr>
        <w:t>进一步</w:t>
      </w:r>
      <w:r>
        <w:rPr>
          <w:rFonts w:hint="default" w:ascii="Times New Roman" w:hAnsi="Times New Roman" w:eastAsia="仿宋" w:cs="Times New Roman"/>
          <w:b/>
          <w:bCs/>
          <w:snapToGrid w:val="0"/>
          <w:color w:val="auto"/>
          <w:spacing w:val="0"/>
          <w:sz w:val="34"/>
          <w:szCs w:val="34"/>
          <w:highlight w:val="none"/>
          <w:u w:val="none"/>
          <w:lang w:val="en-US" w:eastAsia="zh-CN"/>
        </w:rPr>
        <w:t>加强党对法治建设工作的领导。</w:t>
      </w:r>
      <w:r>
        <w:rPr>
          <w:rFonts w:hint="default" w:ascii="Times New Roman" w:hAnsi="Times New Roman" w:eastAsia="仿宋" w:cs="Times New Roman"/>
          <w:b w:val="0"/>
          <w:bCs w:val="0"/>
          <w:snapToGrid w:val="0"/>
          <w:color w:val="auto"/>
          <w:spacing w:val="0"/>
          <w:sz w:val="34"/>
          <w:szCs w:val="34"/>
          <w:highlight w:val="none"/>
          <w:u w:val="none"/>
          <w:lang w:val="en-US" w:eastAsia="zh-CN"/>
        </w:rPr>
        <w:t>继续将习近平法治思想纳入党委学习的重点内容，组织领导班子成员不断加深对</w:t>
      </w:r>
      <w:r>
        <w:rPr>
          <w:rFonts w:hint="default" w:ascii="Times New Roman" w:hAnsi="Times New Roman" w:eastAsia="仿宋" w:cs="Times New Roman"/>
          <w:b w:val="0"/>
          <w:bCs w:val="0"/>
          <w:snapToGrid w:val="0"/>
          <w:color w:val="auto"/>
          <w:spacing w:val="0"/>
          <w:kern w:val="2"/>
          <w:sz w:val="34"/>
          <w:szCs w:val="34"/>
          <w:highlight w:val="none"/>
          <w:u w:val="none"/>
          <w:shd w:val="clear" w:color="auto" w:fill="auto"/>
          <w:lang w:val="en-US" w:eastAsia="zh-CN" w:bidi="ar-SA"/>
        </w:rPr>
        <w:t>习近平总书记关于全面依法治国的重要论述及其关于国资国企的重要论述的理解和运用，</w:t>
      </w:r>
      <w:r>
        <w:rPr>
          <w:rFonts w:hint="default" w:ascii="Times New Roman" w:hAnsi="Times New Roman" w:eastAsia="仿宋" w:cs="Times New Roman"/>
          <w:b w:val="0"/>
          <w:bCs w:val="0"/>
          <w:snapToGrid w:val="0"/>
          <w:color w:val="auto"/>
          <w:spacing w:val="0"/>
          <w:sz w:val="34"/>
          <w:szCs w:val="34"/>
          <w:highlight w:val="none"/>
          <w:u w:val="none"/>
          <w:lang w:val="en-US" w:eastAsia="zh-CN"/>
        </w:rPr>
        <w:t>切实发挥“关键少数”的引领作用，在抓改革、抓管理的同时，聚焦服务保障国企改革深化提升行动和提升国资监管效能，一体推进抓基础、抓体系建设，及时做好规范性文件的立改废工作。</w:t>
      </w:r>
    </w:p>
    <w:p w14:paraId="2FBD33D9">
      <w:pPr>
        <w:pStyle w:val="2"/>
        <w:keepNext w:val="0"/>
        <w:keepLines w:val="0"/>
        <w:pageBreakBefore w:val="0"/>
        <w:kinsoku/>
        <w:wordWrap/>
        <w:overflowPunct/>
        <w:topLinePunct w:val="0"/>
        <w:bidi w:val="0"/>
        <w:snapToGrid/>
        <w:spacing w:line="588" w:lineRule="exact"/>
        <w:ind w:firstLine="683" w:firstLineChars="200"/>
        <w:jc w:val="left"/>
        <w:textAlignment w:val="auto"/>
        <w:rPr>
          <w:rFonts w:hint="default" w:ascii="Times New Roman" w:hAnsi="Times New Roman" w:eastAsia="仿宋" w:cs="Times New Roman"/>
          <w:b w:val="0"/>
          <w:bCs w:val="0"/>
          <w:snapToGrid w:val="0"/>
          <w:color w:val="auto"/>
          <w:spacing w:val="0"/>
          <w:sz w:val="34"/>
          <w:szCs w:val="34"/>
          <w:highlight w:val="none"/>
          <w:u w:val="none"/>
          <w:lang w:val="en-US" w:eastAsia="zh-CN"/>
        </w:rPr>
      </w:pPr>
      <w:r>
        <w:rPr>
          <w:rFonts w:hint="default" w:ascii="Times New Roman" w:hAnsi="Times New Roman" w:eastAsia="仿宋" w:cs="Times New Roman"/>
          <w:b/>
          <w:bCs/>
          <w:snapToGrid w:val="0"/>
          <w:color w:val="auto"/>
          <w:spacing w:val="0"/>
          <w:sz w:val="34"/>
          <w:szCs w:val="34"/>
          <w:highlight w:val="none"/>
          <w:u w:val="none"/>
          <w:lang w:val="en-US" w:eastAsia="zh-CN"/>
        </w:rPr>
        <w:t>二是</w:t>
      </w:r>
      <w:r>
        <w:rPr>
          <w:rFonts w:hint="default" w:ascii="Times New Roman" w:hAnsi="Times New Roman" w:eastAsia="仿宋" w:cs="Times New Roman"/>
          <w:b/>
          <w:bCs/>
          <w:snapToGrid w:val="0"/>
          <w:color w:val="auto"/>
          <w:spacing w:val="0"/>
          <w:sz w:val="34"/>
          <w:szCs w:val="34"/>
          <w:highlight w:val="none"/>
          <w:u w:val="none"/>
          <w:lang w:val="en" w:eastAsia="zh-CN"/>
        </w:rPr>
        <w:t>进一步提升</w:t>
      </w:r>
      <w:r>
        <w:rPr>
          <w:rFonts w:hint="default" w:ascii="Times New Roman" w:hAnsi="Times New Roman" w:eastAsia="仿宋" w:cs="Times New Roman"/>
          <w:b/>
          <w:bCs/>
          <w:snapToGrid w:val="0"/>
          <w:color w:val="auto"/>
          <w:spacing w:val="0"/>
          <w:sz w:val="34"/>
          <w:szCs w:val="34"/>
          <w:highlight w:val="none"/>
          <w:u w:val="none"/>
          <w:lang w:val="en-US" w:eastAsia="zh-CN"/>
        </w:rPr>
        <w:t>法治宣传教育效果。</w:t>
      </w:r>
      <w:r>
        <w:rPr>
          <w:rFonts w:hint="default" w:ascii="Times New Roman" w:hAnsi="Times New Roman" w:eastAsia="仿宋" w:cs="Times New Roman"/>
          <w:b w:val="0"/>
          <w:bCs w:val="0"/>
          <w:snapToGrid w:val="0"/>
          <w:color w:val="auto"/>
          <w:spacing w:val="0"/>
          <w:sz w:val="34"/>
          <w:szCs w:val="34"/>
          <w:highlight w:val="none"/>
          <w:u w:val="none"/>
          <w:lang w:val="en-US" w:eastAsia="zh-CN"/>
        </w:rPr>
        <w:t>运用各类媒体和平台，</w:t>
      </w:r>
      <w:r>
        <w:rPr>
          <w:rFonts w:hint="default" w:ascii="Times New Roman" w:hAnsi="Times New Roman" w:eastAsia="仿宋" w:cs="Times New Roman"/>
          <w:b w:val="0"/>
          <w:bCs w:val="0"/>
          <w:snapToGrid w:val="0"/>
          <w:color w:val="auto"/>
          <w:spacing w:val="0"/>
          <w:sz w:val="34"/>
          <w:szCs w:val="34"/>
          <w:highlight w:val="none"/>
          <w:u w:val="none"/>
          <w:lang w:val="en" w:eastAsia="zh-CN"/>
        </w:rPr>
        <w:t>结合重要时点、事件及社会热点，及时、高效、广泛宣传相关法律法规，丰富普法形式，提升宣传内容的吸引力、传播力。</w:t>
      </w:r>
      <w:r>
        <w:rPr>
          <w:rFonts w:hint="default" w:ascii="Times New Roman" w:hAnsi="Times New Roman" w:eastAsia="仿宋" w:cs="Times New Roman"/>
          <w:b w:val="0"/>
          <w:bCs w:val="0"/>
          <w:snapToGrid w:val="0"/>
          <w:color w:val="auto"/>
          <w:spacing w:val="0"/>
          <w:kern w:val="2"/>
          <w:sz w:val="34"/>
          <w:szCs w:val="34"/>
          <w:highlight w:val="none"/>
          <w:u w:val="none"/>
          <w:shd w:val="clear" w:color="auto" w:fill="auto"/>
          <w:lang w:val="en-US" w:eastAsia="zh-CN" w:bidi="ar-SA"/>
        </w:rPr>
        <w:t>将法治宣传及法治建设融入国资监管各项工作之中，</w:t>
      </w:r>
      <w:r>
        <w:rPr>
          <w:rFonts w:hint="default" w:ascii="Times New Roman" w:hAnsi="Times New Roman" w:eastAsia="仿宋" w:cs="Times New Roman"/>
          <w:b w:val="0"/>
          <w:bCs w:val="0"/>
          <w:snapToGrid w:val="0"/>
          <w:color w:val="auto"/>
          <w:spacing w:val="0"/>
          <w:sz w:val="34"/>
          <w:szCs w:val="34"/>
          <w:highlight w:val="none"/>
          <w:u w:val="none"/>
          <w:lang w:val="en-US" w:eastAsia="zh-CN"/>
        </w:rPr>
        <w:t>每季度组织机关干部和企业相关人员参加法律培训，并鼓励企业结合自身特点和实际需要，有针对性地开展</w:t>
      </w:r>
      <w:r>
        <w:rPr>
          <w:rFonts w:hint="default" w:ascii="Times New Roman" w:hAnsi="Times New Roman" w:eastAsia="仿宋" w:cs="Times New Roman"/>
          <w:b w:val="0"/>
          <w:bCs w:val="0"/>
          <w:color w:val="auto"/>
          <w:spacing w:val="0"/>
          <w:kern w:val="2"/>
          <w:sz w:val="34"/>
          <w:szCs w:val="34"/>
          <w:highlight w:val="none"/>
          <w:u w:val="none"/>
          <w:shd w:val="clear" w:color="auto" w:fill="auto"/>
          <w:lang w:val="en-US" w:eastAsia="zh-CN" w:bidi="ar-SA"/>
        </w:rPr>
        <w:t>法治教育，</w:t>
      </w:r>
      <w:r>
        <w:rPr>
          <w:rFonts w:hint="default" w:ascii="Times New Roman" w:hAnsi="Times New Roman" w:eastAsia="仿宋" w:cs="Times New Roman"/>
          <w:b w:val="0"/>
          <w:bCs w:val="0"/>
          <w:snapToGrid w:val="0"/>
          <w:color w:val="auto"/>
          <w:spacing w:val="0"/>
          <w:sz w:val="34"/>
          <w:szCs w:val="34"/>
          <w:highlight w:val="none"/>
          <w:u w:val="none"/>
          <w:lang w:val="en-US" w:eastAsia="zh-CN"/>
        </w:rPr>
        <w:t>不断提升处理企业法律纠纷、维护自身合法权益的能力水平，为构建更加科学合理的公司治理结构、提升经营管理水平提供有力保障。</w:t>
      </w:r>
    </w:p>
    <w:p w14:paraId="025A3856">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588" w:lineRule="exact"/>
        <w:ind w:firstLine="683" w:firstLineChars="200"/>
        <w:jc w:val="left"/>
        <w:textAlignment w:val="auto"/>
        <w:rPr>
          <w:rFonts w:hint="default" w:ascii="Times New Roman" w:hAnsi="Times New Roman" w:eastAsia="仿宋" w:cs="Times New Roman"/>
          <w:b w:val="0"/>
          <w:bCs w:val="0"/>
          <w:snapToGrid w:val="0"/>
          <w:color w:val="auto"/>
          <w:spacing w:val="0"/>
          <w:kern w:val="2"/>
          <w:sz w:val="34"/>
          <w:szCs w:val="34"/>
          <w:highlight w:val="none"/>
          <w:u w:val="none"/>
          <w:shd w:val="clear" w:color="auto" w:fill="auto"/>
          <w:lang w:val="en-US" w:eastAsia="zh-CN" w:bidi="ar-SA"/>
        </w:rPr>
      </w:pPr>
      <w:r>
        <w:rPr>
          <w:rFonts w:hint="default" w:ascii="Times New Roman" w:hAnsi="Times New Roman" w:eastAsia="仿宋" w:cs="Times New Roman"/>
          <w:b/>
          <w:bCs/>
          <w:snapToGrid w:val="0"/>
          <w:color w:val="auto"/>
          <w:spacing w:val="0"/>
          <w:kern w:val="2"/>
          <w:sz w:val="34"/>
          <w:szCs w:val="34"/>
          <w:highlight w:val="none"/>
          <w:u w:val="none"/>
          <w:shd w:val="clear" w:color="auto" w:fill="auto"/>
          <w:lang w:val="en-US" w:eastAsia="zh-CN" w:bidi="ar-SA"/>
        </w:rPr>
        <w:t>三是进一步夯实企业依法依规经营管理的制度基础。</w:t>
      </w:r>
      <w:r>
        <w:rPr>
          <w:rFonts w:hint="default" w:ascii="Times New Roman" w:hAnsi="Times New Roman" w:eastAsia="仿宋" w:cs="Times New Roman"/>
          <w:b w:val="0"/>
          <w:bCs w:val="0"/>
          <w:snapToGrid w:val="0"/>
          <w:color w:val="auto"/>
          <w:spacing w:val="0"/>
          <w:kern w:val="2"/>
          <w:sz w:val="34"/>
          <w:szCs w:val="34"/>
          <w:highlight w:val="none"/>
          <w:u w:val="none"/>
          <w:shd w:val="clear" w:color="auto" w:fill="auto"/>
          <w:lang w:val="en-US" w:eastAsia="zh-CN" w:bidi="ar-SA"/>
        </w:rPr>
        <w:t>指导</w:t>
      </w:r>
      <w:r>
        <w:rPr>
          <w:rFonts w:hint="default" w:ascii="Times New Roman" w:hAnsi="Times New Roman" w:eastAsia="仿宋" w:cs="Times New Roman"/>
          <w:b w:val="0"/>
          <w:bCs w:val="0"/>
          <w:snapToGrid w:val="0"/>
          <w:color w:val="auto"/>
          <w:spacing w:val="0"/>
          <w:kern w:val="2"/>
          <w:sz w:val="34"/>
          <w:szCs w:val="34"/>
          <w:highlight w:val="none"/>
          <w:u w:val="none"/>
          <w:shd w:val="clear" w:color="auto" w:fill="auto"/>
          <w:lang w:val="en" w:eastAsia="zh-CN" w:bidi="ar-SA"/>
        </w:rPr>
        <w:t>区属一级</w:t>
      </w:r>
      <w:r>
        <w:rPr>
          <w:rFonts w:hint="default" w:ascii="Times New Roman" w:hAnsi="Times New Roman" w:eastAsia="仿宋" w:cs="Times New Roman"/>
          <w:b w:val="0"/>
          <w:bCs w:val="0"/>
          <w:snapToGrid w:val="0"/>
          <w:color w:val="auto"/>
          <w:spacing w:val="0"/>
          <w:kern w:val="2"/>
          <w:sz w:val="34"/>
          <w:szCs w:val="34"/>
          <w:highlight w:val="none"/>
          <w:u w:val="none"/>
          <w:shd w:val="clear" w:color="auto" w:fill="auto"/>
          <w:lang w:val="en-US" w:eastAsia="zh-CN" w:bidi="ar-SA"/>
        </w:rPr>
        <w:t>企业细化</w:t>
      </w:r>
      <w:r>
        <w:rPr>
          <w:rFonts w:hint="default" w:ascii="Times New Roman" w:hAnsi="Times New Roman" w:eastAsia="仿宋" w:cs="Times New Roman"/>
          <w:b w:val="0"/>
          <w:bCs w:val="0"/>
          <w:snapToGrid w:val="0"/>
          <w:color w:val="auto"/>
          <w:spacing w:val="0"/>
          <w:sz w:val="34"/>
          <w:szCs w:val="34"/>
          <w:highlight w:val="none"/>
          <w:u w:val="none"/>
          <w:lang w:val="en-US" w:eastAsia="zh-CN"/>
        </w:rPr>
        <w:t>监管</w:t>
      </w:r>
      <w:r>
        <w:rPr>
          <w:rFonts w:hint="default" w:ascii="Times New Roman" w:hAnsi="Times New Roman" w:eastAsia="仿宋" w:cs="Times New Roman"/>
          <w:b w:val="0"/>
          <w:bCs w:val="0"/>
          <w:snapToGrid w:val="0"/>
          <w:color w:val="auto"/>
          <w:spacing w:val="0"/>
          <w:sz w:val="34"/>
          <w:szCs w:val="34"/>
          <w:highlight w:val="none"/>
          <w:u w:val="none"/>
          <w:lang w:val="en" w:eastAsia="zh-CN"/>
        </w:rPr>
        <w:t>权责清单</w:t>
      </w:r>
      <w:r>
        <w:rPr>
          <w:rFonts w:hint="default" w:ascii="Times New Roman" w:hAnsi="Times New Roman" w:eastAsia="仿宋" w:cs="Times New Roman"/>
          <w:b w:val="0"/>
          <w:bCs w:val="0"/>
          <w:snapToGrid w:val="0"/>
          <w:color w:val="auto"/>
          <w:spacing w:val="0"/>
          <w:sz w:val="34"/>
          <w:szCs w:val="34"/>
          <w:highlight w:val="none"/>
          <w:u w:val="none"/>
          <w:lang w:val="en-US" w:eastAsia="zh-CN"/>
        </w:rPr>
        <w:t>，</w:t>
      </w:r>
      <w:r>
        <w:rPr>
          <w:rFonts w:hint="default" w:ascii="Times New Roman" w:hAnsi="Times New Roman" w:eastAsia="仿宋" w:cs="Times New Roman"/>
          <w:b w:val="0"/>
          <w:bCs w:val="0"/>
          <w:snapToGrid w:val="0"/>
          <w:color w:val="auto"/>
          <w:spacing w:val="0"/>
          <w:kern w:val="2"/>
          <w:sz w:val="34"/>
          <w:szCs w:val="34"/>
          <w:highlight w:val="none"/>
          <w:u w:val="none"/>
          <w:shd w:val="clear" w:color="auto" w:fill="auto"/>
          <w:lang w:val="en-US" w:eastAsia="zh-CN" w:bidi="ar-SA"/>
        </w:rPr>
        <w:t>对照新《公司法》有关要求及时完善公司章程，稳步推进监事会改革，突出董事会作为企业决策中心的作用；持续优化企业内部管理机制，完善内部审计部门及人员设置；规范治理结构和决策流程，强化对“三会一层”人才的管理考核，明晰企业各级管理人员依法行权、依法履职的权责边界，努力形成各司其职、各尽其责、相互制衡、规范协调的现代化公司治理体系。</w:t>
      </w:r>
    </w:p>
    <w:p w14:paraId="614C702D">
      <w:pPr>
        <w:pStyle w:val="10"/>
        <w:keepNext w:val="0"/>
        <w:keepLines w:val="0"/>
        <w:pageBreakBefore w:val="0"/>
        <w:widowControl w:val="0"/>
        <w:kinsoku/>
        <w:wordWrap/>
        <w:overflowPunct/>
        <w:topLinePunct w:val="0"/>
        <w:autoSpaceDE w:val="0"/>
        <w:autoSpaceDN w:val="0"/>
        <w:bidi w:val="0"/>
        <w:adjustRightInd w:val="0"/>
        <w:snapToGrid/>
        <w:spacing w:line="588" w:lineRule="exact"/>
        <w:ind w:firstLine="1020" w:firstLineChars="300"/>
        <w:jc w:val="left"/>
        <w:textAlignment w:val="auto"/>
        <w:rPr>
          <w:rFonts w:hint="default" w:ascii="Times New Roman" w:hAnsi="Times New Roman" w:eastAsia="仿宋" w:cs="Times New Roman"/>
          <w:b w:val="0"/>
          <w:bCs/>
          <w:spacing w:val="0"/>
          <w:kern w:val="0"/>
          <w:sz w:val="34"/>
          <w:szCs w:val="34"/>
          <w:lang w:val="en-US" w:eastAsia="zh-CN" w:bidi="ar"/>
        </w:rPr>
      </w:pPr>
    </w:p>
    <w:p w14:paraId="48D142D5">
      <w:pPr>
        <w:pStyle w:val="10"/>
        <w:keepNext w:val="0"/>
        <w:keepLines w:val="0"/>
        <w:pageBreakBefore w:val="0"/>
        <w:widowControl w:val="0"/>
        <w:kinsoku/>
        <w:wordWrap/>
        <w:overflowPunct/>
        <w:topLinePunct w:val="0"/>
        <w:autoSpaceDE w:val="0"/>
        <w:autoSpaceDN w:val="0"/>
        <w:bidi w:val="0"/>
        <w:adjustRightInd w:val="0"/>
        <w:snapToGrid/>
        <w:spacing w:line="588" w:lineRule="exact"/>
        <w:ind w:firstLine="4760" w:firstLineChars="1400"/>
        <w:jc w:val="left"/>
        <w:textAlignment w:val="auto"/>
        <w:rPr>
          <w:rFonts w:hint="default" w:ascii="Times New Roman" w:hAnsi="Times New Roman" w:eastAsia="仿宋" w:cs="Times New Roman"/>
          <w:b w:val="0"/>
          <w:bCs/>
          <w:color w:val="auto"/>
          <w:spacing w:val="0"/>
          <w:kern w:val="0"/>
          <w:sz w:val="34"/>
          <w:szCs w:val="34"/>
          <w:lang w:val="en-US" w:eastAsia="zh-CN"/>
        </w:rPr>
      </w:pPr>
    </w:p>
    <w:p w14:paraId="31EA3753">
      <w:pPr>
        <w:pStyle w:val="10"/>
        <w:keepNext w:val="0"/>
        <w:keepLines w:val="0"/>
        <w:pageBreakBefore w:val="0"/>
        <w:widowControl w:val="0"/>
        <w:kinsoku/>
        <w:wordWrap w:val="0"/>
        <w:overflowPunct/>
        <w:topLinePunct w:val="0"/>
        <w:autoSpaceDE w:val="0"/>
        <w:autoSpaceDN w:val="0"/>
        <w:bidi w:val="0"/>
        <w:adjustRightInd w:val="0"/>
        <w:snapToGrid/>
        <w:spacing w:line="588" w:lineRule="exact"/>
        <w:jc w:val="right"/>
        <w:textAlignment w:val="auto"/>
        <w:rPr>
          <w:rFonts w:hint="default" w:ascii="Times New Roman" w:hAnsi="Times New Roman" w:eastAsia="仿宋" w:cs="Times New Roman"/>
          <w:b w:val="0"/>
          <w:bCs/>
          <w:color w:val="auto"/>
          <w:spacing w:val="0"/>
          <w:kern w:val="0"/>
          <w:sz w:val="34"/>
          <w:szCs w:val="34"/>
          <w:lang w:val="en-US" w:eastAsia="zh-CN" w:bidi="ar-SA"/>
        </w:rPr>
      </w:pPr>
      <w:r>
        <w:rPr>
          <w:rFonts w:hint="default" w:ascii="Times New Roman" w:hAnsi="Times New Roman" w:eastAsia="仿宋" w:cs="Times New Roman"/>
          <w:b w:val="0"/>
          <w:bCs/>
          <w:color w:val="auto"/>
          <w:spacing w:val="0"/>
          <w:kern w:val="0"/>
          <w:sz w:val="34"/>
          <w:szCs w:val="34"/>
          <w:lang w:val="en-US" w:eastAsia="zh-CN"/>
        </w:rPr>
        <w:t>南开区</w:t>
      </w:r>
      <w:r>
        <w:rPr>
          <w:rFonts w:hint="default" w:ascii="Times New Roman" w:hAnsi="Times New Roman" w:eastAsia="仿宋" w:cs="Times New Roman"/>
          <w:b w:val="0"/>
          <w:bCs/>
          <w:color w:val="auto"/>
          <w:spacing w:val="0"/>
          <w:kern w:val="0"/>
          <w:sz w:val="34"/>
          <w:szCs w:val="34"/>
          <w:lang w:val="en-US" w:eastAsia="zh-CN" w:bidi="ar-SA"/>
        </w:rPr>
        <w:t xml:space="preserve">国资委  </w:t>
      </w:r>
    </w:p>
    <w:p w14:paraId="75E04831">
      <w:pPr>
        <w:pStyle w:val="10"/>
        <w:keepNext w:val="0"/>
        <w:keepLines w:val="0"/>
        <w:pageBreakBefore w:val="0"/>
        <w:widowControl w:val="0"/>
        <w:kinsoku/>
        <w:wordWrap w:val="0"/>
        <w:overflowPunct/>
        <w:topLinePunct w:val="0"/>
        <w:autoSpaceDE w:val="0"/>
        <w:autoSpaceDN w:val="0"/>
        <w:bidi w:val="0"/>
        <w:adjustRightInd w:val="0"/>
        <w:snapToGrid/>
        <w:spacing w:line="588" w:lineRule="exact"/>
        <w:jc w:val="right"/>
        <w:textAlignment w:val="auto"/>
        <w:rPr>
          <w:rFonts w:hint="default" w:ascii="Times New Roman" w:hAnsi="Times New Roman" w:eastAsia="仿宋" w:cs="Times New Roman"/>
          <w:b w:val="0"/>
          <w:bCs/>
          <w:color w:val="auto"/>
          <w:spacing w:val="0"/>
          <w:kern w:val="0"/>
          <w:sz w:val="34"/>
          <w:szCs w:val="34"/>
          <w:lang w:val="en-US" w:eastAsia="zh-CN"/>
        </w:rPr>
      </w:pPr>
      <w:r>
        <w:rPr>
          <w:rFonts w:hint="default" w:ascii="Times New Roman" w:hAnsi="Times New Roman" w:eastAsia="仿宋" w:cs="Times New Roman"/>
          <w:b w:val="0"/>
          <w:bCs/>
          <w:color w:val="auto"/>
          <w:spacing w:val="0"/>
          <w:kern w:val="0"/>
          <w:sz w:val="34"/>
          <w:szCs w:val="34"/>
          <w:lang w:val="en-US" w:eastAsia="zh-CN" w:bidi="ar-SA"/>
        </w:rPr>
        <w:t>2025</w:t>
      </w:r>
      <w:r>
        <w:rPr>
          <w:rFonts w:hint="default" w:ascii="Times New Roman" w:hAnsi="Times New Roman" w:eastAsia="仿宋" w:cs="Times New Roman"/>
          <w:b w:val="0"/>
          <w:bCs/>
          <w:color w:val="auto"/>
          <w:spacing w:val="0"/>
          <w:kern w:val="0"/>
          <w:sz w:val="34"/>
          <w:szCs w:val="34"/>
          <w:lang w:val="en-US" w:eastAsia="zh-CN"/>
        </w:rPr>
        <w:t>年</w:t>
      </w:r>
      <w:r>
        <w:rPr>
          <w:rFonts w:hint="default" w:ascii="Times New Roman" w:hAnsi="Times New Roman" w:eastAsia="仿宋" w:cs="Times New Roman"/>
          <w:b w:val="0"/>
          <w:bCs/>
          <w:color w:val="auto"/>
          <w:spacing w:val="0"/>
          <w:kern w:val="0"/>
          <w:sz w:val="34"/>
          <w:szCs w:val="34"/>
          <w:lang w:val="en-US" w:eastAsia="zh-CN" w:bidi="ar-SA"/>
        </w:rPr>
        <w:t>1</w:t>
      </w:r>
      <w:r>
        <w:rPr>
          <w:rFonts w:hint="default" w:ascii="Times New Roman" w:hAnsi="Times New Roman" w:eastAsia="仿宋" w:cs="Times New Roman"/>
          <w:b w:val="0"/>
          <w:bCs/>
          <w:color w:val="auto"/>
          <w:spacing w:val="0"/>
          <w:kern w:val="0"/>
          <w:sz w:val="34"/>
          <w:szCs w:val="34"/>
          <w:lang w:val="en-US" w:eastAsia="zh-CN"/>
        </w:rPr>
        <w:t>月</w:t>
      </w:r>
      <w:r>
        <w:rPr>
          <w:rFonts w:hint="default" w:ascii="Times New Roman" w:hAnsi="Times New Roman" w:eastAsia="仿宋" w:cs="Times New Roman"/>
          <w:b w:val="0"/>
          <w:bCs/>
          <w:color w:val="auto"/>
          <w:spacing w:val="0"/>
          <w:kern w:val="0"/>
          <w:sz w:val="34"/>
          <w:szCs w:val="34"/>
          <w:lang w:val="en-US" w:eastAsia="zh-CN" w:bidi="ar-SA"/>
        </w:rPr>
        <w:t>2</w:t>
      </w:r>
      <w:r>
        <w:rPr>
          <w:rFonts w:hint="default" w:ascii="Times New Roman" w:hAnsi="Times New Roman" w:eastAsia="仿宋" w:cs="Times New Roman"/>
          <w:b w:val="0"/>
          <w:bCs/>
          <w:color w:val="auto"/>
          <w:spacing w:val="0"/>
          <w:kern w:val="0"/>
          <w:sz w:val="34"/>
          <w:szCs w:val="34"/>
          <w:lang w:val="en-US" w:eastAsia="zh-CN"/>
        </w:rPr>
        <w:t xml:space="preserve">日  </w:t>
      </w:r>
    </w:p>
    <w:p w14:paraId="5B116B20">
      <w:pPr>
        <w:keepNext w:val="0"/>
        <w:keepLines w:val="0"/>
        <w:pageBreakBefore w:val="0"/>
        <w:kinsoku/>
        <w:wordWrap/>
        <w:overflowPunct/>
        <w:topLinePunct w:val="0"/>
        <w:bidi w:val="0"/>
        <w:snapToGrid/>
        <w:spacing w:line="588" w:lineRule="exact"/>
        <w:jc w:val="left"/>
        <w:textAlignment w:val="auto"/>
        <w:rPr>
          <w:rFonts w:hint="default" w:ascii="Times New Roman" w:hAnsi="Times New Roman" w:eastAsia="仿宋" w:cs="Times New Roman"/>
          <w:b w:val="0"/>
          <w:bCs/>
          <w:color w:val="auto"/>
          <w:spacing w:val="0"/>
          <w:sz w:val="34"/>
          <w:szCs w:val="34"/>
        </w:rPr>
      </w:pPr>
    </w:p>
    <w:p w14:paraId="736EB382"/>
    <w:sectPr>
      <w:footerReference r:id="rId3" w:type="default"/>
      <w:pgSz w:w="11906" w:h="16838"/>
      <w:pgMar w:top="2041" w:right="1559" w:bottom="1701" w:left="1559" w:header="851" w:footer="992" w:gutter="0"/>
      <w:pgBorders>
        <w:top w:val="none" w:sz="0" w:space="0"/>
        <w:left w:val="none" w:sz="0" w:space="0"/>
        <w:bottom w:val="none" w:sz="0" w:space="0"/>
        <w:right w:val="none" w:sz="0" w:space="0"/>
      </w:pgBorders>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F1F49">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762CF">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3762CF">
                    <w:pPr>
                      <w:pStyle w:val="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85A22"/>
    <w:rsid w:val="29085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jc w:val="left"/>
    </w:pPr>
    <w:rPr>
      <w:sz w:val="34"/>
      <w:szCs w:val="28"/>
    </w:rPr>
  </w:style>
  <w:style w:type="paragraph" w:styleId="3">
    <w:name w:val="Body Text First Indent"/>
    <w:basedOn w:val="2"/>
    <w:qFormat/>
    <w:uiPriority w:val="0"/>
    <w:pPr>
      <w:spacing w:line="500" w:lineRule="exact"/>
      <w:ind w:firstLine="420"/>
    </w:pPr>
    <w:rPr>
      <w:sz w:val="28"/>
      <w:szCs w:val="20"/>
    </w:rPr>
  </w:style>
  <w:style w:type="paragraph" w:styleId="4">
    <w:name w:val="Body Text Indent"/>
    <w:basedOn w:val="1"/>
    <w:qFormat/>
    <w:uiPriority w:val="0"/>
    <w:pPr>
      <w:spacing w:after="120"/>
      <w:ind w:left="420" w:leftChars="200"/>
    </w:p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4"/>
    <w:next w:val="5"/>
    <w:qFormat/>
    <w:uiPriority w:val="0"/>
    <w:pPr>
      <w:spacing w:after="0"/>
      <w:ind w:left="0" w:leftChars="0" w:firstLine="420" w:firstLineChars="200"/>
    </w:pPr>
    <w:rPr>
      <w:sz w:val="30"/>
      <w:szCs w:val="24"/>
    </w:r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Company>
  <Pages>7</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2025-02-07T03:23:00Z</dcterms:created>
  <dc:creator>user</dc:creator>
  <cp:lastModifiedBy>user</cp:lastModifiedBy>
  <dcterms:modified xsi:type="dcterms:W3CDTF">2025-02-07T03:24:43Z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8A3E76FE5D8D4A52B8180483154F0211_11</vt:lpwstr>
  </property>
  <property fmtid="{D5CDD505-2E9C-101B-9397-08002B2CF9AE}" pid="4" name="KSOTemplateDocerSaveRecord">
    <vt:lpwstr>eyJoZGlkIjoiMGYzYTdlMTlmYWEzNmU5NThhMTFmNjA0OGM3NWNiNDkifQ==</vt:lpwstr>
  </property>
</Properties>
</file>