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40" w:firstLineChars="1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南开区发改委2024年度行政执法工作报告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textAlignment w:val="baseline"/>
        <w:rPr>
          <w:rFonts w:ascii="仿宋_GB2312" w:hAnsi="微软雅黑" w:eastAsia="仿宋_GB2312" w:cs="仿宋_GB2312"/>
          <w:i w:val="0"/>
          <w:iCs w:val="0"/>
          <w:caps w:val="0"/>
          <w:color w:val="000000"/>
          <w:spacing w:val="0"/>
          <w:sz w:val="34"/>
          <w:szCs w:val="34"/>
          <w:vertAlign w:val="baseline"/>
        </w:rPr>
      </w:pPr>
    </w:p>
    <w:p>
      <w:pPr>
        <w:keepNext w:val="0"/>
        <w:keepLines w:val="0"/>
        <w:pageBreakBefore w:val="0"/>
        <w:widowControl w:val="0"/>
        <w:kinsoku/>
        <w:wordWrap w:val="0"/>
        <w:overflowPunct/>
        <w:topLinePunct w:val="0"/>
        <w:autoSpaceDE/>
        <w:autoSpaceDN/>
        <w:bidi w:val="0"/>
        <w:adjustRightInd/>
        <w:snapToGrid/>
        <w:spacing w:line="360" w:lineRule="auto"/>
        <w:ind w:right="28" w:firstLine="680" w:firstLineChars="200"/>
        <w:jc w:val="both"/>
        <w:textAlignment w:val="auto"/>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2024年，区发改委</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坚持以习近平新时代中国特色社会主义思想为指导，</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深入学习</w:t>
      </w:r>
      <w:r>
        <w:rPr>
          <w:rFonts w:hint="default" w:ascii="仿宋_GB2312" w:hAnsi="微软雅黑" w:eastAsia="仿宋_GB2312" w:cs="仿宋_GB2312"/>
          <w:b w:val="0"/>
          <w:i w:val="0"/>
          <w:iCs w:val="0"/>
          <w:caps w:val="0"/>
          <w:color w:val="000000"/>
          <w:spacing w:val="0"/>
          <w:kern w:val="0"/>
          <w:sz w:val="34"/>
          <w:szCs w:val="34"/>
          <w:vertAlign w:val="baseline"/>
          <w:lang w:val="zh-TW" w:eastAsia="zh-CN" w:bidi="ar"/>
        </w:rPr>
        <w:t>习近平法治思想</w:t>
      </w:r>
      <w:r>
        <w:rPr>
          <w:rFonts w:hint="eastAsia" w:ascii="仿宋_GB2312" w:hAnsi="微软雅黑" w:eastAsia="仿宋_GB2312" w:cs="仿宋_GB2312"/>
          <w:b w:val="0"/>
          <w:i w:val="0"/>
          <w:iCs w:val="0"/>
          <w:caps w:val="0"/>
          <w:color w:val="000000"/>
          <w:spacing w:val="0"/>
          <w:kern w:val="0"/>
          <w:sz w:val="34"/>
          <w:szCs w:val="34"/>
          <w:vertAlign w:val="baseline"/>
          <w:lang w:val="zh-TW" w:eastAsia="zh-CN" w:bidi="ar"/>
        </w:rPr>
        <w:t>，和</w:t>
      </w:r>
      <w:r>
        <w:rPr>
          <w:rFonts w:hint="default" w:ascii="仿宋_GB2312" w:hAnsi="微软雅黑" w:eastAsia="仿宋_GB2312" w:cs="仿宋_GB2312"/>
          <w:b w:val="0"/>
          <w:i w:val="0"/>
          <w:iCs w:val="0"/>
          <w:caps w:val="0"/>
          <w:color w:val="000000"/>
          <w:spacing w:val="0"/>
          <w:kern w:val="0"/>
          <w:sz w:val="34"/>
          <w:szCs w:val="34"/>
          <w:vertAlign w:val="baseline"/>
          <w:lang w:val="zh-TW" w:eastAsia="zh-CN" w:bidi="ar"/>
        </w:rPr>
        <w:t>党的二十届三中全会精神</w:t>
      </w:r>
      <w:r>
        <w:rPr>
          <w:rFonts w:hint="eastAsia" w:ascii="仿宋_GB2312" w:hAnsi="微软雅黑" w:eastAsia="仿宋_GB2312" w:cs="仿宋_GB2312"/>
          <w:b w:val="0"/>
          <w:i w:val="0"/>
          <w:iCs w:val="0"/>
          <w:caps w:val="0"/>
          <w:color w:val="000000"/>
          <w:spacing w:val="0"/>
          <w:kern w:val="0"/>
          <w:sz w:val="34"/>
          <w:szCs w:val="34"/>
          <w:vertAlign w:val="baseline"/>
          <w:lang w:val="zh-TW" w:eastAsia="zh-CN" w:bidi="ar"/>
        </w:rPr>
        <w:t>，</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围绕法治建设“</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一规划两纲要</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”工作任务，依法履行政府职能，现将本年度行政执法情况报告如下。</w:t>
      </w:r>
    </w:p>
    <w:p>
      <w:pPr>
        <w:keepNext w:val="0"/>
        <w:keepLines w:val="0"/>
        <w:pageBreakBefore w:val="0"/>
        <w:widowControl w:val="0"/>
        <w:kinsoku/>
        <w:wordWrap w:val="0"/>
        <w:overflowPunct/>
        <w:topLinePunct w:val="0"/>
        <w:autoSpaceDE/>
        <w:autoSpaceDN/>
        <w:bidi w:val="0"/>
        <w:adjustRightInd/>
        <w:snapToGrid/>
        <w:spacing w:line="360" w:lineRule="auto"/>
        <w:ind w:right="28" w:firstLine="680" w:firstLineChars="200"/>
        <w:jc w:val="both"/>
        <w:textAlignment w:val="auto"/>
        <w:rPr>
          <w:rFonts w:hint="eastAsia" w:ascii="黑体" w:hAnsi="黑体" w:eastAsia="黑体" w:cs="黑体"/>
          <w:b w:val="0"/>
          <w:i w:val="0"/>
          <w:iCs w:val="0"/>
          <w:caps w:val="0"/>
          <w:color w:val="000000"/>
          <w:spacing w:val="0"/>
          <w:kern w:val="0"/>
          <w:sz w:val="34"/>
          <w:szCs w:val="34"/>
          <w:vertAlign w:val="baseline"/>
          <w:lang w:val="en-US" w:eastAsia="zh-CN" w:bidi="ar"/>
        </w:rPr>
      </w:pPr>
      <w:r>
        <w:rPr>
          <w:rFonts w:hint="eastAsia" w:ascii="黑体" w:hAnsi="黑体" w:eastAsia="黑体" w:cs="黑体"/>
          <w:b w:val="0"/>
          <w:i w:val="0"/>
          <w:iCs w:val="0"/>
          <w:caps w:val="0"/>
          <w:color w:val="000000"/>
          <w:spacing w:val="0"/>
          <w:kern w:val="0"/>
          <w:sz w:val="34"/>
          <w:szCs w:val="34"/>
          <w:vertAlign w:val="baseline"/>
          <w:lang w:val="en-US" w:eastAsia="zh-CN" w:bidi="ar"/>
        </w:rPr>
        <w:t>一、基本情况</w:t>
      </w:r>
    </w:p>
    <w:p>
      <w:pPr>
        <w:keepNext w:val="0"/>
        <w:keepLines w:val="0"/>
        <w:pageBreakBefore w:val="0"/>
        <w:widowControl w:val="0"/>
        <w:kinsoku/>
        <w:wordWrap w:val="0"/>
        <w:overflowPunct/>
        <w:topLinePunct w:val="0"/>
        <w:autoSpaceDE/>
        <w:autoSpaceDN/>
        <w:bidi w:val="0"/>
        <w:adjustRightInd/>
        <w:snapToGrid/>
        <w:spacing w:line="360" w:lineRule="auto"/>
        <w:ind w:right="28" w:firstLine="680" w:firstLineChars="200"/>
        <w:jc w:val="both"/>
        <w:textAlignment w:val="auto"/>
        <w:rPr>
          <w:rFonts w:hint="eastAsia" w:ascii="楷体_GB2312" w:hAnsi="楷体_GB2312" w:eastAsia="楷体_GB2312" w:cs="楷体_GB2312"/>
          <w:sz w:val="34"/>
          <w:szCs w:val="34"/>
          <w:lang w:val="en-US" w:eastAsia="zh-CN"/>
        </w:rPr>
      </w:pP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2024年，区发改委按照权责清单内容，围绕节能、清洁生产、粮食流通、信用信息监管、价格监测制定全年行政执法计划，和“双随机、一公开”抽查计划。全年共计划检查12家次，实际检查12家次，无行政处罚、行政强制、行政奖励等情况，执法履职率和执法人员办案率均达到100%。</w:t>
      </w:r>
    </w:p>
    <w:p>
      <w:pPr>
        <w:keepNext w:val="0"/>
        <w:keepLines w:val="0"/>
        <w:pageBreakBefore w:val="0"/>
        <w:widowControl w:val="0"/>
        <w:kinsoku/>
        <w:wordWrap w:val="0"/>
        <w:overflowPunct/>
        <w:topLinePunct w:val="0"/>
        <w:autoSpaceDE/>
        <w:autoSpaceDN/>
        <w:bidi w:val="0"/>
        <w:adjustRightInd/>
        <w:snapToGrid/>
        <w:spacing w:line="360" w:lineRule="auto"/>
        <w:ind w:right="28" w:firstLine="680" w:firstLineChars="200"/>
        <w:jc w:val="both"/>
        <w:textAlignment w:val="auto"/>
        <w:rPr>
          <w:rFonts w:hint="eastAsia" w:ascii="黑体" w:hAnsi="黑体" w:eastAsia="黑体" w:cs="黑体"/>
          <w:b w:val="0"/>
          <w:i w:val="0"/>
          <w:iCs w:val="0"/>
          <w:caps w:val="0"/>
          <w:color w:val="000000"/>
          <w:spacing w:val="0"/>
          <w:kern w:val="0"/>
          <w:sz w:val="34"/>
          <w:szCs w:val="34"/>
          <w:vertAlign w:val="baseline"/>
          <w:lang w:val="en-US" w:eastAsia="zh-CN" w:bidi="ar"/>
        </w:rPr>
      </w:pPr>
      <w:r>
        <w:rPr>
          <w:rFonts w:hint="eastAsia" w:ascii="黑体" w:hAnsi="黑体" w:eastAsia="黑体" w:cs="黑体"/>
          <w:b w:val="0"/>
          <w:i w:val="0"/>
          <w:iCs w:val="0"/>
          <w:caps w:val="0"/>
          <w:color w:val="000000"/>
          <w:spacing w:val="0"/>
          <w:kern w:val="0"/>
          <w:sz w:val="34"/>
          <w:szCs w:val="34"/>
          <w:vertAlign w:val="baseline"/>
          <w:lang w:val="en-US" w:eastAsia="zh-CN" w:bidi="ar"/>
        </w:rPr>
        <w:t>二、主要工作措施及成效</w:t>
      </w:r>
    </w:p>
    <w:p>
      <w:pPr>
        <w:pStyle w:val="9"/>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sz w:val="34"/>
          <w:szCs w:val="34"/>
          <w:lang w:val="en-US" w:eastAsia="zh-CN"/>
        </w:rPr>
        <w:t>1.制度的建立和落实情况。</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为推动行政执法更加严格规范公正文明</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，区发改委对照</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《2024年南开区行政执法协调监督工作方案》</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工作内容，严格落实“三项制度”，</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加强对《粮食安全保障法》《</w:t>
      </w:r>
      <w:r>
        <w:rPr>
          <w:rFonts w:hint="default" w:ascii="仿宋_GB2312" w:hAnsi="微软雅黑" w:eastAsia="仿宋_GB2312" w:cs="仿宋_GB2312"/>
          <w:b w:val="0"/>
          <w:i w:val="0"/>
          <w:iCs w:val="0"/>
          <w:caps w:val="0"/>
          <w:color w:val="000000"/>
          <w:spacing w:val="0"/>
          <w:kern w:val="0"/>
          <w:sz w:val="34"/>
          <w:szCs w:val="34"/>
          <w:vertAlign w:val="baseline"/>
          <w:lang w:val="en" w:eastAsia="zh-CN" w:bidi="ar"/>
        </w:rPr>
        <w:t>中华人民共和国</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价格法》《粮食流通管理条例》《节能监察办法》</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《天津市社会信用条例》</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等政策法规的学习，</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不断提高行政执法工作人员业务水平；</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严格</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执行</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行政执法人员持证上岗、亮证执法制度，严守行政执法法定程序，确保行政执法检查合法合规、便捷高效</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；持续健全和完善重大行政执法决定法制审核制度，配齐公职律师及法律顾问，严格落实重大行政执法决定法制审核相关程序，做好依申请公开，和行政执法的法制审核工作；</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组织执法人员开展执法工作培训，</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要求各科室及时对相关的行政执法检查、行政处罚等法律文书进行梳理和调整，进一步规范公正文明执法，避免行政争议案件发生；规范建立检查对象名录库和执法检查人员库，定期做好更新维护，</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将行政执法</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检查</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信息及时准确录入天津市行政执法监督平台</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和天津市“双随机、一公开”监管工作平台</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进行公示</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sz w:val="34"/>
          <w:szCs w:val="34"/>
          <w:lang w:val="en-US" w:eastAsia="zh-CN"/>
        </w:rPr>
        <w:t>2.重点执法工作开展情况。</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区发改委</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在开展日常行政执法检查工作的同时，明确重点、紧抓落实：一是，高度重视区属储备粮安全，</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先后4次对区级储备粮承储企业储备责任落实情况进行监督检查，联合区纪委、财政、审计、应急等部门对南开区成品粮储备情况开展联合检查2次</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实地察看南开区成品粮储备的数量质量、轮换账目、环境管理以及安全生产、防汛应急、运力保障等措施落实情况</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二是，持续做好《南开区贯彻落实&lt;提升行政执法质量三年行动计划（2023—2025年）&gt;实施细则》各项工作任务。编制出台天津市公共信用信息目录，推动形成覆盖全部信用主体、所有行业信息类别、全市各区的信用信息网络。按照市公共信用中心工作部署，8月份开始开展《南开区信用信息目录》（2024年）版的编制工作；建立完善公共综合信用评价体系，以信用风险为导向优化配置监管资源。在严格落实市级各行业分级分类监管工作要求的基础上，大力推进区级部门自行开展以信用为基础的分级分类监管，通过运用天津市综合信用评价结果信息在文化、旅游、养老领域出台新的信用分级分类制度文件，形成监管联动、数据同步、协同治理的新格局；将35家养老服务机构、94家旅行社企业、56家文化市场企业信用评价结果信息推送至市信用信息共享平台；推进行政执法监督平台与“互联网+监管”系统、信用信息共享平台、“双随机、一公开”系统的数据共享；依托南开区信用信息共享平台，按照《天津市公共信用信息目录》归集各成员单位信用数据237914条，并推送至天津市信用信息共享平台。</w:t>
      </w:r>
    </w:p>
    <w:p>
      <w:pPr>
        <w:pStyle w:val="9"/>
        <w:ind w:left="0" w:leftChars="0" w:firstLine="680" w:firstLineChars="200"/>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sz w:val="34"/>
          <w:szCs w:val="34"/>
          <w:lang w:val="en-US" w:eastAsia="zh-CN"/>
        </w:rPr>
        <w:t>3.执法方式创新情况。</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积极推行以信用为基础的新型监管机制，</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配合市发改委做好节能信用信息归集等工作，结合重点用能单位节能目标责任评价考核以及企业信用信息等情况，形成节能信用评价信息并予以运用</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w:t>
      </w:r>
    </w:p>
    <w:p>
      <w:pPr>
        <w:pStyle w:val="9"/>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sz w:val="34"/>
          <w:szCs w:val="34"/>
          <w:lang w:val="en-US" w:eastAsia="zh-CN"/>
        </w:rPr>
        <w:t>4.执法队伍建设情况。</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区发改委高度重视执法队伍建设工作，抓基础、见成效：一是不断强化教育培训。</w:t>
      </w:r>
      <w:r>
        <w:rPr>
          <w:rFonts w:hint="eastAsia" w:ascii="仿宋_GB2312" w:hAnsi="微软雅黑" w:eastAsia="仿宋_GB2312" w:cs="仿宋_GB2312"/>
          <w:b w:val="0"/>
          <w:i w:val="0"/>
          <w:iCs w:val="0"/>
          <w:caps w:val="0"/>
          <w:color w:val="000000"/>
          <w:spacing w:val="0"/>
          <w:kern w:val="0"/>
          <w:sz w:val="34"/>
          <w:szCs w:val="34"/>
          <w:vertAlign w:val="baseline"/>
          <w:lang w:val="en" w:eastAsia="zh-CN" w:bidi="ar"/>
        </w:rPr>
        <w:t>在完成各上级业务主管部门组织的学习培训之外，</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各执法科室结合工作实际，制定2024年度执法培训计划，开展公共法律知识、专门法律知识、新法律法规等法治教育培训，并对新修订的《中华人民共和国行政处罚法》开展专题学习，</w:t>
      </w:r>
      <w:r>
        <w:rPr>
          <w:rFonts w:hint="eastAsia" w:ascii="仿宋_GB2312" w:hAnsi="微软雅黑" w:eastAsia="仿宋_GB2312" w:cs="仿宋_GB2312"/>
          <w:b w:val="0"/>
          <w:i w:val="0"/>
          <w:iCs w:val="0"/>
          <w:caps w:val="0"/>
          <w:color w:val="000000"/>
          <w:spacing w:val="0"/>
          <w:kern w:val="0"/>
          <w:sz w:val="34"/>
          <w:szCs w:val="34"/>
          <w:vertAlign w:val="baseline"/>
          <w:lang w:val="en" w:eastAsia="zh-CN" w:bidi="ar"/>
        </w:rPr>
        <w:t>把</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行政执法人员每人每年接受不少于60学时的</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业务</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知识</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和法律法规</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培训</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要求落实到位。组织全体行政执法人员参加本年度网上培训和考试，以及市、区上级主管部门的培训和考试，均获得良好成绩，执法人员的法律素养、业务水平进一步提高，持续推进执法队伍建设专业化、规范化。二是及时调整队伍架构。</w:t>
      </w:r>
      <w:r>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t>严格落实行政执法证件动态管理制度，</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根据执法队伍人员结构，科室工作职责以及工作需要，今年注销3名行政执法人员执法证，在保证每个执法科室至少有两名执法人员的同时，符合法制审核人员不少于本单位执法人员总数5%的要求，即保证执法工作正常开展，又避免执法队伍无序扩张，造成执法人员业务能力参差不齐，执法工作质量提升缓慢，和执法工作不精不准的问题。</w:t>
      </w:r>
    </w:p>
    <w:p>
      <w:pPr>
        <w:keepNext w:val="0"/>
        <w:keepLines w:val="0"/>
        <w:pageBreakBefore w:val="0"/>
        <w:widowControl w:val="0"/>
        <w:kinsoku/>
        <w:wordWrap w:val="0"/>
        <w:overflowPunct/>
        <w:topLinePunct w:val="0"/>
        <w:autoSpaceDE/>
        <w:autoSpaceDN/>
        <w:bidi w:val="0"/>
        <w:adjustRightInd/>
        <w:snapToGrid/>
        <w:spacing w:line="360" w:lineRule="auto"/>
        <w:ind w:right="28" w:firstLine="680" w:firstLineChars="200"/>
        <w:jc w:val="both"/>
        <w:textAlignment w:val="auto"/>
        <w:rPr>
          <w:rFonts w:hint="eastAsia" w:ascii="黑体" w:hAnsi="黑体" w:eastAsia="黑体" w:cs="黑体"/>
          <w:b w:val="0"/>
          <w:i w:val="0"/>
          <w:iCs w:val="0"/>
          <w:caps w:val="0"/>
          <w:color w:val="000000"/>
          <w:spacing w:val="0"/>
          <w:kern w:val="0"/>
          <w:sz w:val="34"/>
          <w:szCs w:val="34"/>
          <w:vertAlign w:val="baseline"/>
          <w:lang w:val="en-US" w:eastAsia="zh-CN" w:bidi="ar"/>
        </w:rPr>
      </w:pPr>
      <w:r>
        <w:rPr>
          <w:rFonts w:hint="eastAsia" w:ascii="黑体" w:hAnsi="黑体" w:eastAsia="黑体" w:cs="黑体"/>
          <w:b w:val="0"/>
          <w:i w:val="0"/>
          <w:iCs w:val="0"/>
          <w:caps w:val="0"/>
          <w:color w:val="000000"/>
          <w:spacing w:val="0"/>
          <w:kern w:val="0"/>
          <w:sz w:val="34"/>
          <w:szCs w:val="34"/>
          <w:vertAlign w:val="baseline"/>
          <w:lang w:val="en-US" w:eastAsia="zh-CN" w:bidi="ar"/>
        </w:rPr>
        <w:t>三、存在问题</w:t>
      </w:r>
    </w:p>
    <w:p>
      <w:pPr>
        <w:pStyle w:val="2"/>
        <w:ind w:firstLine="680" w:firstLineChars="200"/>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kern w:val="2"/>
          <w:sz w:val="34"/>
          <w:szCs w:val="34"/>
          <w:lang w:val="en-US" w:eastAsia="zh-CN" w:bidi="ar-SA"/>
        </w:rPr>
        <w:t>1.执法人员能力素质有待提高。</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执法人员整体业务能力和综合素质与法治政府建设要求还有差距，在执法理念、执法方式上缺乏创新意识，执法工作开展过程中按部就班多，导致亮点工作少。</w:t>
      </w:r>
    </w:p>
    <w:p>
      <w:pPr>
        <w:pStyle w:val="2"/>
        <w:ind w:firstLine="680" w:firstLineChars="200"/>
        <w:rPr>
          <w:rFonts w:hint="default"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kern w:val="2"/>
          <w:sz w:val="34"/>
          <w:szCs w:val="34"/>
          <w:lang w:val="en-US" w:eastAsia="zh-CN" w:bidi="ar-SA"/>
        </w:rPr>
        <w:t>2.执法重点工作任务落实不到位。</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开展执法重点工作过程中监督、督促作用发挥不到位，南开区信用信息共享平台数据上报工作中，部分单位存在缺乏主动性、权责事项清单梳理不够及时，和依法行政教育培训内容单一的问题。</w:t>
      </w:r>
    </w:p>
    <w:p>
      <w:pPr>
        <w:keepNext w:val="0"/>
        <w:keepLines w:val="0"/>
        <w:pageBreakBefore w:val="0"/>
        <w:widowControl w:val="0"/>
        <w:kinsoku/>
        <w:wordWrap w:val="0"/>
        <w:overflowPunct/>
        <w:topLinePunct w:val="0"/>
        <w:autoSpaceDE/>
        <w:autoSpaceDN/>
        <w:bidi w:val="0"/>
        <w:adjustRightInd/>
        <w:snapToGrid/>
        <w:spacing w:line="360" w:lineRule="auto"/>
        <w:ind w:right="28" w:firstLine="680" w:firstLineChars="200"/>
        <w:jc w:val="both"/>
        <w:textAlignment w:val="auto"/>
        <w:rPr>
          <w:rFonts w:hint="eastAsia" w:ascii="黑体" w:hAnsi="黑体" w:eastAsia="黑体" w:cs="黑体"/>
          <w:b w:val="0"/>
          <w:i w:val="0"/>
          <w:iCs w:val="0"/>
          <w:caps w:val="0"/>
          <w:color w:val="000000"/>
          <w:spacing w:val="0"/>
          <w:kern w:val="0"/>
          <w:sz w:val="34"/>
          <w:szCs w:val="34"/>
          <w:vertAlign w:val="baseline"/>
          <w:lang w:val="en-US" w:eastAsia="zh-CN" w:bidi="ar"/>
        </w:rPr>
      </w:pPr>
      <w:r>
        <w:rPr>
          <w:rFonts w:hint="eastAsia" w:ascii="黑体" w:hAnsi="黑体" w:eastAsia="黑体" w:cs="黑体"/>
          <w:b w:val="0"/>
          <w:i w:val="0"/>
          <w:iCs w:val="0"/>
          <w:caps w:val="0"/>
          <w:color w:val="000000"/>
          <w:spacing w:val="0"/>
          <w:kern w:val="0"/>
          <w:sz w:val="34"/>
          <w:szCs w:val="34"/>
          <w:vertAlign w:val="baseline"/>
          <w:lang w:val="en-US" w:eastAsia="zh-CN" w:bidi="ar"/>
        </w:rPr>
        <w:t>四、下一步工作安排</w:t>
      </w:r>
    </w:p>
    <w:p>
      <w:pPr>
        <w:keepNext w:val="0"/>
        <w:keepLines w:val="0"/>
        <w:pageBreakBefore w:val="0"/>
        <w:widowControl w:val="0"/>
        <w:kinsoku/>
        <w:wordWrap w:val="0"/>
        <w:overflowPunct/>
        <w:topLinePunct w:val="0"/>
        <w:autoSpaceDE/>
        <w:autoSpaceDN/>
        <w:bidi w:val="0"/>
        <w:adjustRightInd/>
        <w:snapToGrid/>
        <w:spacing w:line="360" w:lineRule="auto"/>
        <w:ind w:right="28" w:firstLine="680" w:firstLineChars="200"/>
        <w:jc w:val="both"/>
        <w:textAlignment w:val="auto"/>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kern w:val="2"/>
          <w:sz w:val="34"/>
          <w:szCs w:val="34"/>
          <w:lang w:val="en-US" w:eastAsia="zh-CN" w:bidi="ar-SA"/>
        </w:rPr>
        <w:t>1.</w:t>
      </w:r>
      <w:r>
        <w:rPr>
          <w:rFonts w:hint="default" w:ascii="楷体_GB2312" w:hAnsi="楷体_GB2312" w:eastAsia="楷体_GB2312" w:cs="楷体_GB2312"/>
          <w:kern w:val="2"/>
          <w:sz w:val="34"/>
          <w:szCs w:val="34"/>
          <w:lang w:val="en-US" w:eastAsia="zh-CN" w:bidi="ar-SA"/>
        </w:rPr>
        <w:t>强化</w:t>
      </w:r>
      <w:r>
        <w:rPr>
          <w:rFonts w:hint="eastAsia" w:ascii="楷体_GB2312" w:hAnsi="楷体_GB2312" w:eastAsia="楷体_GB2312" w:cs="楷体_GB2312"/>
          <w:kern w:val="2"/>
          <w:sz w:val="34"/>
          <w:szCs w:val="34"/>
          <w:lang w:val="en-US" w:eastAsia="zh-CN" w:bidi="ar-SA"/>
        </w:rPr>
        <w:t>教育培训</w:t>
      </w:r>
      <w:r>
        <w:rPr>
          <w:rFonts w:hint="default" w:ascii="楷体_GB2312" w:hAnsi="楷体_GB2312" w:eastAsia="楷体_GB2312" w:cs="楷体_GB2312"/>
          <w:kern w:val="2"/>
          <w:sz w:val="34"/>
          <w:szCs w:val="34"/>
          <w:lang w:val="en-US" w:eastAsia="zh-CN" w:bidi="ar-SA"/>
        </w:rPr>
        <w:t>，</w:t>
      </w:r>
      <w:r>
        <w:rPr>
          <w:rFonts w:hint="eastAsia" w:ascii="楷体_GB2312" w:hAnsi="楷体_GB2312" w:eastAsia="楷体_GB2312" w:cs="楷体_GB2312"/>
          <w:kern w:val="2"/>
          <w:sz w:val="34"/>
          <w:szCs w:val="34"/>
          <w:lang w:val="en-US" w:eastAsia="zh-CN" w:bidi="ar-SA"/>
        </w:rPr>
        <w:t>加强队伍建设。</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持续深入学习习近平法治思想，第一时间传达学习习近平总书记关于法治建设的重要批示指示和讲话精神。组织执法人员经常性学习执法领域法律法规政策，积极参加市、区相关部门组织的执法业务培训，促进执法人员法治意识和执法能力全面提升。强化行政处罚、行政复议、行政诉讼等相关法律的学习，运用法律知识解决行政诉讼过程中的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r>
        <w:rPr>
          <w:rFonts w:hint="eastAsia" w:ascii="楷体_GB2312" w:hAnsi="楷体_GB2312" w:eastAsia="楷体_GB2312" w:cs="楷体_GB2312"/>
          <w:sz w:val="34"/>
          <w:szCs w:val="34"/>
          <w:lang w:val="en-US" w:eastAsia="zh-CN"/>
        </w:rPr>
        <w:t>2.围绕重点任务，有序开展工作。</w:t>
      </w:r>
      <w:r>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t>紧紧围绕《南开区贯彻落实&lt;提升行政执法质量三年行动计划（2023-2025年）&gt;工作台账》任务要求，在文化市场、旅游行业、养老服务领域已出台信用分级分类监管制度文件，并在开展信用评价的基础上，持续推进信用分级分类监管工作，不断拓展监管范围。与相关部门积极沟通，相互协调，推进行政执法监督平台与“互联网+监管”系统、信用信息共享平台、“双随机、一公开”系统的数据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color w:val="C00000"/>
          <w:sz w:val="34"/>
          <w:szCs w:val="32"/>
          <w:lang w:val="en-US" w:eastAsia="zh-CN"/>
        </w:rPr>
      </w:pPr>
    </w:p>
    <w:p>
      <w:pPr>
        <w:pStyle w:val="2"/>
        <w:keepNext w:val="0"/>
        <w:keepLines w:val="0"/>
        <w:pageBreakBefore w:val="0"/>
        <w:widowControl w:val="0"/>
        <w:kinsoku/>
        <w:overflowPunct/>
        <w:topLinePunct w:val="0"/>
        <w:autoSpaceDE/>
        <w:autoSpaceDN/>
        <w:bidi w:val="0"/>
        <w:adjustRightInd/>
        <w:snapToGrid/>
        <w:spacing w:line="360" w:lineRule="auto"/>
        <w:ind w:firstLine="5780" w:firstLineChars="1700"/>
        <w:textAlignment w:val="auto"/>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ind w:firstLine="5780" w:firstLineChars="1700"/>
        <w:textAlignment w:val="auto"/>
        <w:rPr>
          <w:rFonts w:hint="eastAsia" w:ascii="仿宋_GB2312" w:hAnsi="微软雅黑" w:eastAsia="仿宋_GB2312" w:cs="仿宋_GB2312"/>
          <w:b w:val="0"/>
          <w:i w:val="0"/>
          <w:iCs w:val="0"/>
          <w:caps w:val="0"/>
          <w:color w:val="000000"/>
          <w:spacing w:val="0"/>
          <w:kern w:val="0"/>
          <w:sz w:val="34"/>
          <w:szCs w:val="34"/>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ind w:firstLine="6230" w:firstLineChars="1750"/>
        <w:jc w:val="both"/>
        <w:textAlignment w:val="auto"/>
        <w:rPr>
          <w:rFonts w:hint="eastAsia" w:ascii="仿宋" w:hAnsi="仿宋" w:eastAsia="仿宋" w:cs="Arial"/>
          <w:spacing w:val="8"/>
          <w:kern w:val="0"/>
          <w:sz w:val="34"/>
          <w:szCs w:val="34"/>
          <w:lang w:val="en-US" w:eastAsia="zh-CN"/>
        </w:rPr>
      </w:pPr>
      <w:r>
        <w:rPr>
          <w:rFonts w:hint="eastAsia" w:ascii="仿宋" w:hAnsi="仿宋" w:eastAsia="仿宋" w:cs="Arial"/>
          <w:spacing w:val="8"/>
          <w:kern w:val="0"/>
          <w:sz w:val="34"/>
          <w:szCs w:val="34"/>
          <w:lang w:val="en-US" w:eastAsia="zh-CN"/>
        </w:rPr>
        <w:t>南开区发改委</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ind w:firstLine="712" w:firstLineChars="200"/>
        <w:jc w:val="right"/>
        <w:textAlignment w:val="auto"/>
        <w:rPr>
          <w:rFonts w:hint="default" w:ascii="仿宋" w:hAnsi="仿宋" w:eastAsia="仿宋" w:cs="Arial"/>
          <w:spacing w:val="8"/>
          <w:kern w:val="0"/>
          <w:sz w:val="34"/>
          <w:szCs w:val="34"/>
          <w:lang w:val="en-US" w:eastAsia="zh-CN"/>
        </w:rPr>
      </w:pPr>
      <w:r>
        <w:rPr>
          <w:rFonts w:hint="eastAsia" w:ascii="仿宋" w:hAnsi="仿宋" w:eastAsia="仿宋" w:cs="Arial"/>
          <w:spacing w:val="8"/>
          <w:kern w:val="0"/>
          <w:sz w:val="34"/>
          <w:szCs w:val="34"/>
          <w:lang w:val="en-US" w:eastAsia="zh-CN"/>
        </w:rPr>
        <w:t>202</w:t>
      </w:r>
      <w:r>
        <w:rPr>
          <w:rFonts w:hint="default" w:ascii="仿宋" w:hAnsi="仿宋" w:eastAsia="仿宋" w:cs="Arial"/>
          <w:spacing w:val="8"/>
          <w:kern w:val="0"/>
          <w:sz w:val="34"/>
          <w:szCs w:val="34"/>
          <w:lang w:val="en-US" w:eastAsia="zh-CN"/>
        </w:rPr>
        <w:t>5</w:t>
      </w:r>
      <w:r>
        <w:rPr>
          <w:rFonts w:hint="eastAsia" w:ascii="仿宋" w:hAnsi="仿宋" w:eastAsia="仿宋" w:cs="Arial"/>
          <w:spacing w:val="8"/>
          <w:kern w:val="0"/>
          <w:sz w:val="34"/>
          <w:szCs w:val="34"/>
          <w:lang w:val="en-US" w:eastAsia="zh-CN"/>
        </w:rPr>
        <w:t>年1月</w:t>
      </w:r>
      <w:r>
        <w:rPr>
          <w:rFonts w:hint="default" w:ascii="仿宋" w:hAnsi="仿宋" w:eastAsia="仿宋" w:cs="Arial"/>
          <w:spacing w:val="8"/>
          <w:kern w:val="0"/>
          <w:sz w:val="34"/>
          <w:szCs w:val="34"/>
          <w:lang w:val="en-US" w:eastAsia="zh-CN"/>
        </w:rPr>
        <w:t>1</w:t>
      </w:r>
      <w:r>
        <w:rPr>
          <w:rFonts w:hint="eastAsia" w:ascii="仿宋" w:hAnsi="仿宋" w:eastAsia="仿宋" w:cs="Arial"/>
          <w:spacing w:val="8"/>
          <w:kern w:val="0"/>
          <w:sz w:val="34"/>
          <w:szCs w:val="34"/>
          <w:lang w:val="en-US" w:eastAsia="zh-CN"/>
        </w:rPr>
        <w:t>3</w:t>
      </w:r>
      <w:bookmarkStart w:id="0" w:name="_GoBack"/>
      <w:bookmarkEnd w:id="0"/>
      <w:r>
        <w:rPr>
          <w:rFonts w:hint="eastAsia" w:ascii="仿宋" w:hAnsi="仿宋" w:eastAsia="仿宋" w:cs="Arial"/>
          <w:spacing w:val="8"/>
          <w:kern w:val="0"/>
          <w:sz w:val="34"/>
          <w:szCs w:val="34"/>
          <w:lang w:val="en-US" w:eastAsia="zh-CN"/>
        </w:rPr>
        <w:t>日</w:t>
      </w:r>
    </w:p>
    <w:p>
      <w:pPr>
        <w:pStyle w:val="2"/>
        <w:keepNext w:val="0"/>
        <w:keepLines w:val="0"/>
        <w:pageBreakBefore w:val="0"/>
        <w:widowControl w:val="0"/>
        <w:kinsoku/>
        <w:overflowPunct/>
        <w:topLinePunct w:val="0"/>
        <w:autoSpaceDE/>
        <w:autoSpaceDN/>
        <w:bidi w:val="0"/>
        <w:adjustRightInd/>
        <w:snapToGrid/>
        <w:spacing w:line="360" w:lineRule="auto"/>
        <w:ind w:firstLine="5440" w:firstLineChars="1700"/>
        <w:textAlignment w:val="auto"/>
        <w:rPr>
          <w:rFonts w:hint="default"/>
          <w:lang w:val="en-US" w:eastAsia="zh-CN"/>
        </w:rPr>
      </w:pPr>
    </w:p>
    <w:sectPr>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仿宋"/>
    <w:panose1 w:val="0201060900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527F9"/>
    <w:rsid w:val="0F773F2F"/>
    <w:rsid w:val="0FED0036"/>
    <w:rsid w:val="17E63CF9"/>
    <w:rsid w:val="17F66958"/>
    <w:rsid w:val="1DBFAEF7"/>
    <w:rsid w:val="1FAF8B30"/>
    <w:rsid w:val="2C3F93CB"/>
    <w:rsid w:val="379DD995"/>
    <w:rsid w:val="379F7E5E"/>
    <w:rsid w:val="3B9BFE1C"/>
    <w:rsid w:val="3BF63BBC"/>
    <w:rsid w:val="3DBF129A"/>
    <w:rsid w:val="3FAA2116"/>
    <w:rsid w:val="3FB7815A"/>
    <w:rsid w:val="3FFED7D3"/>
    <w:rsid w:val="4BFB0313"/>
    <w:rsid w:val="4EFFE3CA"/>
    <w:rsid w:val="4FBFA89A"/>
    <w:rsid w:val="53DB7E42"/>
    <w:rsid w:val="53DD41CB"/>
    <w:rsid w:val="57B7B369"/>
    <w:rsid w:val="594F5315"/>
    <w:rsid w:val="5B368DF9"/>
    <w:rsid w:val="5BFCD5C2"/>
    <w:rsid w:val="5DBF946A"/>
    <w:rsid w:val="5DFF908F"/>
    <w:rsid w:val="5F74ED74"/>
    <w:rsid w:val="5FBEBAB8"/>
    <w:rsid w:val="5FFFCF0A"/>
    <w:rsid w:val="61DF6A98"/>
    <w:rsid w:val="66EF0974"/>
    <w:rsid w:val="673EE6DA"/>
    <w:rsid w:val="687E69F2"/>
    <w:rsid w:val="68FF92A1"/>
    <w:rsid w:val="693D7386"/>
    <w:rsid w:val="6BBF47DC"/>
    <w:rsid w:val="6BBF638E"/>
    <w:rsid w:val="6DDDBC31"/>
    <w:rsid w:val="6DFB73E5"/>
    <w:rsid w:val="6E6F5F39"/>
    <w:rsid w:val="6EEA950E"/>
    <w:rsid w:val="6EEF8931"/>
    <w:rsid w:val="6FDF414A"/>
    <w:rsid w:val="6FEBE781"/>
    <w:rsid w:val="6FF392CA"/>
    <w:rsid w:val="6FFF938E"/>
    <w:rsid w:val="71F4459C"/>
    <w:rsid w:val="72A61B2D"/>
    <w:rsid w:val="734F0B30"/>
    <w:rsid w:val="73FF4106"/>
    <w:rsid w:val="74BF59BD"/>
    <w:rsid w:val="74E6E402"/>
    <w:rsid w:val="756EC0CB"/>
    <w:rsid w:val="76DF632E"/>
    <w:rsid w:val="77611ECC"/>
    <w:rsid w:val="77E7922F"/>
    <w:rsid w:val="77FBFC6B"/>
    <w:rsid w:val="78E327A0"/>
    <w:rsid w:val="79B76F64"/>
    <w:rsid w:val="79FFA338"/>
    <w:rsid w:val="7B3F2715"/>
    <w:rsid w:val="7B9F86A8"/>
    <w:rsid w:val="7C4767FC"/>
    <w:rsid w:val="7C5F24E9"/>
    <w:rsid w:val="7D7D540B"/>
    <w:rsid w:val="7DD9B85A"/>
    <w:rsid w:val="7DE618D0"/>
    <w:rsid w:val="7E5D9C23"/>
    <w:rsid w:val="7EEF4DDF"/>
    <w:rsid w:val="7F6F8B06"/>
    <w:rsid w:val="7F7EAEEB"/>
    <w:rsid w:val="7F86C2AE"/>
    <w:rsid w:val="7F8715D3"/>
    <w:rsid w:val="7FBB66A8"/>
    <w:rsid w:val="7FD98322"/>
    <w:rsid w:val="7FDF3D47"/>
    <w:rsid w:val="7FDF925D"/>
    <w:rsid w:val="7FFB4E72"/>
    <w:rsid w:val="7FFBCF6D"/>
    <w:rsid w:val="7FFF6EE8"/>
    <w:rsid w:val="8DFFA333"/>
    <w:rsid w:val="975F7B1E"/>
    <w:rsid w:val="97CDE4A9"/>
    <w:rsid w:val="97DF8857"/>
    <w:rsid w:val="97EF280E"/>
    <w:rsid w:val="9BF93698"/>
    <w:rsid w:val="9FDC6889"/>
    <w:rsid w:val="9FDF6AA3"/>
    <w:rsid w:val="A7FEAD21"/>
    <w:rsid w:val="ADAE1107"/>
    <w:rsid w:val="B77FFCD5"/>
    <w:rsid w:val="B7D74737"/>
    <w:rsid w:val="B7E2075B"/>
    <w:rsid w:val="B7ED626A"/>
    <w:rsid w:val="B7EE9F01"/>
    <w:rsid w:val="BDBC9FA8"/>
    <w:rsid w:val="BF63FB85"/>
    <w:rsid w:val="BF758432"/>
    <w:rsid w:val="BFEEFA58"/>
    <w:rsid w:val="BFFDC9F9"/>
    <w:rsid w:val="BFFDD2F3"/>
    <w:rsid w:val="C8693359"/>
    <w:rsid w:val="CDFF3E57"/>
    <w:rsid w:val="CFBD6AAC"/>
    <w:rsid w:val="CFDF1005"/>
    <w:rsid w:val="D2FFA544"/>
    <w:rsid w:val="D4F7A454"/>
    <w:rsid w:val="D7A7ADF2"/>
    <w:rsid w:val="D9FEB6FB"/>
    <w:rsid w:val="DC661CC9"/>
    <w:rsid w:val="DCFF5368"/>
    <w:rsid w:val="DCFF9ABE"/>
    <w:rsid w:val="DD7A6480"/>
    <w:rsid w:val="DDB668A8"/>
    <w:rsid w:val="DEFA5E39"/>
    <w:rsid w:val="DFF72557"/>
    <w:rsid w:val="DFFD7956"/>
    <w:rsid w:val="E29F863C"/>
    <w:rsid w:val="E55D00D2"/>
    <w:rsid w:val="E6BF3ABE"/>
    <w:rsid w:val="EAAFD2E5"/>
    <w:rsid w:val="EBDE440F"/>
    <w:rsid w:val="EDDD9750"/>
    <w:rsid w:val="EEB77E89"/>
    <w:rsid w:val="EEEE9F02"/>
    <w:rsid w:val="EEF71A05"/>
    <w:rsid w:val="EF7C2919"/>
    <w:rsid w:val="EFB9704A"/>
    <w:rsid w:val="EFD76162"/>
    <w:rsid w:val="EFEF064C"/>
    <w:rsid w:val="EFF3978C"/>
    <w:rsid w:val="EFF55C06"/>
    <w:rsid w:val="EFFF6C74"/>
    <w:rsid w:val="F2FAE9B7"/>
    <w:rsid w:val="F35B0C7F"/>
    <w:rsid w:val="F35E171F"/>
    <w:rsid w:val="F3EFE11E"/>
    <w:rsid w:val="F5FE299C"/>
    <w:rsid w:val="F76F07CD"/>
    <w:rsid w:val="F77FAB5D"/>
    <w:rsid w:val="F7BC0762"/>
    <w:rsid w:val="F9D2E2E0"/>
    <w:rsid w:val="F9DC9353"/>
    <w:rsid w:val="F9DF16E6"/>
    <w:rsid w:val="F9EE2BCD"/>
    <w:rsid w:val="F9FF1A72"/>
    <w:rsid w:val="F9FFEA9D"/>
    <w:rsid w:val="FB3E3539"/>
    <w:rsid w:val="FB778ECD"/>
    <w:rsid w:val="FB7BD660"/>
    <w:rsid w:val="FBDB83DD"/>
    <w:rsid w:val="FBF72134"/>
    <w:rsid w:val="FBFFE97C"/>
    <w:rsid w:val="FC1F8468"/>
    <w:rsid w:val="FC7B72B9"/>
    <w:rsid w:val="FC7FCFCB"/>
    <w:rsid w:val="FCF63143"/>
    <w:rsid w:val="FD5B57B2"/>
    <w:rsid w:val="FDA66432"/>
    <w:rsid w:val="FDEF4FC8"/>
    <w:rsid w:val="FEBBBD53"/>
    <w:rsid w:val="FEF16031"/>
    <w:rsid w:val="FEFF0F3D"/>
    <w:rsid w:val="FF3B3240"/>
    <w:rsid w:val="FF4F5AD2"/>
    <w:rsid w:val="FF56F911"/>
    <w:rsid w:val="FF7D2F8C"/>
    <w:rsid w:val="FFC34443"/>
    <w:rsid w:val="FFCD4E50"/>
    <w:rsid w:val="FFDDB844"/>
    <w:rsid w:val="FFDF641B"/>
    <w:rsid w:val="FFDFB3E9"/>
    <w:rsid w:val="FFEB0C08"/>
    <w:rsid w:val="FFEF4D6B"/>
    <w:rsid w:val="FFFA7A51"/>
    <w:rsid w:val="FFFF42F7"/>
    <w:rsid w:val="FFFF7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spacing w:before="240" w:after="60"/>
      <w:outlineLvl w:val="3"/>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0"/>
      <w:jc w:val="both"/>
    </w:pPr>
    <w:rPr>
      <w:rFonts w:ascii="Calibri" w:hAnsi="Calibri" w:eastAsia="文星仿宋" w:cs="Times New Roman"/>
      <w:kern w:val="2"/>
      <w:sz w:val="32"/>
      <w:szCs w:val="24"/>
      <w:lang w:val="en-US" w:eastAsia="zh-CN" w:bidi="ar-SA"/>
    </w:r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ind w:firstLine="720" w:firstLineChars="225"/>
    </w:pPr>
    <w:rPr>
      <w:rFonts w:ascii="Times New Roman" w:hAnsi="Times New Roman" w:eastAsia="宋体"/>
      <w:sz w:val="32"/>
      <w:szCs w:val="20"/>
    </w:rPr>
  </w:style>
  <w:style w:type="paragraph" w:styleId="6">
    <w:name w:val="toc 3"/>
    <w:next w:val="1"/>
    <w:qFormat/>
    <w:uiPriority w:val="0"/>
    <w:pPr>
      <w:widowControl w:val="0"/>
      <w:ind w:left="420" w:firstLine="198" w:firstLineChars="200"/>
      <w:jc w:val="both"/>
    </w:pPr>
    <w:rPr>
      <w:rFonts w:ascii="等线" w:hAnsi="等线" w:eastAsia="等线" w:cs="Times New Roman"/>
      <w:b/>
      <w:kern w:val="2"/>
      <w:sz w:val="30"/>
      <w:szCs w:val="30"/>
      <w:lang w:val="en-US" w:eastAsia="zh-CN"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99"/>
    <w:pPr>
      <w:ind w:firstLine="420" w:firstLineChars="200"/>
    </w:pPr>
  </w:style>
  <w:style w:type="paragraph" w:customStyle="1" w:styleId="12">
    <w:name w:val="二级标题"/>
    <w:basedOn w:val="1"/>
    <w:qFormat/>
    <w:uiPriority w:val="0"/>
    <w:pPr>
      <w:spacing w:line="560" w:lineRule="exact"/>
      <w:ind w:firstLine="880" w:firstLineChars="200"/>
      <w:outlineLvl w:val="1"/>
    </w:pPr>
    <w:rPr>
      <w:rFonts w:ascii="Calibri" w:hAnsi="Calibri" w:eastAsia="楷体" w:cs="Times New Roman"/>
      <w:sz w:val="32"/>
    </w:rPr>
  </w:style>
  <w:style w:type="paragraph" w:customStyle="1" w:styleId="13">
    <w:name w:val="列出段落1"/>
    <w:basedOn w:val="1"/>
    <w:next w:val="14"/>
    <w:qFormat/>
    <w:uiPriority w:val="0"/>
    <w:pPr>
      <w:ind w:firstLine="200" w:firstLineChars="200"/>
    </w:pPr>
  </w:style>
  <w:style w:type="paragraph" w:customStyle="1" w:styleId="14">
    <w:name w:val="索引 51"/>
    <w:basedOn w:val="1"/>
    <w:next w:val="1"/>
    <w:qFormat/>
    <w:uiPriority w:val="0"/>
    <w:pPr>
      <w:ind w:left="1680"/>
    </w:pPr>
    <w:rPr>
      <w:rFonts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2023-12-13T23:11:00Z</dcterms:created>
  <dc:creator>kylin</dc:creator>
  <cp:lastModifiedBy>发改委</cp:lastModifiedBy>
  <dcterms:modified xsi:type="dcterms:W3CDTF">2025-01-13T10:51:40Z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7BDB90E27021E31AC2868067392628EF</vt:lpwstr>
  </property>
</Properties>
</file>