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FD564">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南开区文化和旅游局2023年度法治政府建设</w:t>
      </w:r>
    </w:p>
    <w:p w14:paraId="56B4DCE1">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val="en-US" w:eastAsia="zh-CN"/>
        </w:rPr>
        <w:t>情况报告</w:t>
      </w:r>
    </w:p>
    <w:p w14:paraId="4093B8D3">
      <w:pPr>
        <w:keepNext w:val="0"/>
        <w:keepLines w:val="0"/>
        <w:pageBreakBefore w:val="0"/>
        <w:kinsoku/>
        <w:wordWrap/>
        <w:overflowPunct/>
        <w:topLinePunct w:val="0"/>
        <w:autoSpaceDE/>
        <w:autoSpaceDN/>
        <w:bidi w:val="0"/>
        <w:adjustRightInd/>
        <w:snapToGrid/>
        <w:spacing w:line="588" w:lineRule="exact"/>
        <w:textAlignment w:val="auto"/>
        <w:rPr>
          <w:rFonts w:hint="eastAsia"/>
        </w:rPr>
      </w:pPr>
    </w:p>
    <w:p w14:paraId="328CEC6B">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4"/>
          <w:szCs w:val="34"/>
        </w:rPr>
      </w:pPr>
      <w:r>
        <w:rPr>
          <w:rFonts w:hint="eastAsia"/>
          <w:lang w:val="en-US" w:eastAsia="zh-CN"/>
        </w:rPr>
        <w:t xml:space="preserve">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2023年，我</w:t>
      </w:r>
      <w:r>
        <w:rPr>
          <w:rFonts w:hint="eastAsia" w:ascii="仿宋_GB2312" w:hAnsi="仿宋_GB2312" w:eastAsia="仿宋_GB2312" w:cs="仿宋_GB2312"/>
          <w:sz w:val="34"/>
          <w:szCs w:val="34"/>
          <w:lang w:eastAsia="zh-CN"/>
        </w:rPr>
        <w:t>局</w:t>
      </w:r>
      <w:r>
        <w:rPr>
          <w:rFonts w:hint="eastAsia" w:ascii="仿宋_GB2312" w:hAnsi="仿宋_GB2312" w:eastAsia="仿宋_GB2312" w:cs="仿宋_GB2312"/>
          <w:sz w:val="34"/>
          <w:szCs w:val="34"/>
        </w:rPr>
        <w:t>坚持以习近平新时代中国特色社会主义思想为指导，深入学习习近平法治思想，全面贯彻落实党的二十大精神，围绕</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委</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政府法治建设重点工作安排，坚持依法履行职责、科学民主决策</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规范行政执法、强化普法宣传，不断提升依法行政工作能力和水平，现将</w:t>
      </w:r>
      <w:r>
        <w:rPr>
          <w:rFonts w:hint="eastAsia" w:ascii="仿宋_GB2312" w:hAnsi="仿宋_GB2312" w:eastAsia="仿宋_GB2312" w:cs="仿宋_GB2312"/>
          <w:sz w:val="34"/>
          <w:szCs w:val="34"/>
          <w:lang w:val="en-US" w:eastAsia="zh-CN"/>
        </w:rPr>
        <w:t>2023年度法治政府建设情况</w:t>
      </w:r>
      <w:r>
        <w:rPr>
          <w:rFonts w:hint="eastAsia" w:ascii="仿宋_GB2312" w:hAnsi="仿宋_GB2312" w:eastAsia="仿宋_GB2312" w:cs="仿宋_GB2312"/>
          <w:sz w:val="34"/>
          <w:szCs w:val="34"/>
        </w:rPr>
        <w:t>报告如下：</w:t>
      </w:r>
    </w:p>
    <w:p w14:paraId="7157765A">
      <w:pPr>
        <w:keepNext w:val="0"/>
        <w:keepLines w:val="0"/>
        <w:pageBreakBefore w:val="0"/>
        <w:kinsoku/>
        <w:wordWrap/>
        <w:overflowPunct/>
        <w:topLinePunct w:val="0"/>
        <w:autoSpaceDE/>
        <w:autoSpaceDN/>
        <w:bidi w:val="0"/>
        <w:adjustRightInd/>
        <w:snapToGrid/>
        <w:spacing w:line="588" w:lineRule="exact"/>
        <w:textAlignment w:val="auto"/>
        <w:rPr>
          <w:rFonts w:hint="eastAsia" w:ascii="黑体" w:hAnsi="黑体" w:eastAsia="黑体" w:cs="黑体"/>
          <w:sz w:val="34"/>
          <w:szCs w:val="34"/>
          <w:lang w:eastAsia="zh-CN"/>
        </w:rPr>
      </w:pPr>
      <w:r>
        <w:rPr>
          <w:rFonts w:hint="eastAsia"/>
          <w:lang w:val="en-US" w:eastAsia="zh-CN"/>
        </w:rPr>
        <w:t xml:space="preserve">      </w:t>
      </w:r>
      <w:r>
        <w:rPr>
          <w:rFonts w:hint="eastAsia" w:ascii="黑体" w:hAnsi="黑体" w:eastAsia="黑体" w:cs="黑体"/>
          <w:sz w:val="34"/>
          <w:szCs w:val="34"/>
          <w:lang w:val="en-US" w:eastAsia="zh-CN"/>
        </w:rPr>
        <w:t xml:space="preserve"> </w:t>
      </w:r>
      <w:r>
        <w:rPr>
          <w:rFonts w:hint="eastAsia" w:ascii="黑体" w:hAnsi="黑体" w:eastAsia="黑体" w:cs="黑体"/>
          <w:sz w:val="34"/>
          <w:szCs w:val="34"/>
        </w:rPr>
        <w:t>一、</w:t>
      </w:r>
      <w:r>
        <w:rPr>
          <w:rFonts w:hint="eastAsia" w:ascii="黑体" w:hAnsi="黑体" w:eastAsia="黑体" w:cs="黑体"/>
          <w:sz w:val="34"/>
          <w:szCs w:val="34"/>
          <w:lang w:val="en-US" w:eastAsia="zh-CN"/>
        </w:rPr>
        <w:t>2023年推进法治政府建设的</w:t>
      </w:r>
      <w:r>
        <w:rPr>
          <w:rFonts w:hint="eastAsia" w:ascii="黑体" w:hAnsi="黑体" w:eastAsia="黑体" w:cs="黑体"/>
          <w:sz w:val="34"/>
          <w:szCs w:val="34"/>
        </w:rPr>
        <w:t>主要举措</w:t>
      </w:r>
      <w:r>
        <w:rPr>
          <w:rFonts w:hint="eastAsia" w:ascii="黑体" w:hAnsi="黑体" w:eastAsia="黑体" w:cs="黑体"/>
          <w:sz w:val="34"/>
          <w:szCs w:val="34"/>
          <w:lang w:eastAsia="zh-CN"/>
        </w:rPr>
        <w:t>和成效</w:t>
      </w:r>
    </w:p>
    <w:p w14:paraId="1C8EB176">
      <w:pPr>
        <w:keepNext w:val="0"/>
        <w:keepLines w:val="0"/>
        <w:pageBreakBefore w:val="0"/>
        <w:kinsoku/>
        <w:wordWrap/>
        <w:overflowPunct/>
        <w:topLinePunct w:val="0"/>
        <w:autoSpaceDE/>
        <w:autoSpaceDN/>
        <w:bidi w:val="0"/>
        <w:adjustRightInd/>
        <w:snapToGrid/>
        <w:spacing w:line="588" w:lineRule="exact"/>
        <w:ind w:firstLine="340" w:firstLineChars="1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楷体" w:hAnsi="楷体" w:eastAsia="楷体" w:cs="楷体"/>
          <w:sz w:val="34"/>
          <w:szCs w:val="34"/>
        </w:rPr>
        <w:t>（一）落实法治学习制度。</w:t>
      </w:r>
      <w:r>
        <w:rPr>
          <w:rFonts w:hint="eastAsia" w:ascii="仿宋_GB2312" w:hAnsi="仿宋_GB2312" w:eastAsia="仿宋_GB2312" w:cs="仿宋_GB2312"/>
          <w:sz w:val="34"/>
          <w:szCs w:val="34"/>
          <w:lang w:eastAsia="zh-CN"/>
        </w:rPr>
        <w:t>我局把学</w:t>
      </w:r>
      <w:r>
        <w:rPr>
          <w:rFonts w:hint="eastAsia" w:ascii="仿宋_GB2312" w:hAnsi="仿宋_GB2312" w:eastAsia="仿宋_GB2312" w:cs="仿宋_GB2312"/>
          <w:sz w:val="34"/>
          <w:szCs w:val="34"/>
        </w:rPr>
        <w:t>习宣传习近平法治思想作为重要政治任务，落实工作人员学法用法制度</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利用党</w:t>
      </w:r>
      <w:r>
        <w:rPr>
          <w:rFonts w:hint="eastAsia" w:ascii="仿宋_GB2312" w:hAnsi="仿宋_GB2312" w:eastAsia="仿宋_GB2312" w:cs="仿宋_GB2312"/>
          <w:sz w:val="34"/>
          <w:szCs w:val="34"/>
          <w:lang w:eastAsia="zh-CN"/>
        </w:rPr>
        <w:t>委理论</w:t>
      </w:r>
      <w:r>
        <w:rPr>
          <w:rFonts w:hint="eastAsia" w:ascii="仿宋_GB2312" w:hAnsi="仿宋_GB2312" w:eastAsia="仿宋_GB2312" w:cs="仿宋_GB2312"/>
          <w:sz w:val="34"/>
          <w:szCs w:val="34"/>
        </w:rPr>
        <w:t>中心组、</w:t>
      </w:r>
      <w:r>
        <w:rPr>
          <w:rFonts w:hint="eastAsia" w:ascii="仿宋_GB2312" w:hAnsi="仿宋_GB2312" w:eastAsia="仿宋_GB2312" w:cs="仿宋_GB2312"/>
          <w:sz w:val="34"/>
          <w:szCs w:val="34"/>
          <w:lang w:eastAsia="zh-CN"/>
        </w:rPr>
        <w:t>党支部“三会一课”</w:t>
      </w:r>
      <w:r>
        <w:rPr>
          <w:rFonts w:hint="eastAsia" w:ascii="仿宋_GB2312" w:hAnsi="仿宋_GB2312" w:eastAsia="仿宋_GB2312" w:cs="仿宋_GB2312"/>
          <w:sz w:val="34"/>
          <w:szCs w:val="34"/>
        </w:rPr>
        <w:t>、深入学习党的二十大精神，习近平法治思想、《宪法》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《民法典》</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《安全生产法》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《消防法》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《统计法》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行政复议</w:t>
      </w:r>
      <w:r>
        <w:rPr>
          <w:rFonts w:hint="eastAsia" w:ascii="仿宋_GB2312" w:hAnsi="仿宋_GB2312" w:eastAsia="仿宋_GB2312" w:cs="仿宋_GB2312"/>
          <w:sz w:val="34"/>
          <w:szCs w:val="34"/>
        </w:rPr>
        <w:t>法》</w:t>
      </w:r>
      <w:r>
        <w:rPr>
          <w:rFonts w:hint="eastAsia" w:ascii="仿宋_GB2312" w:hAnsi="仿宋_GB2312" w:eastAsia="仿宋_GB2312" w:cs="仿宋_GB2312"/>
          <w:sz w:val="34"/>
          <w:szCs w:val="34"/>
          <w:lang w:val="en-US" w:eastAsia="zh-CN"/>
        </w:rPr>
        <w:t>等法律法规，</w:t>
      </w:r>
      <w:r>
        <w:rPr>
          <w:rFonts w:hint="eastAsia" w:ascii="仿宋_GB2312" w:hAnsi="仿宋_GB2312" w:eastAsia="仿宋_GB2312" w:cs="仿宋_GB2312"/>
          <w:sz w:val="34"/>
          <w:szCs w:val="34"/>
        </w:rPr>
        <w:t>推动干部职工不断增强法治意识，自觉运用习近平法治思想指导工作实践，切实提升运用法治思维和法治方法解决矛盾和问题的能力与水平。</w:t>
      </w:r>
    </w:p>
    <w:p w14:paraId="6EBBFC90">
      <w:pPr>
        <w:keepNext w:val="0"/>
        <w:keepLines w:val="0"/>
        <w:pageBreakBefore w:val="0"/>
        <w:kinsoku/>
        <w:wordWrap/>
        <w:overflowPunct/>
        <w:topLinePunct w:val="0"/>
        <w:autoSpaceDE/>
        <w:autoSpaceDN/>
        <w:bidi w:val="0"/>
        <w:adjustRightInd/>
        <w:snapToGrid/>
        <w:spacing w:line="588" w:lineRule="exact"/>
        <w:ind w:firstLine="340" w:firstLineChars="1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w:t>
      </w:r>
      <w:r>
        <w:rPr>
          <w:rFonts w:hint="eastAsia" w:ascii="楷体" w:hAnsi="楷体" w:eastAsia="楷体" w:cs="楷体"/>
          <w:sz w:val="34"/>
          <w:szCs w:val="34"/>
          <w:lang w:val="en-US" w:eastAsia="zh-CN"/>
        </w:rPr>
        <w:t>落实法治政府建设职责。</w:t>
      </w:r>
      <w:r>
        <w:rPr>
          <w:rFonts w:hint="eastAsia" w:ascii="仿宋_GB2312" w:hAnsi="仿宋_GB2312" w:eastAsia="仿宋_GB2312" w:cs="仿宋_GB2312"/>
          <w:sz w:val="34"/>
          <w:szCs w:val="34"/>
          <w:lang w:val="en-US" w:eastAsia="zh-CN"/>
        </w:rPr>
        <w:t>我局始终将法治政府建设工作摆在重要位置，坚持把法治政府建设工作纳入全局工作，与局中心工作同谋划、同部署、同落实、同考核。局主要负责人切实履行推进法治建设第一责任人职责，切实发挥法治建设带头人和主心骨作用。严格落实中央、市法治建设“一规划两纲要”，细化工作任务，明确责任科室，压实工作责任，把业务工作与法治建设工作相结合，建立长效机制。局党委定期听取法治政府建设工作情况汇报，及时研究解决法治政府建设中的有关重大问题。</w:t>
      </w:r>
    </w:p>
    <w:p w14:paraId="685F1C00">
      <w:pPr>
        <w:keepNext w:val="0"/>
        <w:keepLines w:val="0"/>
        <w:pageBreakBefore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 w:hAnsi="楷体" w:eastAsia="楷体" w:cs="楷体"/>
          <w:sz w:val="34"/>
          <w:szCs w:val="34"/>
          <w:lang w:val="en-US" w:eastAsia="zh-CN"/>
        </w:rPr>
        <w:t>（三）落实依法决策机制。</w:t>
      </w:r>
      <w:r>
        <w:rPr>
          <w:rFonts w:hint="eastAsia" w:ascii="仿宋_GB2312" w:hAnsi="仿宋_GB2312" w:eastAsia="仿宋_GB2312" w:cs="仿宋_GB2312"/>
          <w:sz w:val="34"/>
          <w:szCs w:val="34"/>
          <w:lang w:val="en-US" w:eastAsia="zh-CN"/>
        </w:rPr>
        <w:t>严格执行《南开区文化和旅游局党委工作规则》，坚持人事任免、重大建设项目、重大资金使用等均集体讨论决定。落实法律顾问制度，聘用融汇律师事务所专职律师广泛参与我局重大行政决策的合法性审查，参与重大法律事务的处理，为我局的重要合同、重大协议等审查把关，助力我局依法高效履职。全面推行行政规范性文件研究论证、公平竞争审查、法制机构合法性审查、集体研究决定等各项制度，加强行政规范性文件制定和监督管理。</w:t>
      </w:r>
    </w:p>
    <w:p w14:paraId="1F6231D2">
      <w:pPr>
        <w:keepNext w:val="0"/>
        <w:keepLines w:val="0"/>
        <w:pageBreakBefore w:val="0"/>
        <w:numPr>
          <w:ilvl w:val="0"/>
          <w:numId w:val="0"/>
        </w:numPr>
        <w:kinsoku/>
        <w:wordWrap/>
        <w:overflowPunct/>
        <w:topLinePunct w:val="0"/>
        <w:autoSpaceDE/>
        <w:autoSpaceDN/>
        <w:bidi w:val="0"/>
        <w:adjustRightInd/>
        <w:snapToGrid/>
        <w:spacing w:line="588" w:lineRule="exact"/>
        <w:ind w:left="210" w:leftChars="0"/>
        <w:textAlignment w:val="auto"/>
        <w:rPr>
          <w:rFonts w:hint="default" w:ascii="仿宋_GB2312" w:hAnsi="仿宋_GB2312" w:eastAsia="仿宋_GB2312" w:cs="仿宋_GB2312"/>
          <w:kern w:val="2"/>
          <w:sz w:val="34"/>
          <w:szCs w:val="34"/>
          <w:lang w:val="en-US" w:eastAsia="zh-CN" w:bidi="ar-SA"/>
        </w:rPr>
      </w:pPr>
      <w:r>
        <w:rPr>
          <w:rFonts w:hint="eastAsia" w:ascii="楷体" w:hAnsi="楷体" w:eastAsia="楷体" w:cs="楷体"/>
          <w:sz w:val="34"/>
          <w:szCs w:val="34"/>
          <w:lang w:val="en-US" w:eastAsia="zh-CN"/>
        </w:rPr>
        <w:t xml:space="preserve">   </w:t>
      </w:r>
      <w:r>
        <w:rPr>
          <w:rFonts w:hint="eastAsia" w:ascii="楷体" w:hAnsi="楷体" w:eastAsia="楷体" w:cs="楷体"/>
          <w:sz w:val="34"/>
          <w:szCs w:val="34"/>
        </w:rPr>
        <w:t>（四）规范公正文明执法。</w:t>
      </w:r>
      <w:r>
        <w:rPr>
          <w:rFonts w:hint="eastAsia" w:ascii="仿宋_GB2312" w:hAnsi="仿宋_GB2312" w:eastAsia="仿宋_GB2312" w:cs="仿宋_GB2312"/>
          <w:kern w:val="2"/>
          <w:sz w:val="34"/>
          <w:szCs w:val="34"/>
          <w:lang w:val="en-US" w:eastAsia="zh-CN" w:bidi="ar-SA"/>
        </w:rPr>
        <w:t>大力推进“互联网+监管”、“双随机一公开”工作，加强事中事后监管。认真落实行政执法公示、执法全过程记录、重大行政执法决定法制审核“三项制度”。坚持开展常态化执法巡查，依法加强文旅行业的监管，强化A级景区、星级饭店、网吧、歌舞娱乐、营业性演出、电影院等场所的执法检查，先后组织开展了</w:t>
      </w:r>
      <w:bookmarkStart w:id="0" w:name="_GoBack"/>
      <w:bookmarkEnd w:id="0"/>
      <w:r>
        <w:rPr>
          <w:rFonts w:hint="eastAsia" w:ascii="仿宋_GB2312" w:hAnsi="仿宋_GB2312" w:eastAsia="仿宋_GB2312" w:cs="仿宋_GB2312"/>
          <w:kern w:val="2"/>
          <w:sz w:val="34"/>
          <w:szCs w:val="34"/>
          <w:lang w:val="en-US" w:eastAsia="zh-CN" w:bidi="ar-SA"/>
        </w:rPr>
        <w:t>扫黑除恶、“扫黄打非”、校园周边整治、打击侵权假冒、节假期间文化和旅游市场集中执法检查、网络文化市场行政执法检查、版权专项整治行动、娱乐场所互联网上网服务营业场所涉未成年人专项整治行动等各类专项执法行动。</w:t>
      </w:r>
      <w:r>
        <w:rPr>
          <w:rFonts w:hint="eastAsia" w:ascii="Times New Roman" w:hAnsi="Times New Roman" w:eastAsia="仿宋_GB2312" w:cs="仿宋_GB2312"/>
          <w:sz w:val="34"/>
          <w:szCs w:val="34"/>
          <w:lang w:val="en-US" w:eastAsia="zh-CN"/>
        </w:rPr>
        <w:t>全年共开展日常检查158家次，出动执法人员280余人次，查办各类案件6起，累计罚款4.1万元。</w:t>
      </w:r>
    </w:p>
    <w:p w14:paraId="7C15EEE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楷体" w:hAnsi="楷体" w:eastAsia="楷体" w:cs="楷体"/>
          <w:sz w:val="34"/>
          <w:szCs w:val="34"/>
          <w:lang w:val="en-US" w:eastAsia="zh-CN"/>
        </w:rPr>
      </w:pPr>
      <w:r>
        <w:rPr>
          <w:rFonts w:hint="eastAsia" w:ascii="楷体" w:hAnsi="楷体" w:eastAsia="楷体" w:cs="楷体"/>
          <w:sz w:val="34"/>
          <w:szCs w:val="34"/>
          <w:lang w:eastAsia="zh-CN"/>
        </w:rPr>
        <w:t>（</w:t>
      </w:r>
      <w:r>
        <w:rPr>
          <w:rFonts w:hint="eastAsia" w:ascii="楷体" w:hAnsi="楷体" w:eastAsia="楷体" w:cs="楷体"/>
          <w:sz w:val="34"/>
          <w:szCs w:val="34"/>
          <w:lang w:val="en-US" w:eastAsia="zh-CN"/>
        </w:rPr>
        <w:t>五</w:t>
      </w:r>
      <w:r>
        <w:rPr>
          <w:rFonts w:hint="eastAsia" w:ascii="楷体" w:hAnsi="楷体" w:eastAsia="楷体" w:cs="楷体"/>
          <w:sz w:val="34"/>
          <w:szCs w:val="34"/>
          <w:lang w:eastAsia="zh-CN"/>
        </w:rPr>
        <w:t>）</w:t>
      </w:r>
      <w:r>
        <w:rPr>
          <w:rFonts w:hint="eastAsia" w:ascii="楷体" w:hAnsi="楷体" w:eastAsia="楷体" w:cs="楷体"/>
          <w:sz w:val="34"/>
          <w:szCs w:val="34"/>
        </w:rPr>
        <w:t>落实普法责任制。</w:t>
      </w:r>
      <w:r>
        <w:rPr>
          <w:rFonts w:hint="eastAsia" w:ascii="仿宋_GB2312" w:hAnsi="仿宋_GB2312" w:eastAsia="仿宋_GB2312" w:cs="仿宋_GB2312"/>
          <w:sz w:val="34"/>
          <w:szCs w:val="34"/>
        </w:rPr>
        <w:t>按照“谁执法谁普法”原则</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扎实抓好普法责任制落实。</w:t>
      </w:r>
      <w:r>
        <w:rPr>
          <w:rFonts w:hint="eastAsia" w:ascii="仿宋_GB2312" w:hAnsi="仿宋_GB2312" w:eastAsia="仿宋_GB2312" w:cs="仿宋_GB2312"/>
          <w:kern w:val="2"/>
          <w:sz w:val="34"/>
          <w:szCs w:val="34"/>
          <w:lang w:val="en-US" w:eastAsia="zh-CN" w:bidi="ar-SA"/>
        </w:rPr>
        <w:t>将普法宣传教育渗透到日常管理、执法的全过程，利用以案说法、以案普法、以案学法等方式普及法律常识。在“4.26”知识产权日、“5.19”中国旅游日等重点时间段开展了形式多样的法治宣传活动。利用区图书馆、博物馆等人流密集场所作为阵地平台，利用电子显示屏幕进行经常性法治宣传。在南开文化旅游微信公众号、微博等新媒体平台，广泛开展普法宣传。</w:t>
      </w:r>
    </w:p>
    <w:p w14:paraId="4476BCC4">
      <w:pPr>
        <w:keepNext w:val="0"/>
        <w:keepLines w:val="0"/>
        <w:pageBreakBefore w:val="0"/>
        <w:kinsoku/>
        <w:wordWrap/>
        <w:overflowPunct/>
        <w:topLinePunct w:val="0"/>
        <w:autoSpaceDE/>
        <w:autoSpaceDN/>
        <w:bidi w:val="0"/>
        <w:adjustRightInd/>
        <w:snapToGrid/>
        <w:spacing w:line="588" w:lineRule="exact"/>
        <w:textAlignment w:val="auto"/>
        <w:rPr>
          <w:rFonts w:hint="eastAsia"/>
          <w:lang w:val="en-US" w:eastAsia="zh-CN"/>
        </w:rPr>
      </w:pPr>
      <w:r>
        <w:rPr>
          <w:rFonts w:hint="eastAsia" w:ascii="楷体" w:hAnsi="楷体" w:eastAsia="楷体" w:cs="楷体"/>
          <w:sz w:val="34"/>
          <w:szCs w:val="34"/>
          <w:lang w:val="en-US" w:eastAsia="zh-CN"/>
        </w:rPr>
        <w:t xml:space="preserve">   </w:t>
      </w:r>
      <w:r>
        <w:rPr>
          <w:rFonts w:hint="eastAsia" w:ascii="楷体" w:hAnsi="楷体" w:eastAsia="楷体" w:cs="楷体"/>
          <w:sz w:val="34"/>
          <w:szCs w:val="34"/>
          <w:lang w:eastAsia="zh-CN"/>
        </w:rPr>
        <w:t>（</w:t>
      </w:r>
      <w:r>
        <w:rPr>
          <w:rFonts w:hint="eastAsia" w:ascii="楷体" w:hAnsi="楷体" w:eastAsia="楷体" w:cs="楷体"/>
          <w:sz w:val="34"/>
          <w:szCs w:val="34"/>
          <w:lang w:val="en-US" w:eastAsia="zh-CN"/>
        </w:rPr>
        <w:t>六</w:t>
      </w:r>
      <w:r>
        <w:rPr>
          <w:rFonts w:hint="eastAsia" w:ascii="楷体" w:hAnsi="楷体" w:eastAsia="楷体" w:cs="楷体"/>
          <w:sz w:val="34"/>
          <w:szCs w:val="34"/>
          <w:lang w:eastAsia="zh-CN"/>
        </w:rPr>
        <w:t>）</w:t>
      </w:r>
      <w:r>
        <w:rPr>
          <w:rFonts w:hint="eastAsia" w:ascii="楷体" w:hAnsi="楷体" w:eastAsia="楷体" w:cs="楷体"/>
          <w:sz w:val="34"/>
          <w:szCs w:val="34"/>
        </w:rPr>
        <w:t>优化法治化营商环境。</w:t>
      </w:r>
      <w:r>
        <w:rPr>
          <w:rFonts w:hint="eastAsia" w:ascii="仿宋_GB2312" w:hAnsi="仿宋_GB2312" w:eastAsia="仿宋_GB2312" w:cs="仿宋_GB2312"/>
          <w:sz w:val="34"/>
          <w:szCs w:val="34"/>
        </w:rPr>
        <w:t>落实国家、市便民惠企政策措施，帮助企业纾困解难，</w:t>
      </w:r>
      <w:r>
        <w:rPr>
          <w:rFonts w:hint="eastAsia" w:ascii="仿宋_GB2312" w:hAnsi="仿宋_GB2312" w:eastAsia="仿宋_GB2312" w:cs="仿宋_GB2312"/>
          <w:sz w:val="34"/>
          <w:szCs w:val="34"/>
          <w:lang w:val="en-US" w:eastAsia="zh-CN"/>
        </w:rPr>
        <w:t>落实旅行社服务质量保证金减免工作，共计为旅行社缓交235万元质量保证金。</w:t>
      </w:r>
      <w:r>
        <w:rPr>
          <w:rFonts w:hint="eastAsia" w:ascii="Times New Roman" w:hAnsi="Times New Roman" w:eastAsia="仿宋_GB2312" w:cs="仿宋_GB2312"/>
          <w:sz w:val="34"/>
          <w:szCs w:val="34"/>
          <w:lang w:val="en-US" w:eastAsia="zh-CN"/>
        </w:rPr>
        <w:t>成立区旅游行业协会，吸纳区域旅游企业60余家，发挥行业自律作用，提升文旅市场服务管理水平，实现招商引资落地项目33个，注册资金总计2.1亿元。赴北京、西安、成都等地招商4次。</w:t>
      </w:r>
    </w:p>
    <w:p w14:paraId="720EBEDC">
      <w:pPr>
        <w:keepNext w:val="0"/>
        <w:keepLines w:val="0"/>
        <w:pageBreakBefore w:val="0"/>
        <w:kinsoku/>
        <w:wordWrap/>
        <w:overflowPunct/>
        <w:topLinePunct w:val="0"/>
        <w:autoSpaceDE/>
        <w:autoSpaceDN/>
        <w:bidi w:val="0"/>
        <w:adjustRightInd/>
        <w:snapToGrid/>
        <w:spacing w:line="588" w:lineRule="exact"/>
        <w:textAlignment w:val="auto"/>
        <w:rPr>
          <w:rFonts w:hint="default" w:ascii="仿宋_GB2312" w:hAnsi="仿宋_GB2312" w:eastAsia="仿宋_GB2312" w:cs="仿宋_GB2312"/>
          <w:kern w:val="2"/>
          <w:sz w:val="34"/>
          <w:szCs w:val="34"/>
          <w:lang w:val="en-US" w:eastAsia="zh-CN" w:bidi="ar-SA"/>
        </w:rPr>
      </w:pPr>
      <w:r>
        <w:rPr>
          <w:rFonts w:hint="eastAsia"/>
          <w:lang w:val="en-US" w:eastAsia="zh-CN"/>
        </w:rPr>
        <w:t xml:space="preserve">     </w:t>
      </w:r>
      <w:r>
        <w:rPr>
          <w:rFonts w:hint="eastAsia" w:ascii="楷体" w:hAnsi="楷体" w:eastAsia="楷体" w:cs="楷体"/>
          <w:sz w:val="34"/>
          <w:szCs w:val="34"/>
          <w:lang w:val="en-US" w:eastAsia="zh-CN"/>
        </w:rPr>
        <w:t>（七）</w:t>
      </w:r>
      <w:r>
        <w:rPr>
          <w:rFonts w:hint="eastAsia" w:ascii="楷体" w:hAnsi="楷体" w:eastAsia="楷体" w:cs="楷体"/>
          <w:sz w:val="34"/>
          <w:szCs w:val="34"/>
        </w:rPr>
        <w:t>依法调处矛盾纠纷。</w:t>
      </w:r>
      <w:r>
        <w:rPr>
          <w:rFonts w:hint="eastAsia" w:ascii="仿宋_GB2312" w:hAnsi="仿宋_GB2312" w:eastAsia="仿宋_GB2312" w:cs="仿宋_GB2312"/>
          <w:kern w:val="2"/>
          <w:sz w:val="34"/>
          <w:szCs w:val="34"/>
          <w:lang w:val="en-US" w:eastAsia="zh-CN" w:bidi="ar-SA"/>
        </w:rPr>
        <w:t>及时受理、精准分析研判、及时化解信访事项。今年组织办理信访事项27件，做到了信访事项化解率达100%，办结率达100%。积极处理各渠道反映的涉文旅投诉，办理12345政务服务便民热线工单逾千件，办理上级转派文化旅游市场监管平台投诉举报13件，没有发生群体上访事项。</w:t>
      </w:r>
    </w:p>
    <w:p w14:paraId="764ACA08">
      <w:pPr>
        <w:keepNext w:val="0"/>
        <w:keepLines w:val="0"/>
        <w:pageBreakBefore w:val="0"/>
        <w:kinsoku/>
        <w:wordWrap/>
        <w:overflowPunct/>
        <w:topLinePunct w:val="0"/>
        <w:autoSpaceDE/>
        <w:autoSpaceDN/>
        <w:bidi w:val="0"/>
        <w:adjustRightInd/>
        <w:snapToGrid/>
        <w:spacing w:line="588" w:lineRule="exact"/>
        <w:textAlignment w:val="auto"/>
        <w:rPr>
          <w:rFonts w:hint="default" w:ascii="黑体" w:hAnsi="黑体" w:eastAsia="黑体" w:cs="黑体"/>
          <w:sz w:val="34"/>
          <w:szCs w:val="34"/>
          <w:lang w:val="en-US" w:eastAsia="zh-CN"/>
        </w:rPr>
      </w:pPr>
      <w:r>
        <w:rPr>
          <w:rFonts w:hint="eastAsia" w:ascii="黑体" w:hAnsi="黑体" w:eastAsia="黑体" w:cs="黑体"/>
          <w:sz w:val="34"/>
          <w:szCs w:val="34"/>
          <w:lang w:val="en-US" w:eastAsia="zh-CN"/>
        </w:rPr>
        <w:t xml:space="preserve">    二、</w:t>
      </w:r>
      <w:r>
        <w:rPr>
          <w:rFonts w:hint="default" w:ascii="黑体" w:hAnsi="黑体" w:eastAsia="黑体" w:cs="黑体"/>
          <w:sz w:val="34"/>
          <w:szCs w:val="34"/>
          <w:lang w:val="en-US" w:eastAsia="zh-CN"/>
        </w:rPr>
        <w:t>2023</w:t>
      </w:r>
      <w:r>
        <w:rPr>
          <w:rFonts w:hint="eastAsia" w:ascii="黑体" w:hAnsi="黑体" w:eastAsia="黑体" w:cs="黑体"/>
          <w:sz w:val="34"/>
          <w:szCs w:val="34"/>
          <w:lang w:val="en-US" w:eastAsia="zh-CN"/>
        </w:rPr>
        <w:t>年推进法治政府建设存在的不足和原因</w:t>
      </w:r>
    </w:p>
    <w:p w14:paraId="398537E6">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仿宋_GB2312" w:hAnsi="仿宋_GB2312" w:eastAsia="仿宋_GB2312" w:cs="仿宋_GB2312"/>
          <w:kern w:val="2"/>
          <w:sz w:val="34"/>
          <w:szCs w:val="34"/>
          <w:lang w:val="en-US" w:eastAsia="zh-CN" w:bidi="ar-SA"/>
        </w:rPr>
      </w:pPr>
      <w:r>
        <w:rPr>
          <w:rFonts w:hint="eastAsia" w:ascii="楷体_GB2312" w:hAnsi="楷体_GB2312" w:eastAsia="楷体_GB2312" w:cs="楷体_GB2312"/>
          <w:kern w:val="2"/>
          <w:sz w:val="34"/>
          <w:szCs w:val="34"/>
          <w:lang w:val="en-US" w:eastAsia="zh-CN" w:bidi="ar-SA"/>
        </w:rPr>
        <w:t>法治学习教育不到位。</w:t>
      </w:r>
      <w:r>
        <w:rPr>
          <w:rFonts w:hint="eastAsia" w:ascii="仿宋_GB2312" w:hAnsi="仿宋_GB2312" w:eastAsia="仿宋_GB2312" w:cs="仿宋_GB2312"/>
          <w:kern w:val="2"/>
          <w:sz w:val="34"/>
          <w:szCs w:val="34"/>
          <w:lang w:val="en-US" w:eastAsia="zh-CN" w:bidi="ar-SA"/>
        </w:rPr>
        <w:t>学习贯彻习近平法治思想和市委全面依法治市相关精神还不够深入，联系实际谋划工作还不够紧密，通过运用法治思维和法治方式推动发展、化解矛盾的能力还有待加强。</w:t>
      </w:r>
    </w:p>
    <w:p w14:paraId="1AA25933">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仿宋_GB2312" w:hAnsi="仿宋_GB2312" w:eastAsia="仿宋_GB2312" w:cs="仿宋_GB2312"/>
          <w:kern w:val="2"/>
          <w:sz w:val="34"/>
          <w:szCs w:val="34"/>
          <w:lang w:val="en-US" w:eastAsia="zh-CN" w:bidi="ar-SA"/>
        </w:rPr>
      </w:pPr>
      <w:r>
        <w:rPr>
          <w:rFonts w:hint="eastAsia" w:ascii="楷体_GB2312" w:hAnsi="楷体_GB2312" w:eastAsia="楷体_GB2312" w:cs="楷体_GB2312"/>
          <w:kern w:val="2"/>
          <w:sz w:val="34"/>
          <w:szCs w:val="34"/>
          <w:lang w:val="en-US" w:eastAsia="zh-CN" w:bidi="ar-SA"/>
        </w:rPr>
        <w:t>监管执法能力不足。</w:t>
      </w:r>
      <w:r>
        <w:rPr>
          <w:rFonts w:hint="default" w:ascii="仿宋_GB2312" w:hAnsi="仿宋_GB2312" w:eastAsia="仿宋_GB2312" w:cs="仿宋_GB2312"/>
          <w:kern w:val="2"/>
          <w:sz w:val="34"/>
          <w:szCs w:val="34"/>
          <w:lang w:val="en-US" w:eastAsia="zh-CN" w:bidi="ar-SA"/>
        </w:rPr>
        <w:t>行政执法人员在新兴业态领域执法的专业法律知识不足，执法人员对于新情况、新问题还缺乏深入研究，运用现有法律法规解决难点热点问题的能力不足，</w:t>
      </w:r>
      <w:r>
        <w:rPr>
          <w:rFonts w:hint="eastAsia" w:ascii="仿宋_GB2312" w:hAnsi="仿宋_GB2312" w:eastAsia="仿宋_GB2312" w:cs="仿宋_GB2312"/>
          <w:kern w:val="2"/>
          <w:sz w:val="34"/>
          <w:szCs w:val="34"/>
          <w:lang w:val="en-US" w:eastAsia="zh-CN" w:bidi="ar-SA"/>
        </w:rPr>
        <w:t>尤其是对少部分疑难复杂案件的综合研判处置能力亟待加强，</w:t>
      </w:r>
      <w:r>
        <w:rPr>
          <w:rFonts w:hint="default" w:ascii="仿宋_GB2312" w:hAnsi="仿宋_GB2312" w:eastAsia="仿宋_GB2312" w:cs="仿宋_GB2312"/>
          <w:kern w:val="2"/>
          <w:sz w:val="34"/>
          <w:szCs w:val="34"/>
          <w:lang w:val="en-US" w:eastAsia="zh-CN" w:bidi="ar-SA"/>
        </w:rPr>
        <w:t>在一定程度上影响了执法的效能。</w:t>
      </w:r>
    </w:p>
    <w:p w14:paraId="74778FAB">
      <w:pPr>
        <w:keepNext w:val="0"/>
        <w:keepLines w:val="0"/>
        <w:pageBreakBefore w:val="0"/>
        <w:numPr>
          <w:ilvl w:val="0"/>
          <w:numId w:val="0"/>
        </w:numPr>
        <w:kinsoku/>
        <w:wordWrap/>
        <w:overflowPunct/>
        <w:topLinePunct w:val="0"/>
        <w:autoSpaceDE/>
        <w:autoSpaceDN/>
        <w:bidi w:val="0"/>
        <w:adjustRightInd/>
        <w:snapToGrid/>
        <w:spacing w:line="588" w:lineRule="exact"/>
        <w:ind w:left="210" w:leftChars="0"/>
        <w:textAlignment w:val="auto"/>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（三）</w:t>
      </w:r>
      <w:r>
        <w:rPr>
          <w:rFonts w:hint="eastAsia" w:ascii="楷体_GB2312" w:hAnsi="楷体_GB2312" w:eastAsia="楷体_GB2312" w:cs="楷体_GB2312"/>
          <w:kern w:val="2"/>
          <w:sz w:val="34"/>
          <w:szCs w:val="34"/>
          <w:lang w:val="en-US" w:eastAsia="zh-CN" w:bidi="ar-SA"/>
        </w:rPr>
        <w:t>普法形式单一。</w:t>
      </w:r>
      <w:r>
        <w:rPr>
          <w:rFonts w:hint="eastAsia" w:ascii="仿宋_GB2312" w:hAnsi="仿宋_GB2312" w:eastAsia="仿宋_GB2312" w:cs="仿宋_GB2312"/>
          <w:kern w:val="2"/>
          <w:sz w:val="34"/>
          <w:szCs w:val="34"/>
          <w:lang w:val="en-US" w:eastAsia="zh-CN" w:bidi="ar-SA"/>
        </w:rPr>
        <w:t>对普法工作</w:t>
      </w:r>
      <w:r>
        <w:rPr>
          <w:rFonts w:hint="default" w:ascii="仿宋_GB2312" w:hAnsi="仿宋_GB2312" w:eastAsia="仿宋_GB2312" w:cs="仿宋_GB2312"/>
          <w:kern w:val="2"/>
          <w:sz w:val="34"/>
          <w:szCs w:val="34"/>
          <w:lang w:val="en-US" w:eastAsia="zh-CN" w:bidi="ar-SA"/>
        </w:rPr>
        <w:t>重视不够，习惯认为普法工作是政府司法部门的工作，普法日常工作开展不积极，群众乐意接受、喜闻乐见的普法方式不多</w:t>
      </w:r>
      <w:r>
        <w:rPr>
          <w:rFonts w:hint="eastAsia" w:ascii="仿宋_GB2312" w:hAnsi="仿宋_GB2312" w:eastAsia="仿宋_GB2312" w:cs="仿宋_GB2312"/>
          <w:kern w:val="2"/>
          <w:sz w:val="34"/>
          <w:szCs w:val="34"/>
          <w:lang w:val="en-US" w:eastAsia="zh-CN" w:bidi="ar-SA"/>
        </w:rPr>
        <w:t>，</w:t>
      </w:r>
      <w:r>
        <w:rPr>
          <w:rFonts w:hint="default" w:ascii="仿宋_GB2312" w:hAnsi="仿宋_GB2312" w:eastAsia="仿宋_GB2312" w:cs="仿宋_GB2312"/>
          <w:kern w:val="2"/>
          <w:sz w:val="34"/>
          <w:szCs w:val="34"/>
          <w:lang w:val="en-US" w:eastAsia="zh-CN" w:bidi="ar-SA"/>
        </w:rPr>
        <w:t>形式与效果脱节。</w:t>
      </w:r>
    </w:p>
    <w:p w14:paraId="21C1A2AA">
      <w:pPr>
        <w:keepNext w:val="0"/>
        <w:keepLines w:val="0"/>
        <w:pageBreakBefore w:val="0"/>
        <w:kinsoku/>
        <w:wordWrap/>
        <w:overflowPunct/>
        <w:topLinePunct w:val="0"/>
        <w:autoSpaceDE/>
        <w:autoSpaceDN/>
        <w:bidi w:val="0"/>
        <w:adjustRightInd/>
        <w:snapToGrid/>
        <w:spacing w:line="588" w:lineRule="exact"/>
        <w:textAlignment w:val="auto"/>
        <w:rPr>
          <w:rFonts w:hint="eastAsia" w:ascii="黑体" w:hAnsi="黑体" w:eastAsia="黑体" w:cs="黑体"/>
          <w:sz w:val="34"/>
          <w:szCs w:val="34"/>
        </w:rPr>
      </w:pPr>
      <w:r>
        <w:rPr>
          <w:rFonts w:hint="eastAsia"/>
          <w:lang w:val="en-US" w:eastAsia="zh-CN"/>
        </w:rPr>
        <w:t xml:space="preserve">  </w:t>
      </w:r>
      <w:r>
        <w:rPr>
          <w:rFonts w:hint="eastAsia" w:ascii="黑体" w:hAnsi="黑体" w:eastAsia="黑体" w:cs="黑体"/>
          <w:sz w:val="34"/>
          <w:szCs w:val="34"/>
          <w:lang w:val="en-US" w:eastAsia="zh-CN"/>
        </w:rPr>
        <w:t xml:space="preserve">   三</w:t>
      </w:r>
      <w:r>
        <w:rPr>
          <w:rFonts w:hint="eastAsia" w:ascii="黑体" w:hAnsi="黑体" w:eastAsia="黑体" w:cs="黑体"/>
          <w:sz w:val="34"/>
          <w:szCs w:val="34"/>
        </w:rPr>
        <w:t>、</w:t>
      </w:r>
      <w:r>
        <w:rPr>
          <w:rFonts w:hint="eastAsia" w:ascii="黑体" w:hAnsi="黑体" w:eastAsia="黑体" w:cs="黑体"/>
          <w:sz w:val="34"/>
          <w:szCs w:val="34"/>
          <w:lang w:val="en-US" w:eastAsia="zh-CN"/>
        </w:rPr>
        <w:t>2023年南开区文化和旅游局主要负责人</w:t>
      </w:r>
      <w:r>
        <w:rPr>
          <w:rFonts w:hint="eastAsia" w:ascii="黑体" w:hAnsi="黑体" w:eastAsia="黑体" w:cs="黑体"/>
          <w:sz w:val="34"/>
          <w:szCs w:val="34"/>
        </w:rPr>
        <w:t>履行推进法治</w:t>
      </w:r>
      <w:r>
        <w:rPr>
          <w:rFonts w:hint="eastAsia" w:ascii="黑体" w:hAnsi="黑体" w:eastAsia="黑体" w:cs="黑体"/>
          <w:sz w:val="34"/>
          <w:szCs w:val="34"/>
          <w:lang w:eastAsia="zh-CN"/>
        </w:rPr>
        <w:t>政府</w:t>
      </w:r>
      <w:r>
        <w:rPr>
          <w:rFonts w:hint="eastAsia" w:ascii="黑体" w:hAnsi="黑体" w:eastAsia="黑体" w:cs="黑体"/>
          <w:sz w:val="34"/>
          <w:szCs w:val="34"/>
        </w:rPr>
        <w:t>建设第一责任人职责</w:t>
      </w:r>
      <w:r>
        <w:rPr>
          <w:rFonts w:hint="eastAsia" w:ascii="黑体" w:hAnsi="黑体" w:eastAsia="黑体" w:cs="黑体"/>
          <w:sz w:val="34"/>
          <w:szCs w:val="34"/>
          <w:lang w:eastAsia="zh-CN"/>
        </w:rPr>
        <w:t>、加强法治政府建设</w:t>
      </w:r>
      <w:r>
        <w:rPr>
          <w:rFonts w:hint="eastAsia" w:ascii="黑体" w:hAnsi="黑体" w:eastAsia="黑体" w:cs="黑体"/>
          <w:sz w:val="34"/>
          <w:szCs w:val="34"/>
        </w:rPr>
        <w:t>有关情况</w:t>
      </w:r>
    </w:p>
    <w:p w14:paraId="284A5E9B">
      <w:pPr>
        <w:keepNext w:val="0"/>
        <w:keepLines w:val="0"/>
        <w:pageBreakBefore w:val="0"/>
        <w:kinsoku/>
        <w:wordWrap/>
        <w:overflowPunct/>
        <w:topLinePunct w:val="0"/>
        <w:autoSpaceDE/>
        <w:autoSpaceDN/>
        <w:bidi w:val="0"/>
        <w:adjustRightInd/>
        <w:snapToGrid/>
        <w:spacing w:line="588" w:lineRule="exact"/>
        <w:ind w:firstLine="68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主要负责人坚持以习近平新时代中国特色社会主义思想为指导，深入学习贯彻党的二十大精神，认真践行习近平法治思想，切实履行第一责任人职责，带头尊法学法守法用法，提升人民群众的法治获得感。</w:t>
      </w:r>
    </w:p>
    <w:p w14:paraId="3A50123E">
      <w:pPr>
        <w:keepNext w:val="0"/>
        <w:keepLines w:val="0"/>
        <w:pageBreakBefore w:val="0"/>
        <w:kinsoku/>
        <w:wordWrap/>
        <w:overflowPunct/>
        <w:topLinePunct w:val="0"/>
        <w:autoSpaceDE/>
        <w:autoSpaceDN/>
        <w:bidi w:val="0"/>
        <w:adjustRightInd/>
        <w:snapToGrid/>
        <w:spacing w:line="588" w:lineRule="exact"/>
        <w:ind w:firstLine="680"/>
        <w:textAlignment w:val="auto"/>
        <w:rPr>
          <w:rFonts w:hint="default"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（一）学习贯彻习近平法治思想情况。</w:t>
      </w:r>
      <w:r>
        <w:rPr>
          <w:rFonts w:hint="eastAsia" w:ascii="仿宋_GB2312" w:hAnsi="仿宋_GB2312" w:eastAsia="仿宋_GB2312" w:cs="仿宋_GB2312"/>
          <w:sz w:val="34"/>
          <w:szCs w:val="34"/>
          <w:lang w:val="en-US" w:eastAsia="zh-CN"/>
        </w:rPr>
        <w:t>主要负责人高度重视法治思想学习，将</w:t>
      </w:r>
      <w:r>
        <w:rPr>
          <w:rFonts w:hint="default" w:ascii="仿宋_GB2312" w:hAnsi="仿宋_GB2312" w:eastAsia="仿宋_GB2312" w:cs="仿宋_GB2312"/>
          <w:sz w:val="34"/>
          <w:szCs w:val="34"/>
          <w:lang w:val="en-US" w:eastAsia="zh-CN"/>
        </w:rPr>
        <w:t>学习宣传贯彻习近平法治思想</w:t>
      </w:r>
      <w:r>
        <w:rPr>
          <w:rFonts w:hint="eastAsia" w:ascii="仿宋_GB2312" w:hAnsi="仿宋_GB2312" w:eastAsia="仿宋_GB2312" w:cs="仿宋_GB2312"/>
          <w:sz w:val="34"/>
          <w:szCs w:val="34"/>
          <w:lang w:val="en-US" w:eastAsia="zh-CN"/>
        </w:rPr>
        <w:t>作为一项重大</w:t>
      </w:r>
      <w:r>
        <w:rPr>
          <w:rFonts w:hint="default" w:ascii="仿宋_GB2312" w:hAnsi="仿宋_GB2312" w:eastAsia="仿宋_GB2312" w:cs="仿宋_GB2312"/>
          <w:sz w:val="34"/>
          <w:szCs w:val="34"/>
          <w:lang w:val="en-US" w:eastAsia="zh-CN"/>
        </w:rPr>
        <w:t>政治任务，坚持在学深悟透做实上做文章、下苦功，通过党委理论学习中心组、党支部“三会一课”</w:t>
      </w:r>
      <w:r>
        <w:rPr>
          <w:rFonts w:hint="eastAsia" w:ascii="仿宋_GB2312" w:hAnsi="仿宋_GB2312" w:eastAsia="仿宋_GB2312" w:cs="仿宋_GB2312"/>
          <w:sz w:val="34"/>
          <w:szCs w:val="34"/>
          <w:lang w:val="en-US" w:eastAsia="zh-CN"/>
        </w:rPr>
        <w:t>等形式</w:t>
      </w:r>
      <w:r>
        <w:rPr>
          <w:rFonts w:hint="default" w:ascii="仿宋_GB2312" w:hAnsi="仿宋_GB2312" w:eastAsia="仿宋_GB2312" w:cs="仿宋_GB2312"/>
          <w:sz w:val="34"/>
          <w:szCs w:val="34"/>
          <w:lang w:val="en-US" w:eastAsia="zh-CN"/>
        </w:rPr>
        <w:t>，先后学习《习近平法治思想学习纲要》、《论坚持全面依法治国》、《习近平谈治国理政》第四卷、《国家安全法》等，全年共组织开展理论学习中心组学习</w:t>
      </w:r>
      <w:r>
        <w:rPr>
          <w:rFonts w:hint="eastAsia" w:ascii="仿宋_GB2312" w:hAnsi="仿宋_GB2312" w:eastAsia="仿宋_GB2312" w:cs="仿宋_GB2312"/>
          <w:sz w:val="34"/>
          <w:szCs w:val="34"/>
          <w:lang w:val="en-US" w:eastAsia="zh-CN"/>
        </w:rPr>
        <w:t>23</w:t>
      </w:r>
      <w:r>
        <w:rPr>
          <w:rFonts w:hint="default" w:ascii="仿宋_GB2312" w:hAnsi="仿宋_GB2312" w:eastAsia="仿宋_GB2312" w:cs="仿宋_GB2312"/>
          <w:sz w:val="34"/>
          <w:szCs w:val="34"/>
          <w:lang w:val="en-US" w:eastAsia="zh-CN"/>
        </w:rPr>
        <w:t>次，通过系列学习，以法治思维和法治方式推动文旅治理能力和水平不断提升。</w:t>
      </w:r>
    </w:p>
    <w:p w14:paraId="03920696">
      <w:pPr>
        <w:keepNext w:val="0"/>
        <w:keepLines w:val="0"/>
        <w:pageBreakBefore w:val="0"/>
        <w:kinsoku/>
        <w:wordWrap/>
        <w:overflowPunct/>
        <w:topLinePunct w:val="0"/>
        <w:autoSpaceDE/>
        <w:autoSpaceDN/>
        <w:bidi w:val="0"/>
        <w:adjustRightInd/>
        <w:snapToGrid/>
        <w:spacing w:line="588" w:lineRule="exac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楷体_GB2312" w:hAnsi="楷体_GB2312" w:eastAsia="楷体_GB2312" w:cs="楷体_GB2312"/>
          <w:sz w:val="34"/>
          <w:szCs w:val="34"/>
          <w:lang w:val="en-US" w:eastAsia="zh-CN"/>
        </w:rPr>
        <w:t xml:space="preserve"> （二）推进法治建设重点任务情况。</w:t>
      </w:r>
      <w:r>
        <w:rPr>
          <w:rFonts w:hint="eastAsia" w:ascii="仿宋_GB2312" w:hAnsi="仿宋_GB2312" w:eastAsia="仿宋_GB2312" w:cs="仿宋_GB2312"/>
          <w:sz w:val="34"/>
          <w:szCs w:val="34"/>
          <w:lang w:val="en-US" w:eastAsia="zh-CN"/>
        </w:rPr>
        <w:t>主要负责人充分发挥党委的领导核心作用，定期听取法治建设有关工作的报告，及时研究决定有关重大问题，履行第一责任人职责，形成一把手负总责，分管领导靠上抓，一级抓一级，层层抓落实的工作格局。将法治政府建设纳入文化旅游发展总体规划和年度工作计划，坚持把依法行政纳入重要议事日程，不断完善相关工作机制和制度管理，推进各项职责任务落实落细。同时，立足文化旅游职能特点，强化上级业务部门对街道综合行政执法队伍的指导，开展面向各街道的文化娱乐场所消防安全隐患排查专项培训，形成联动机制，共同查办案件；依据执法权限重新梳理监管平台的行政执法监管职权和执法关联度，及时报送相关执法数据和执法案件信息；深化执法“三项制度”改革，全面实现执法信息公开透明、执法全过程留痕、执法决定合法有效，保障执法全过程文字记录完整，执法文书规范，案卷完整齐全。</w:t>
      </w:r>
    </w:p>
    <w:p w14:paraId="2492B45E">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680" w:leftChars="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四、2024年推进法治政府建设的主要安排</w:t>
      </w:r>
    </w:p>
    <w:p w14:paraId="764E347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仿宋_GB2312" w:hAnsi="仿宋_GB2312" w:eastAsia="仿宋_GB2312" w:cs="仿宋_GB2312"/>
          <w:kern w:val="2"/>
          <w:sz w:val="34"/>
          <w:szCs w:val="34"/>
          <w:lang w:val="en-US" w:eastAsia="zh-CN" w:bidi="ar-SA"/>
        </w:rPr>
      </w:pPr>
      <w:r>
        <w:rPr>
          <w:rFonts w:hint="eastAsia" w:ascii="楷体_GB2312" w:hAnsi="楷体_GB2312" w:eastAsia="楷体_GB2312" w:cs="楷体_GB2312"/>
          <w:kern w:val="2"/>
          <w:sz w:val="34"/>
          <w:szCs w:val="34"/>
          <w:lang w:val="en-US" w:eastAsia="zh-CN" w:bidi="ar-SA"/>
        </w:rPr>
        <w:t>（一）抓学习，持续深入学习宣传贯彻习近平法治思想。</w:t>
      </w:r>
      <w:r>
        <w:rPr>
          <w:rFonts w:hint="eastAsia" w:ascii="仿宋_GB2312" w:hAnsi="仿宋_GB2312" w:eastAsia="仿宋_GB2312" w:cs="仿宋_GB2312"/>
          <w:kern w:val="2"/>
          <w:sz w:val="34"/>
          <w:szCs w:val="34"/>
          <w:lang w:val="en-US" w:eastAsia="zh-CN" w:bidi="ar-SA"/>
        </w:rPr>
        <w:t>深化学习教育，把习近平法治思想作为党委理论学习中心组学习重点内容，不断深化思想认识、筑牢理论根基，提高领导干部运用法治思维和法治方式开展工作的本领。</w:t>
      </w:r>
    </w:p>
    <w:p w14:paraId="6E62BB39">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8" w:lineRule="exact"/>
        <w:ind w:left="0" w:right="0" w:firstLine="420"/>
        <w:jc w:val="left"/>
        <w:textAlignment w:val="auto"/>
        <w:rPr>
          <w:rFonts w:hint="eastAsia" w:ascii="仿宋_GB2312" w:hAnsi="仿宋_GB2312" w:eastAsia="仿宋_GB2312" w:cs="仿宋_GB2312"/>
          <w:kern w:val="2"/>
          <w:sz w:val="34"/>
          <w:szCs w:val="34"/>
          <w:lang w:val="en-US" w:eastAsia="zh-CN" w:bidi="ar-SA"/>
        </w:rPr>
      </w:pPr>
      <w:r>
        <w:rPr>
          <w:rFonts w:hint="eastAsia" w:ascii="楷体_GB2312" w:hAnsi="楷体_GB2312" w:eastAsia="楷体_GB2312" w:cs="楷体_GB2312"/>
          <w:kern w:val="2"/>
          <w:sz w:val="34"/>
          <w:szCs w:val="34"/>
          <w:lang w:val="en-US" w:eastAsia="zh-CN" w:bidi="ar-SA"/>
        </w:rPr>
        <w:t xml:space="preserve"> （二）抓监督，加强事中事后监管。</w:t>
      </w:r>
      <w:r>
        <w:rPr>
          <w:rFonts w:hint="eastAsia" w:ascii="仿宋_GB2312" w:hAnsi="仿宋_GB2312" w:eastAsia="仿宋_GB2312" w:cs="仿宋_GB2312"/>
          <w:kern w:val="2"/>
          <w:sz w:val="34"/>
          <w:szCs w:val="34"/>
          <w:lang w:val="en-US" w:eastAsia="zh-CN" w:bidi="ar-SA"/>
        </w:rPr>
        <w:t>实行“双随机、一公开”监管，深化“互联网+监管”模式，完善跨部门联合监管，强化重点领域重点监管。进一步完善执法监督考核机制，加大有效促进文化旅游市场执法队伍严格执法、规范执法、文明执法，确保执法工作规范、高效运行。</w:t>
      </w:r>
    </w:p>
    <w:p w14:paraId="24F7C4F2">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kern w:val="2"/>
          <w:sz w:val="34"/>
          <w:szCs w:val="34"/>
          <w:lang w:val="en-US" w:eastAsia="zh-CN" w:bidi="ar-SA"/>
        </w:rPr>
      </w:pPr>
      <w:r>
        <w:rPr>
          <w:rFonts w:hint="eastAsia" w:ascii="楷体_GB2312" w:hAnsi="楷体_GB2312" w:eastAsia="楷体_GB2312" w:cs="楷体_GB2312"/>
          <w:kern w:val="2"/>
          <w:sz w:val="34"/>
          <w:szCs w:val="34"/>
          <w:lang w:val="en-US" w:eastAsia="zh-CN" w:bidi="ar-SA"/>
        </w:rPr>
        <w:t xml:space="preserve">   （三）抓宣传，营造良好氛围。</w:t>
      </w:r>
      <w:r>
        <w:rPr>
          <w:rFonts w:hint="eastAsia" w:ascii="仿宋_GB2312" w:hAnsi="仿宋_GB2312" w:eastAsia="仿宋_GB2312" w:cs="仿宋_GB2312"/>
          <w:kern w:val="2"/>
          <w:sz w:val="34"/>
          <w:szCs w:val="34"/>
          <w:lang w:val="en-US" w:eastAsia="zh-CN" w:bidi="ar-SA"/>
        </w:rPr>
        <w:t>加强面向社会公众的文旅法治普及宣传，强化社会公众法律意识。在“5.19”中国旅游日、“12.4”国家宪法日和“文化和自然遗产日”等重点时间段，积极参与并组织开展形式多样的法治宣传活动。如，普及文化与自然遗产知识，提高全民保护文化与自然遗产意识，普及文旅市场法律法规，介绍文旅市场整治情况，交流文旅执法经验做法、典型案例，取得良好的法治宣传效果。</w:t>
      </w:r>
    </w:p>
    <w:p w14:paraId="5733CC17">
      <w:pPr>
        <w:pStyle w:val="2"/>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kern w:val="2"/>
          <w:sz w:val="34"/>
          <w:szCs w:val="34"/>
          <w:lang w:val="en-US" w:eastAsia="zh-CN" w:bidi="ar-SA"/>
        </w:rPr>
      </w:pPr>
    </w:p>
    <w:p w14:paraId="7981DF91">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kern w:val="2"/>
          <w:sz w:val="34"/>
          <w:szCs w:val="34"/>
          <w:lang w:val="en-US" w:eastAsia="zh-CN" w:bidi="ar-SA"/>
        </w:rPr>
      </w:pPr>
    </w:p>
    <w:p w14:paraId="486A1CC2">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南开区文化和旅游局</w:t>
      </w:r>
    </w:p>
    <w:p w14:paraId="1036A3E7">
      <w:pPr>
        <w:pStyle w:val="2"/>
        <w:keepNext w:val="0"/>
        <w:keepLines w:val="0"/>
        <w:pageBreakBefore w:val="0"/>
        <w:kinsoku/>
        <w:wordWrap/>
        <w:overflowPunct/>
        <w:topLinePunct w:val="0"/>
        <w:autoSpaceDE/>
        <w:autoSpaceDN/>
        <w:bidi w:val="0"/>
        <w:adjustRightInd/>
        <w:snapToGrid/>
        <w:spacing w:line="588" w:lineRule="exact"/>
        <w:textAlignment w:val="auto"/>
        <w:rPr>
          <w:rFonts w:hint="default"/>
          <w:lang w:val="en-US" w:eastAsia="zh-CN"/>
        </w:rPr>
      </w:pPr>
      <w:r>
        <w:rPr>
          <w:rFonts w:hint="eastAsia" w:ascii="仿宋_GB2312" w:hAnsi="仿宋_GB2312" w:eastAsia="仿宋_GB2312" w:cs="仿宋_GB2312"/>
          <w:kern w:val="2"/>
          <w:sz w:val="34"/>
          <w:szCs w:val="34"/>
          <w:lang w:val="en-US" w:eastAsia="zh-CN" w:bidi="ar-SA"/>
        </w:rPr>
        <w:t xml:space="preserve">                          2024年1月15日</w:t>
      </w: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A9928D-DA96-48EE-BA81-5710EE05F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36DB1948-BD44-4377-9625-57418596FBD7}"/>
  </w:font>
  <w:font w:name="仿宋_GB2312">
    <w:panose1 w:val="02010609030101010101"/>
    <w:charset w:val="86"/>
    <w:family w:val="auto"/>
    <w:pitch w:val="default"/>
    <w:sig w:usb0="00000001" w:usb1="080E0000" w:usb2="00000000" w:usb3="00000000" w:csb0="00040000" w:csb1="00000000"/>
    <w:embedRegular r:id="rId3" w:fontKey="{01CD7A4A-8DD9-4758-A3D2-7B3E6D3D3B56}"/>
  </w:font>
  <w:font w:name="楷体">
    <w:panose1 w:val="02010609060101010101"/>
    <w:charset w:val="86"/>
    <w:family w:val="auto"/>
    <w:pitch w:val="default"/>
    <w:sig w:usb0="800002BF" w:usb1="38CF7CFA" w:usb2="00000016" w:usb3="00000000" w:csb0="00040001" w:csb1="00000000"/>
    <w:embedRegular r:id="rId4" w:fontKey="{95ADC649-C018-4954-80E2-00D7CAB27BBC}"/>
  </w:font>
  <w:font w:name="楷体_GB2312">
    <w:altName w:val="楷体"/>
    <w:panose1 w:val="02010609030101010101"/>
    <w:charset w:val="86"/>
    <w:family w:val="auto"/>
    <w:pitch w:val="default"/>
    <w:sig w:usb0="00000000" w:usb1="00000000" w:usb2="00000000" w:usb3="00000000" w:csb0="00040000" w:csb1="00000000"/>
    <w:embedRegular r:id="rId5" w:fontKey="{78A0CAA0-DF19-42AB-A187-D4616222B9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A9F52"/>
    <w:multiLevelType w:val="singleLevel"/>
    <w:tmpl w:val="57FA9F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jNlOGY3OGUxOTg0ZjY3YjQyMDIwMzk2NDA2YTAifQ=="/>
  </w:docVars>
  <w:rsids>
    <w:rsidRoot w:val="12E501D9"/>
    <w:rsid w:val="08844E22"/>
    <w:rsid w:val="0952227E"/>
    <w:rsid w:val="12E501D9"/>
    <w:rsid w:val="165D6BB1"/>
    <w:rsid w:val="1A2D5AAC"/>
    <w:rsid w:val="202C7E22"/>
    <w:rsid w:val="30D13892"/>
    <w:rsid w:val="31230DCD"/>
    <w:rsid w:val="39F97CAF"/>
    <w:rsid w:val="4FBC1477"/>
    <w:rsid w:val="51A60F32"/>
    <w:rsid w:val="5FDB2DBA"/>
    <w:rsid w:val="6FDFF3A8"/>
    <w:rsid w:val="716C160F"/>
    <w:rsid w:val="73A24C18"/>
    <w:rsid w:val="7D726ADF"/>
    <w:rsid w:val="DF5BEA71"/>
    <w:rsid w:val="EFDDD17A"/>
    <w:rsid w:val="FF9341F5"/>
    <w:rsid w:val="FFEB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60"/>
    </w:pPr>
    <w:rPr>
      <w:rFonts w:ascii="长城仿宋"/>
    </w:rPr>
  </w:style>
  <w:style w:type="paragraph" w:styleId="4">
    <w:name w:val="Date"/>
    <w:basedOn w:val="1"/>
    <w:next w:val="1"/>
    <w:qFormat/>
    <w:uiPriority w:val="0"/>
    <w:pPr>
      <w:ind w:left="100" w:leftChars="25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3038</Words>
  <Characters>3100</Characters>
  <Lines>0</Lines>
  <Paragraphs>0</Paragraphs>
  <TotalTime>14</TotalTime>
  <ScaleCrop>false</ScaleCrop>
  <LinksUpToDate>false</LinksUpToDate>
  <CharactersWithSpaces>3199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2024-01-08T06:49:00Z</dcterms:created>
  <dc:creator>微笑向暖</dc:creator>
  <cp:lastModifiedBy>雪可</cp:lastModifiedBy>
  <cp:lastPrinted>2024-01-15T14:45:00Z</cp:lastPrinted>
  <dcterms:modified xsi:type="dcterms:W3CDTF">2025-03-10T08:04:14Z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DCA49D0FAA3E0F1536D8A465C0224212</vt:lpwstr>
  </property>
  <property fmtid="{D5CDD505-2E9C-101B-9397-08002B2CF9AE}" pid="4" name="KSOTemplateDocerSaveRecord">
    <vt:lpwstr>eyJoZGlkIjoiMDFiMjNlOGY3OGUxOTg0ZjY3YjQyMDIwMzk2NDA2YTAiLCJ1c2VySWQiOiIzNTkwNDkyOTcifQ==</vt:lpwstr>
  </property>
</Properties>
</file>