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方正小标宋简体" w:eastAsia="方正小标宋简体" w:cs="方正小标宋简体"/>
          <w:b w:val="0"/>
          <w:bCs/>
          <w:color w:val="auto"/>
          <w:spacing w:val="-6"/>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rPr>
      </w:pPr>
      <w:r>
        <w:rPr>
          <w:rFonts w:hint="eastAsia" w:ascii="方正小标宋简体" w:hAnsi="方正小标宋简体" w:eastAsia="方正小标宋简体" w:cs="方正小标宋简体"/>
          <w:b w:val="0"/>
          <w:bCs/>
          <w:color w:val="auto"/>
          <w:spacing w:val="-6"/>
          <w:sz w:val="44"/>
          <w:szCs w:val="44"/>
          <w:highlight w:val="none"/>
        </w:rPr>
        <w:t>南开区</w:t>
      </w:r>
      <w:r>
        <w:rPr>
          <w:rFonts w:hint="default" w:ascii="方正小标宋简体" w:hAnsi="方正小标宋简体" w:eastAsia="方正小标宋简体" w:cs="方正小标宋简体"/>
          <w:b w:val="0"/>
          <w:bCs/>
          <w:color w:val="auto"/>
          <w:spacing w:val="-6"/>
          <w:sz w:val="44"/>
          <w:szCs w:val="44"/>
          <w:highlight w:val="none"/>
        </w:rPr>
        <w:t>华苑街道2023</w:t>
      </w:r>
      <w:r>
        <w:rPr>
          <w:rFonts w:hint="eastAsia" w:ascii="方正小标宋简体" w:hAnsi="方正小标宋简体" w:eastAsia="方正小标宋简体" w:cs="方正小标宋简体"/>
          <w:b w:val="0"/>
          <w:bCs/>
          <w:color w:val="auto"/>
          <w:spacing w:val="-6"/>
          <w:sz w:val="44"/>
          <w:szCs w:val="44"/>
          <w:highlight w:val="none"/>
        </w:rPr>
        <w:t>年度法治政府建设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pacing w:val="-6"/>
          <w:sz w:val="44"/>
          <w:szCs w:val="44"/>
          <w:highlight w:val="none"/>
        </w:rPr>
      </w:pPr>
      <w:r>
        <w:rPr>
          <w:rFonts w:hint="eastAsia" w:ascii="方正小标宋简体" w:hAnsi="方正小标宋简体" w:eastAsia="方正小标宋简体" w:cs="方正小标宋简体"/>
          <w:b w:val="0"/>
          <w:bCs/>
          <w:color w:val="auto"/>
          <w:spacing w:val="-6"/>
          <w:sz w:val="44"/>
          <w:szCs w:val="44"/>
          <w:highlight w:val="none"/>
        </w:rPr>
        <w:t>情况报告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4"/>
          <w:szCs w:val="34"/>
          <w:highlight w:val="none"/>
          <w:lang w:val="en-US" w:eastAsia="zh-CN"/>
        </w:rPr>
      </w:pPr>
    </w:p>
    <w:p>
      <w:pPr>
        <w:keepNext w:val="0"/>
        <w:keepLines w:val="0"/>
        <w:pageBreakBefore w:val="0"/>
        <w:widowControl/>
        <w:suppressLineNumbers w:val="0"/>
        <w:kinsoku/>
        <w:wordWrap/>
        <w:overflowPunct/>
        <w:topLinePunct w:val="0"/>
        <w:bidi w:val="0"/>
        <w:snapToGrid/>
        <w:spacing w:line="588" w:lineRule="exact"/>
        <w:ind w:firstLine="712" w:firstLineChars="200"/>
        <w:jc w:val="both"/>
        <w:textAlignment w:val="auto"/>
        <w:rPr>
          <w:rFonts w:hint="eastAsia" w:ascii="仿宋_GB2312" w:hAnsi="仿宋_GB2312" w:eastAsia="仿宋_GB2312" w:cs="仿宋_GB2312"/>
          <w:b w:val="0"/>
          <w:bCs/>
          <w:color w:val="auto"/>
          <w:sz w:val="34"/>
          <w:szCs w:val="34"/>
          <w:highlight w:val="none"/>
          <w:lang w:val="en-US" w:eastAsia="zh-CN"/>
        </w:rPr>
      </w:pPr>
      <w:r>
        <w:rPr>
          <w:rFonts w:hint="default" w:ascii="Times New Roman" w:hAnsi="Times New Roman" w:eastAsia="仿宋" w:cs="Times New Roman"/>
          <w:b w:val="0"/>
          <w:bCs w:val="0"/>
          <w:color w:val="auto"/>
          <w:spacing w:val="8"/>
          <w:kern w:val="0"/>
          <w:sz w:val="34"/>
          <w:szCs w:val="34"/>
          <w:lang w:eastAsia="zh-CN"/>
        </w:rPr>
        <w:t>2023</w:t>
      </w:r>
      <w:r>
        <w:rPr>
          <w:rFonts w:hint="eastAsia" w:ascii="仿宋_GB2312" w:hAnsi="仿宋_GB2312" w:eastAsia="仿宋_GB2312" w:cs="仿宋_GB2312"/>
          <w:color w:val="auto"/>
          <w:spacing w:val="8"/>
          <w:kern w:val="0"/>
          <w:sz w:val="34"/>
          <w:szCs w:val="34"/>
          <w:lang w:val="en-US" w:eastAsia="zh-CN"/>
        </w:rPr>
        <w:t>年，</w:t>
      </w:r>
      <w:r>
        <w:rPr>
          <w:rFonts w:hint="eastAsia" w:ascii="仿宋_GB2312" w:hAnsi="仿宋_GB2312" w:eastAsia="仿宋_GB2312" w:cs="仿宋_GB2312"/>
          <w:color w:val="auto"/>
          <w:sz w:val="34"/>
          <w:szCs w:val="34"/>
          <w:lang w:val="en-US" w:eastAsia="zh-CN"/>
        </w:rPr>
        <w:t>华苑</w:t>
      </w:r>
      <w:r>
        <w:rPr>
          <w:rFonts w:hint="default" w:ascii="仿宋_GB2312" w:hAnsi="仿宋_GB2312" w:cs="仿宋_GB2312"/>
          <w:color w:val="auto"/>
          <w:sz w:val="34"/>
          <w:szCs w:val="34"/>
          <w:lang w:eastAsia="zh-CN"/>
        </w:rPr>
        <w:t>街道</w:t>
      </w:r>
      <w:r>
        <w:rPr>
          <w:rFonts w:hint="eastAsia" w:ascii="仿宋_GB2312" w:hAnsi="仿宋_GB2312" w:eastAsia="仿宋_GB2312" w:cs="仿宋_GB2312"/>
          <w:color w:val="auto"/>
          <w:sz w:val="34"/>
          <w:szCs w:val="34"/>
          <w:lang w:val="en-US" w:eastAsia="zh-CN"/>
        </w:rPr>
        <w:t>在区委、区政府的坚强领导下，紧紧围绕市、区法治政府建设工作目标任务和街道发展全局，努力提高法治工作水平，加快推进法治政府建设，坚持依法全面履行政府职能，促进街道各项工作全面步入法治轨道</w:t>
      </w:r>
      <w:r>
        <w:rPr>
          <w:rFonts w:hint="eastAsia" w:ascii="仿宋_GB2312" w:hAnsi="仿宋_GB2312" w:eastAsia="仿宋_GB2312" w:cs="仿宋_GB2312"/>
          <w:color w:val="auto"/>
          <w:spacing w:val="8"/>
          <w:kern w:val="0"/>
          <w:sz w:val="34"/>
          <w:szCs w:val="34"/>
        </w:rPr>
        <w:t>。</w:t>
      </w:r>
      <w:r>
        <w:rPr>
          <w:rFonts w:hint="eastAsia" w:ascii="仿宋_GB2312" w:hAnsi="仿宋_GB2312" w:eastAsia="仿宋_GB2312" w:cs="仿宋_GB2312"/>
          <w:b w:val="0"/>
          <w:bCs/>
          <w:color w:val="auto"/>
          <w:sz w:val="34"/>
          <w:szCs w:val="34"/>
          <w:highlight w:val="none"/>
          <w:lang w:val="en-US" w:eastAsia="zh-CN"/>
        </w:rPr>
        <w:t>现将</w:t>
      </w:r>
      <w:r>
        <w:rPr>
          <w:rFonts w:hint="default" w:ascii="Times New Roman" w:hAnsi="Times New Roman" w:eastAsia="楷体_GB2312" w:cs="Times New Roman"/>
          <w:b w:val="0"/>
          <w:bCs w:val="0"/>
          <w:color w:val="auto"/>
          <w:spacing w:val="8"/>
          <w:kern w:val="0"/>
          <w:sz w:val="34"/>
          <w:szCs w:val="34"/>
          <w:lang w:eastAsia="zh-CN"/>
        </w:rPr>
        <w:t>2023</w:t>
      </w:r>
      <w:r>
        <w:rPr>
          <w:rFonts w:hint="eastAsia" w:ascii="仿宋_GB2312" w:hAnsi="仿宋_GB2312" w:eastAsia="仿宋_GB2312" w:cs="仿宋_GB2312"/>
          <w:b w:val="0"/>
          <w:bCs/>
          <w:color w:val="auto"/>
          <w:sz w:val="34"/>
          <w:szCs w:val="34"/>
          <w:highlight w:val="none"/>
          <w:lang w:val="en-US" w:eastAsia="zh-CN"/>
        </w:rPr>
        <w:t>年度法治政府建设情况报告如下：</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680" w:firstLineChars="200"/>
        <w:textAlignment w:val="auto"/>
        <w:rPr>
          <w:rFonts w:hint="eastAsia" w:ascii="黑体" w:hAnsi="黑体" w:eastAsia="黑体" w:cs="黑体"/>
          <w:b w:val="0"/>
          <w:bCs/>
          <w:color w:val="auto"/>
          <w:kern w:val="0"/>
          <w:sz w:val="34"/>
          <w:szCs w:val="34"/>
          <w:highlight w:val="none"/>
          <w:lang w:val="en-US" w:eastAsia="zh-CN" w:bidi="ar-SA"/>
        </w:rPr>
      </w:pPr>
      <w:r>
        <w:rPr>
          <w:rFonts w:hint="eastAsia" w:ascii="黑体" w:hAnsi="黑体" w:eastAsia="黑体" w:cs="黑体"/>
          <w:b w:val="0"/>
          <w:bCs/>
          <w:color w:val="auto"/>
          <w:kern w:val="0"/>
          <w:sz w:val="34"/>
          <w:szCs w:val="34"/>
          <w:highlight w:val="none"/>
          <w:lang w:val="en-US" w:eastAsia="zh-CN" w:bidi="ar-SA"/>
        </w:rPr>
        <w:t>一、</w:t>
      </w:r>
      <w:r>
        <w:rPr>
          <w:rFonts w:hint="default" w:ascii="Times New Roman" w:hAnsi="仿宋" w:eastAsia="仿宋" w:cs="Times New Roman"/>
          <w:b w:val="0"/>
          <w:bCs/>
          <w:color w:val="auto"/>
          <w:kern w:val="0"/>
          <w:sz w:val="34"/>
          <w:szCs w:val="34"/>
          <w:highlight w:val="none"/>
          <w:lang w:eastAsia="zh-CN"/>
        </w:rPr>
        <w:t>2023</w:t>
      </w:r>
      <w:r>
        <w:rPr>
          <w:rFonts w:hint="eastAsia" w:ascii="黑体" w:hAnsi="黑体" w:eastAsia="黑体" w:cs="黑体"/>
          <w:b w:val="0"/>
          <w:bCs/>
          <w:color w:val="auto"/>
          <w:kern w:val="0"/>
          <w:sz w:val="34"/>
          <w:szCs w:val="34"/>
          <w:highlight w:val="none"/>
          <w:lang w:val="en-US" w:eastAsia="zh-CN" w:bidi="ar-SA"/>
        </w:rPr>
        <w:t>年推进法治政府建设的主要举措和成效</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672" w:firstLineChars="200"/>
        <w:textAlignment w:val="auto"/>
        <w:rPr>
          <w:rFonts w:hint="eastAsia" w:ascii="楷体_GB2312" w:hAnsi="楷体_GB2312" w:eastAsia="楷体_GB2312" w:cs="楷体_GB2312"/>
          <w:color w:val="auto"/>
          <w:spacing w:val="8"/>
          <w:kern w:val="0"/>
          <w:sz w:val="32"/>
          <w:szCs w:val="32"/>
        </w:rPr>
      </w:pPr>
      <w:r>
        <w:rPr>
          <w:rFonts w:hint="eastAsia" w:ascii="楷体_GB2312" w:hAnsi="楷体_GB2312" w:eastAsia="楷体_GB2312" w:cs="楷体_GB2312"/>
          <w:color w:val="auto"/>
          <w:spacing w:val="8"/>
          <w:kern w:val="0"/>
          <w:sz w:val="32"/>
          <w:szCs w:val="32"/>
        </w:rPr>
        <w:t>（一）</w:t>
      </w:r>
      <w:r>
        <w:rPr>
          <w:rFonts w:hint="eastAsia" w:ascii="楷体_GB2312" w:hAnsi="楷体_GB2312" w:eastAsia="楷体_GB2312" w:cs="楷体_GB2312"/>
          <w:b w:val="0"/>
          <w:bCs w:val="0"/>
          <w:color w:val="auto"/>
          <w:sz w:val="34"/>
          <w:szCs w:val="34"/>
          <w:lang w:val="en-US" w:eastAsia="zh-CN"/>
        </w:rPr>
        <w:t>加强党对法治政府建设的领导</w:t>
      </w:r>
    </w:p>
    <w:p>
      <w:pPr>
        <w:pStyle w:val="2"/>
        <w:keepNext w:val="0"/>
        <w:keepLines w:val="0"/>
        <w:pageBreakBefore w:val="0"/>
        <w:numPr>
          <w:ilvl w:val="0"/>
          <w:numId w:val="0"/>
        </w:numPr>
        <w:kinsoku/>
        <w:wordWrap/>
        <w:overflowPunct/>
        <w:topLinePunct w:val="0"/>
        <w:bidi w:val="0"/>
        <w:snapToGrid/>
        <w:spacing w:line="588" w:lineRule="exact"/>
        <w:ind w:firstLine="682"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1</w:t>
      </w:r>
      <w:r>
        <w:rPr>
          <w:rFonts w:hint="eastAsia" w:ascii="仿宋_GB2312" w:hAnsi="仿宋_GB2312" w:eastAsia="仿宋_GB2312" w:cs="仿宋_GB2312"/>
          <w:b/>
          <w:bCs/>
          <w:color w:val="auto"/>
          <w:sz w:val="34"/>
          <w:szCs w:val="34"/>
          <w:lang w:eastAsia="zh-CN"/>
        </w:rPr>
        <w:t>、</w:t>
      </w:r>
      <w:r>
        <w:rPr>
          <w:rFonts w:hint="eastAsia" w:ascii="仿宋_GB2312" w:hAnsi="仿宋_GB2312" w:eastAsia="仿宋_GB2312" w:cs="仿宋_GB2312"/>
          <w:b/>
          <w:bCs/>
          <w:color w:val="auto"/>
          <w:sz w:val="34"/>
          <w:szCs w:val="34"/>
          <w:lang w:val="en-US" w:eastAsia="zh-CN"/>
        </w:rPr>
        <w:t>深入学习贯彻习近平法治思想</w:t>
      </w:r>
      <w:r>
        <w:rPr>
          <w:rFonts w:hint="eastAsia" w:ascii="仿宋_GB2312" w:hAnsi="仿宋_GB2312" w:eastAsia="仿宋_GB2312" w:cs="仿宋_GB2312"/>
          <w:b/>
          <w:bCs/>
          <w:color w:val="auto"/>
          <w:sz w:val="34"/>
          <w:szCs w:val="34"/>
          <w:lang w:eastAsia="zh-CN"/>
        </w:rPr>
        <w:t>。</w:t>
      </w:r>
      <w:r>
        <w:rPr>
          <w:rFonts w:hint="default" w:ascii="仿宋_GB2312" w:hAnsi="仿宋_GB2312" w:eastAsia="仿宋_GB2312" w:cs="仿宋_GB2312"/>
          <w:color w:val="auto"/>
          <w:sz w:val="34"/>
          <w:szCs w:val="34"/>
          <w:lang w:eastAsia="zh-CN"/>
        </w:rPr>
        <w:t>将</w:t>
      </w:r>
      <w:r>
        <w:rPr>
          <w:rFonts w:hint="eastAsia" w:ascii="仿宋_GB2312" w:hAnsi="仿宋_GB2312" w:eastAsia="仿宋_GB2312" w:cs="仿宋_GB2312"/>
          <w:color w:val="auto"/>
          <w:sz w:val="34"/>
          <w:szCs w:val="34"/>
          <w:lang w:val="en-US" w:eastAsia="zh-CN"/>
        </w:rPr>
        <w:t>深入学习宣传贯彻习近平法治思想作为重要政治任务，坚持学习贯彻习近平总书记在中央全面依法治国工作会议上的</w:t>
      </w:r>
      <w:bookmarkStart w:id="0" w:name="_GoBack"/>
      <w:bookmarkEnd w:id="0"/>
      <w:r>
        <w:rPr>
          <w:rFonts w:hint="eastAsia" w:ascii="仿宋_GB2312" w:hAnsi="仿宋_GB2312" w:eastAsia="仿宋_GB2312" w:cs="仿宋_GB2312"/>
          <w:color w:val="auto"/>
          <w:sz w:val="34"/>
          <w:szCs w:val="34"/>
          <w:lang w:val="en-US" w:eastAsia="zh-CN"/>
        </w:rPr>
        <w:t>重要讲话精神，认真学习贯彻党的二十大精神、党的二十届一中</w:t>
      </w:r>
      <w:r>
        <w:rPr>
          <w:rFonts w:hint="eastAsia" w:ascii="仿宋_GB2312" w:hAnsi="仿宋_GB2312" w:eastAsia="仿宋_GB2312" w:cs="仿宋_GB2312"/>
          <w:color w:val="auto"/>
          <w:sz w:val="34"/>
          <w:szCs w:val="34"/>
          <w:lang w:eastAsia="zh-CN"/>
        </w:rPr>
        <w:t>、二中</w:t>
      </w:r>
      <w:r>
        <w:rPr>
          <w:rFonts w:hint="eastAsia" w:ascii="仿宋_GB2312" w:hAnsi="仿宋_GB2312" w:eastAsia="仿宋_GB2312" w:cs="仿宋_GB2312"/>
          <w:color w:val="auto"/>
          <w:sz w:val="34"/>
          <w:szCs w:val="34"/>
          <w:lang w:val="en-US" w:eastAsia="zh-CN"/>
        </w:rPr>
        <w:t>全会精神，把</w:t>
      </w:r>
      <w:r>
        <w:rPr>
          <w:rFonts w:hint="default"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宪法</w:t>
      </w:r>
      <w:r>
        <w:rPr>
          <w:rFonts w:hint="default" w:ascii="仿宋_GB2312" w:hAnsi="仿宋_GB2312" w:eastAsia="仿宋_GB2312" w:cs="仿宋_GB2312"/>
          <w:color w:val="auto"/>
          <w:sz w:val="34"/>
          <w:szCs w:val="34"/>
          <w:lang w:eastAsia="zh-CN"/>
        </w:rPr>
        <w:t>》、《反有组织犯罪法》、《消防安全法》等法律法规</w:t>
      </w:r>
      <w:r>
        <w:rPr>
          <w:rFonts w:hint="eastAsia" w:ascii="仿宋_GB2312" w:hAnsi="仿宋_GB2312" w:eastAsia="仿宋_GB2312" w:cs="仿宋_GB2312"/>
          <w:color w:val="auto"/>
          <w:sz w:val="34"/>
          <w:szCs w:val="34"/>
          <w:lang w:val="en-US" w:eastAsia="zh-CN"/>
        </w:rPr>
        <w:t>及《中国共产党党内法规体系》</w:t>
      </w:r>
      <w:r>
        <w:rPr>
          <w:rFonts w:hint="default" w:ascii="仿宋_GB2312" w:hAnsi="仿宋_GB2312" w:eastAsia="仿宋_GB2312" w:cs="仿宋_GB2312"/>
          <w:color w:val="auto"/>
          <w:sz w:val="34"/>
          <w:szCs w:val="34"/>
          <w:lang w:eastAsia="zh-CN"/>
        </w:rPr>
        <w:t>、《中国共产党纪律处分条例》等党内</w:t>
      </w:r>
      <w:r>
        <w:rPr>
          <w:rFonts w:hint="eastAsia" w:ascii="仿宋_GB2312" w:hAnsi="仿宋_GB2312" w:eastAsia="仿宋_GB2312" w:cs="仿宋_GB2312"/>
          <w:color w:val="auto"/>
          <w:sz w:val="34"/>
          <w:szCs w:val="34"/>
          <w:lang w:val="en-US" w:eastAsia="zh-CN"/>
        </w:rPr>
        <w:t>法规作为街道理论学习中心组重要学习内容，全年专题学</w:t>
      </w:r>
      <w:r>
        <w:rPr>
          <w:rFonts w:hint="default" w:ascii="Times New Roman" w:hAnsi="Times New Roman" w:eastAsia="仿宋_GB2312" w:cs="Times New Roman"/>
          <w:color w:val="auto"/>
          <w:sz w:val="34"/>
          <w:szCs w:val="34"/>
          <w:lang w:val="en-US" w:eastAsia="zh-CN"/>
        </w:rPr>
        <w:t>法</w:t>
      </w:r>
      <w:r>
        <w:rPr>
          <w:rFonts w:hint="default" w:ascii="Times New Roman" w:hAnsi="Times New Roman" w:eastAsia="仿宋_GB2312" w:cs="Times New Roman"/>
          <w:color w:val="auto"/>
          <w:sz w:val="34"/>
          <w:szCs w:val="34"/>
          <w:lang w:eastAsia="zh-CN"/>
        </w:rPr>
        <w:t>12</w:t>
      </w:r>
      <w:r>
        <w:rPr>
          <w:rFonts w:hint="default" w:ascii="Times New Roman" w:hAnsi="Times New Roman" w:eastAsia="仿宋_GB2312" w:cs="Times New Roman"/>
          <w:color w:val="auto"/>
          <w:sz w:val="34"/>
          <w:szCs w:val="34"/>
          <w:lang w:val="en-US" w:eastAsia="zh-CN"/>
        </w:rPr>
        <w:t>次</w:t>
      </w:r>
      <w:r>
        <w:rPr>
          <w:rFonts w:hint="default" w:ascii="Times New Roman" w:hAnsi="Times New Roman" w:eastAsia="仿宋_GB2312" w:cs="Times New Roman"/>
          <w:color w:val="auto"/>
          <w:sz w:val="34"/>
          <w:szCs w:val="34"/>
          <w:lang w:eastAsia="zh-CN"/>
        </w:rPr>
        <w:t>。</w:t>
      </w:r>
      <w:r>
        <w:rPr>
          <w:rFonts w:hint="eastAsia" w:ascii="仿宋_GB2312" w:hAnsi="仿宋_GB2312" w:eastAsia="仿宋_GB2312" w:cs="仿宋_GB2312"/>
          <w:color w:val="auto"/>
          <w:sz w:val="34"/>
          <w:szCs w:val="34"/>
          <w:lang w:val="en-US" w:eastAsia="zh-CN"/>
        </w:rPr>
        <w:t>坚持国家工作人员网上学法、</w:t>
      </w:r>
      <w:r>
        <w:rPr>
          <w:rFonts w:hint="eastAsia" w:ascii="仿宋_GB2312" w:hAnsi="仿宋_GB2312" w:eastAsia="仿宋_GB2312" w:cs="仿宋_GB2312"/>
          <w:color w:val="auto"/>
          <w:sz w:val="34"/>
          <w:szCs w:val="34"/>
          <w:lang w:eastAsia="zh-CN"/>
        </w:rPr>
        <w:t>主要</w:t>
      </w:r>
      <w:r>
        <w:rPr>
          <w:rFonts w:hint="eastAsia" w:ascii="仿宋_GB2312" w:hAnsi="仿宋_GB2312" w:eastAsia="仿宋_GB2312" w:cs="仿宋_GB2312"/>
          <w:color w:val="auto"/>
          <w:sz w:val="34"/>
          <w:szCs w:val="34"/>
          <w:lang w:val="en-US" w:eastAsia="zh-CN"/>
        </w:rPr>
        <w:t>领导年度述法制度，不断提升</w:t>
      </w:r>
      <w:r>
        <w:rPr>
          <w:rFonts w:hint="default" w:ascii="仿宋_GB2312" w:hAnsi="仿宋_GB2312" w:eastAsia="仿宋_GB2312" w:cs="仿宋_GB2312"/>
          <w:color w:val="auto"/>
          <w:sz w:val="34"/>
          <w:szCs w:val="34"/>
          <w:lang w:eastAsia="zh-CN"/>
        </w:rPr>
        <w:t>干部工作人员的</w:t>
      </w:r>
      <w:r>
        <w:rPr>
          <w:rFonts w:hint="eastAsia" w:ascii="仿宋_GB2312" w:hAnsi="仿宋_GB2312" w:eastAsia="仿宋_GB2312" w:cs="仿宋_GB2312"/>
          <w:color w:val="auto"/>
          <w:sz w:val="34"/>
          <w:szCs w:val="34"/>
          <w:lang w:val="en-US" w:eastAsia="zh-CN"/>
        </w:rPr>
        <w:t>法治素养。</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default"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lang w:val="en-US" w:eastAsia="zh-CN"/>
        </w:rPr>
        <w:t>2、依法全面履行</w:t>
      </w:r>
      <w:r>
        <w:rPr>
          <w:rFonts w:hint="default" w:ascii="仿宋_GB2312" w:hAnsi="仿宋_GB2312" w:eastAsia="仿宋_GB2312" w:cs="仿宋_GB2312"/>
          <w:b/>
          <w:bCs/>
          <w:color w:val="auto"/>
          <w:sz w:val="34"/>
          <w:szCs w:val="34"/>
          <w:lang w:eastAsia="zh-CN"/>
        </w:rPr>
        <w:t>工作</w:t>
      </w:r>
      <w:r>
        <w:rPr>
          <w:rFonts w:hint="eastAsia" w:ascii="仿宋_GB2312" w:hAnsi="仿宋_GB2312" w:eastAsia="仿宋_GB2312" w:cs="仿宋_GB2312"/>
          <w:b/>
          <w:bCs/>
          <w:color w:val="auto"/>
          <w:sz w:val="34"/>
          <w:szCs w:val="34"/>
          <w:lang w:val="en-US" w:eastAsia="zh-CN"/>
        </w:rPr>
        <w:t>职能。</w:t>
      </w:r>
      <w:r>
        <w:rPr>
          <w:rFonts w:hint="eastAsia" w:ascii="仿宋_GB2312" w:hAnsi="仿宋_GB2312" w:eastAsia="仿宋_GB2312" w:cs="仿宋_GB2312"/>
          <w:color w:val="auto"/>
          <w:sz w:val="34"/>
          <w:szCs w:val="34"/>
          <w:lang w:val="en-US" w:eastAsia="zh-CN"/>
        </w:rPr>
        <w:t>制定街道法治政府建设年度工作计划，有序推进各项工作深入开展。按照扁平化管理的工作要求，明晰街道党政内设机构职责权限。实施职责事项清单管理，以全区统一的街道职责清单和社区工作事项清单，作为街道社区履职依据。依法公开政府部门权责清单，并推动权责清单便利企业、群众办事，不断优化政府公共服务。严格执行规范性文件制定程序和备案审查相关要求，实行制定机关对规范性文件统一登记、统一编号、统一印发制度。</w:t>
      </w:r>
      <w:r>
        <w:rPr>
          <w:rFonts w:hint="default" w:ascii="仿宋_GB2312" w:hAnsi="仿宋_GB2312" w:eastAsia="仿宋_GB2312" w:cs="仿宋_GB2312"/>
          <w:color w:val="auto"/>
          <w:sz w:val="34"/>
          <w:szCs w:val="34"/>
          <w:lang w:eastAsia="zh-CN"/>
        </w:rPr>
        <w:t>严格按照法定程序，成功完成瑞泽园业委会换届工作。制定《华苑街业委会换届工作操作指南》，为规范业委会换届流程打下坚实基础。</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712" w:firstLineChars="200"/>
        <w:textAlignment w:val="auto"/>
        <w:rPr>
          <w:rFonts w:hint="eastAsia" w:ascii="楷体_GB2312" w:hAnsi="楷体_GB2312" w:eastAsia="楷体_GB2312" w:cs="楷体_GB2312"/>
          <w:color w:val="auto"/>
          <w:spacing w:val="8"/>
          <w:kern w:val="0"/>
          <w:sz w:val="34"/>
          <w:szCs w:val="34"/>
          <w:lang w:val="en-US" w:eastAsia="zh-CN"/>
        </w:rPr>
      </w:pPr>
      <w:r>
        <w:rPr>
          <w:rFonts w:hint="eastAsia" w:ascii="楷体_GB2312" w:hAnsi="楷体_GB2312" w:eastAsia="楷体_GB2312" w:cs="楷体_GB2312"/>
          <w:color w:val="auto"/>
          <w:spacing w:val="8"/>
          <w:kern w:val="0"/>
          <w:sz w:val="34"/>
          <w:szCs w:val="34"/>
          <w:lang w:val="en-US" w:eastAsia="zh-CN"/>
        </w:rPr>
        <w:t>（</w:t>
      </w:r>
      <w:r>
        <w:rPr>
          <w:rFonts w:hint="eastAsia" w:ascii="楷体_GB2312" w:hAnsi="楷体_GB2312" w:eastAsia="楷体_GB2312" w:cs="楷体_GB2312"/>
          <w:color w:val="auto"/>
          <w:spacing w:val="8"/>
          <w:kern w:val="0"/>
          <w:sz w:val="34"/>
          <w:szCs w:val="34"/>
          <w:lang w:eastAsia="zh-CN"/>
        </w:rPr>
        <w:t>二</w:t>
      </w:r>
      <w:r>
        <w:rPr>
          <w:rFonts w:hint="eastAsia" w:ascii="楷体_GB2312" w:hAnsi="楷体_GB2312" w:eastAsia="楷体_GB2312" w:cs="楷体_GB2312"/>
          <w:color w:val="auto"/>
          <w:spacing w:val="8"/>
          <w:kern w:val="0"/>
          <w:sz w:val="34"/>
          <w:szCs w:val="34"/>
          <w:lang w:val="en-US" w:eastAsia="zh-CN"/>
        </w:rPr>
        <w:t>）不断夯实法治政府建设基础</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682" w:firstLineChars="20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1、扩大学法用法深度。</w:t>
      </w:r>
      <w:r>
        <w:rPr>
          <w:rFonts w:hint="eastAsia" w:ascii="仿宋_GB2312" w:hAnsi="仿宋_GB2312" w:eastAsia="仿宋_GB2312" w:cs="仿宋_GB2312"/>
          <w:color w:val="auto"/>
          <w:sz w:val="34"/>
          <w:szCs w:val="34"/>
          <w:lang w:eastAsia="zh-CN"/>
        </w:rPr>
        <w:t>全街干部职工</w:t>
      </w:r>
      <w:r>
        <w:rPr>
          <w:rFonts w:hint="eastAsia" w:ascii="仿宋_GB2312" w:hAnsi="仿宋_GB2312" w:eastAsia="仿宋_GB2312" w:cs="仿宋_GB2312"/>
          <w:b w:val="0"/>
          <w:bCs w:val="0"/>
          <w:color w:val="auto"/>
          <w:kern w:val="2"/>
          <w:sz w:val="34"/>
          <w:szCs w:val="34"/>
          <w:lang w:val="en-US" w:eastAsia="zh-CN" w:bidi="ar-SA"/>
        </w:rPr>
        <w:t>围绕《民法典》</w:t>
      </w:r>
      <w:r>
        <w:rPr>
          <w:rFonts w:hint="default" w:ascii="仿宋_GB2312" w:hAnsi="仿宋_GB2312" w:eastAsia="仿宋_GB2312" w:cs="仿宋_GB2312"/>
          <w:b w:val="0"/>
          <w:bCs w:val="0"/>
          <w:color w:val="auto"/>
          <w:kern w:val="2"/>
          <w:sz w:val="34"/>
          <w:szCs w:val="34"/>
          <w:lang w:eastAsia="zh-CN" w:bidi="ar-SA"/>
        </w:rPr>
        <w:t>、</w:t>
      </w:r>
      <w:r>
        <w:rPr>
          <w:rFonts w:hint="default" w:ascii="仿宋_GB2312" w:hAnsi="黑体" w:eastAsia="仿宋_GB2312"/>
          <w:color w:val="auto"/>
          <w:sz w:val="34"/>
          <w:szCs w:val="34"/>
          <w:lang w:eastAsia="zh-CN"/>
        </w:rPr>
        <w:t>《国防法》、</w:t>
      </w:r>
      <w:r>
        <w:rPr>
          <w:rFonts w:hint="default" w:ascii="仿宋_GB2312" w:hAnsi="黑体" w:eastAsia="仿宋_GB2312"/>
          <w:color w:val="auto"/>
          <w:sz w:val="34"/>
          <w:szCs w:val="34"/>
          <w:lang w:val="en" w:eastAsia="zh-CN"/>
        </w:rPr>
        <w:t>《网络安全法》</w:t>
      </w:r>
      <w:r>
        <w:rPr>
          <w:rFonts w:hint="default" w:ascii="仿宋_GB2312" w:hAnsi="黑体" w:eastAsia="仿宋_GB2312"/>
          <w:color w:val="auto"/>
          <w:sz w:val="34"/>
          <w:szCs w:val="34"/>
          <w:lang w:eastAsia="zh-CN"/>
        </w:rPr>
        <w:t>、《消防法》、《安全生产法》、《退役军人保障法》、</w:t>
      </w:r>
      <w:r>
        <w:rPr>
          <w:rFonts w:hint="eastAsia" w:ascii="仿宋_GB2312" w:hAnsi="仿宋_GB2312" w:eastAsia="仿宋_GB2312" w:cs="仿宋_GB2312"/>
          <w:b w:val="0"/>
          <w:bCs w:val="0"/>
          <w:color w:val="auto"/>
          <w:kern w:val="2"/>
          <w:sz w:val="34"/>
          <w:szCs w:val="34"/>
          <w:lang w:val="en-US" w:eastAsia="zh-CN" w:bidi="ar-SA"/>
        </w:rPr>
        <w:t>《法治宣传教育条例》</w:t>
      </w:r>
      <w:r>
        <w:rPr>
          <w:rFonts w:hint="default" w:ascii="仿宋_GB2312" w:hAnsi="黑体" w:eastAsia="仿宋_GB2312"/>
          <w:color w:val="auto"/>
          <w:sz w:val="34"/>
          <w:szCs w:val="34"/>
          <w:lang w:eastAsia="zh-CN"/>
        </w:rPr>
        <w:t>等业务相关法律法规开展多阶段、分层次的深入学习，做到常学常新。</w:t>
      </w:r>
      <w:r>
        <w:rPr>
          <w:rFonts w:hint="default" w:ascii="仿宋_GB2312" w:hAnsi="仿宋_GB2312" w:eastAsia="仿宋_GB2312" w:cs="仿宋_GB2312"/>
          <w:color w:val="auto"/>
          <w:sz w:val="34"/>
          <w:szCs w:val="34"/>
          <w:lang w:eastAsia="zh-CN"/>
        </w:rPr>
        <w:t>持续</w:t>
      </w:r>
      <w:r>
        <w:rPr>
          <w:rFonts w:hint="eastAsia" w:ascii="仿宋_GB2312" w:hAnsi="仿宋_GB2312" w:eastAsia="仿宋_GB2312" w:cs="仿宋_GB2312"/>
          <w:color w:val="auto"/>
          <w:sz w:val="34"/>
          <w:szCs w:val="34"/>
          <w:lang w:eastAsia="zh-CN"/>
        </w:rPr>
        <w:t>完善</w:t>
      </w:r>
      <w:r>
        <w:rPr>
          <w:rFonts w:hint="default" w:ascii="仿宋_GB2312" w:hAnsi="仿宋_GB2312" w:eastAsia="仿宋_GB2312" w:cs="仿宋_GB2312"/>
          <w:color w:val="auto"/>
          <w:sz w:val="34"/>
          <w:szCs w:val="34"/>
          <w:lang w:eastAsia="zh-CN"/>
        </w:rPr>
        <w:t>本单位</w:t>
      </w:r>
      <w:r>
        <w:rPr>
          <w:rFonts w:hint="eastAsia" w:ascii="仿宋_GB2312" w:hAnsi="仿宋_GB2312" w:eastAsia="仿宋_GB2312" w:cs="仿宋_GB2312"/>
          <w:color w:val="auto"/>
          <w:sz w:val="34"/>
          <w:szCs w:val="34"/>
          <w:lang w:eastAsia="zh-CN"/>
        </w:rPr>
        <w:t>“个性学法清单”</w:t>
      </w:r>
      <w:r>
        <w:rPr>
          <w:rFonts w:hint="default" w:ascii="仿宋_GB2312" w:hAnsi="仿宋_GB2312" w:eastAsia="仿宋_GB2312" w:cs="仿宋_GB2312"/>
          <w:color w:val="auto"/>
          <w:sz w:val="34"/>
          <w:szCs w:val="34"/>
          <w:lang w:eastAsia="zh-CN"/>
        </w:rPr>
        <w:t>和</w:t>
      </w:r>
      <w:r>
        <w:rPr>
          <w:rFonts w:hint="eastAsia" w:ascii="仿宋_GB2312" w:hAnsi="仿宋_GB2312" w:eastAsia="仿宋_GB2312" w:cs="仿宋_GB2312"/>
          <w:color w:val="auto"/>
          <w:sz w:val="34"/>
          <w:szCs w:val="34"/>
          <w:lang w:eastAsia="zh-CN"/>
        </w:rPr>
        <w:t>“个性题库”</w:t>
      </w:r>
      <w:r>
        <w:rPr>
          <w:rFonts w:hint="default"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对全机关、社区工作人员、“法律明白人”等重点群体组织专题教育培训，进一步提高依法</w:t>
      </w:r>
      <w:r>
        <w:rPr>
          <w:rFonts w:hint="default" w:ascii="仿宋_GB2312" w:hAnsi="仿宋_GB2312" w:eastAsia="仿宋_GB2312" w:cs="仿宋_GB2312"/>
          <w:color w:val="auto"/>
          <w:sz w:val="34"/>
          <w:szCs w:val="34"/>
          <w:lang w:eastAsia="zh-CN"/>
        </w:rPr>
        <w:t>履职</w:t>
      </w:r>
      <w:r>
        <w:rPr>
          <w:rFonts w:hint="eastAsia" w:ascii="仿宋_GB2312" w:hAnsi="仿宋_GB2312" w:eastAsia="仿宋_GB2312" w:cs="仿宋_GB2312"/>
          <w:color w:val="auto"/>
          <w:sz w:val="34"/>
          <w:szCs w:val="34"/>
          <w:lang w:val="en-US" w:eastAsia="zh-CN"/>
        </w:rPr>
        <w:t>能力。机关工作人员全年学法不少于</w:t>
      </w:r>
      <w:r>
        <w:rPr>
          <w:rFonts w:hint="default" w:ascii="Times New Roman" w:hAnsi="Times New Roman" w:eastAsia="仿宋_GB2312" w:cs="Times New Roman"/>
          <w:color w:val="auto"/>
          <w:sz w:val="34"/>
          <w:szCs w:val="34"/>
          <w:lang w:val="en-US" w:eastAsia="zh-CN"/>
        </w:rPr>
        <w:t>40学时，57名机关干部参加了2023年</w:t>
      </w:r>
      <w:r>
        <w:rPr>
          <w:rFonts w:hint="eastAsia" w:ascii="仿宋_GB2312" w:hAnsi="仿宋_GB2312" w:eastAsia="仿宋_GB2312" w:cs="仿宋_GB2312"/>
          <w:color w:val="auto"/>
          <w:sz w:val="34"/>
          <w:szCs w:val="34"/>
          <w:lang w:val="en-US" w:eastAsia="zh-CN"/>
        </w:rPr>
        <w:t>天津市国家工作人员网上学法用法学习和考试工作，参学率、参考率、通过率均达到</w:t>
      </w:r>
      <w:r>
        <w:rPr>
          <w:rFonts w:hint="default" w:ascii="Times New Roman" w:hAnsi="Times New Roman" w:eastAsia="仿宋_GB2312" w:cs="Times New Roman"/>
          <w:color w:val="auto"/>
          <w:sz w:val="34"/>
          <w:szCs w:val="34"/>
          <w:lang w:val="en-US" w:eastAsia="zh-CN"/>
        </w:rPr>
        <w:t>100%</w:t>
      </w:r>
      <w:r>
        <w:rPr>
          <w:rFonts w:hint="eastAsia" w:ascii="仿宋_GB2312" w:hAnsi="仿宋_GB2312" w:eastAsia="仿宋_GB2312" w:cs="仿宋_GB2312"/>
          <w:color w:val="auto"/>
          <w:sz w:val="34"/>
          <w:szCs w:val="34"/>
          <w:lang w:val="en-US" w:eastAsia="zh-CN"/>
        </w:rPr>
        <w:t>。</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2、拓宽普法宣传广度。</w:t>
      </w:r>
      <w:r>
        <w:rPr>
          <w:rFonts w:hint="eastAsia" w:ascii="仿宋_GB2312" w:hAnsi="仿宋_GB2312" w:eastAsia="仿宋_GB2312" w:cs="仿宋_GB2312"/>
          <w:color w:val="auto"/>
          <w:sz w:val="34"/>
          <w:szCs w:val="34"/>
          <w:lang w:val="en-US" w:eastAsia="zh-CN"/>
        </w:rPr>
        <w:t>结合街道实际，制定了</w:t>
      </w:r>
      <w:r>
        <w:rPr>
          <w:rFonts w:hint="default" w:ascii="Times New Roman" w:hAnsi="Times New Roman" w:eastAsia="仿宋_GB2312" w:cs="Times New Roman"/>
          <w:color w:val="auto"/>
          <w:sz w:val="34"/>
          <w:szCs w:val="34"/>
          <w:lang w:eastAsia="zh-CN"/>
        </w:rPr>
        <w:t>2023</w:t>
      </w:r>
      <w:r>
        <w:rPr>
          <w:rFonts w:hint="eastAsia" w:ascii="仿宋_GB2312" w:hAnsi="仿宋_GB2312" w:eastAsia="仿宋_GB2312" w:cs="仿宋_GB2312"/>
          <w:color w:val="auto"/>
          <w:sz w:val="34"/>
          <w:szCs w:val="34"/>
          <w:lang w:eastAsia="zh-CN"/>
        </w:rPr>
        <w:t>年</w:t>
      </w:r>
      <w:r>
        <w:rPr>
          <w:rFonts w:hint="eastAsia" w:ascii="仿宋_GB2312" w:hAnsi="仿宋_GB2312" w:eastAsia="仿宋_GB2312" w:cs="仿宋_GB2312"/>
          <w:color w:val="auto"/>
          <w:sz w:val="34"/>
          <w:szCs w:val="34"/>
          <w:lang w:val="en-US" w:eastAsia="zh-CN"/>
        </w:rPr>
        <w:t>华苑街普法责任清单</w:t>
      </w:r>
      <w:r>
        <w:rPr>
          <w:rFonts w:hint="eastAsia" w:ascii="仿宋_GB2312" w:hAnsi="仿宋_GB2312" w:eastAsia="仿宋_GB2312" w:cs="仿宋_GB2312"/>
          <w:color w:val="auto"/>
          <w:sz w:val="34"/>
          <w:szCs w:val="34"/>
          <w:lang w:eastAsia="zh-CN"/>
        </w:rPr>
        <w:t>并</w:t>
      </w:r>
      <w:r>
        <w:rPr>
          <w:rFonts w:hint="eastAsia" w:ascii="仿宋_GB2312" w:hAnsi="仿宋_GB2312" w:eastAsia="仿宋_GB2312" w:cs="仿宋_GB2312"/>
          <w:color w:val="auto"/>
          <w:sz w:val="34"/>
          <w:szCs w:val="34"/>
          <w:lang w:val="en-US" w:eastAsia="zh-CN"/>
        </w:rPr>
        <w:t>向社会公开。各科室以重要时间节点为契机联合开展专题普法宣传</w:t>
      </w:r>
      <w:r>
        <w:rPr>
          <w:rFonts w:hint="eastAsia" w:ascii="仿宋_GB2312" w:hAnsi="仿宋_GB2312" w:eastAsia="仿宋_GB2312" w:cs="仿宋_GB2312"/>
          <w:color w:val="auto"/>
          <w:sz w:val="34"/>
          <w:szCs w:val="34"/>
          <w:lang w:eastAsia="zh-CN"/>
        </w:rPr>
        <w:t>十</w:t>
      </w:r>
      <w:r>
        <w:rPr>
          <w:rFonts w:hint="eastAsia" w:ascii="仿宋_GB2312" w:hAnsi="仿宋_GB2312" w:eastAsia="仿宋_GB2312" w:cs="仿宋_GB2312"/>
          <w:color w:val="auto"/>
          <w:sz w:val="34"/>
          <w:szCs w:val="34"/>
          <w:lang w:val="en-US" w:eastAsia="zh-CN"/>
        </w:rPr>
        <w:t>余次，有效解答群众法律政策咨询百余次，惠及居民群众千余人，扩大了法律宣传教育覆盖面。行政执法人员在开展行政执法全过程、落实行政执法公示以及重大执法决定法制审核制度各个环节中，积极开展实时普法宣传。深入开展行政执法人员、律师等以案释法活动，注重弘扬法治精神，以个案教育推动普法工作。</w:t>
      </w:r>
      <w:r>
        <w:rPr>
          <w:rFonts w:hint="default" w:ascii="仿宋_GB2312" w:hAnsi="仿宋_GB2312" w:eastAsia="仿宋_GB2312" w:cs="仿宋_GB2312"/>
          <w:color w:val="auto"/>
          <w:sz w:val="34"/>
          <w:szCs w:val="34"/>
          <w:lang w:eastAsia="zh-CN"/>
        </w:rPr>
        <w:t>切实做好社区日常普法工作，</w:t>
      </w:r>
      <w:r>
        <w:rPr>
          <w:rFonts w:hint="default" w:ascii="仿宋_GB2312" w:hAnsi="仿宋_GB2312" w:eastAsia="仿宋_GB2312" w:cs="仿宋_GB2312"/>
          <w:b w:val="0"/>
          <w:bCs w:val="0"/>
          <w:color w:val="auto"/>
          <w:sz w:val="34"/>
          <w:szCs w:val="34"/>
          <w:lang w:eastAsia="zh-CN"/>
        </w:rPr>
        <w:t>网格员在走访中积极为社区居民宣讲防火防诈、婚姻家庭、养老继承等法律知识，面对面解答群众生活中遇到的法律难题，引导群众办事依法、遇事找法、解决问题用法、化解矛盾靠法，同时</w:t>
      </w:r>
      <w:r>
        <w:rPr>
          <w:rFonts w:hint="eastAsia" w:ascii="仿宋_GB2312" w:hAnsi="仿宋_GB2312" w:eastAsia="仿宋_GB2312" w:cs="仿宋_GB2312"/>
          <w:color w:val="auto"/>
          <w:sz w:val="34"/>
          <w:szCs w:val="34"/>
          <w:lang w:val="en-US" w:eastAsia="zh-CN"/>
        </w:rPr>
        <w:t>发动社区老党员、老干部、老教师、群团组织和社会组织等社会力量开展普法志愿服务，不断强化法治文化建设。加大微信、微博等新媒体在普法工作方面的建设和应用力度，提升“美丽华苑”微信公众号的覆盖面和关注度，推动新媒体普法工作不断深化。</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default" w:ascii="仿宋_GB2312" w:hAnsi="仿宋_GB2312" w:eastAsia="仿宋_GB2312" w:cs="仿宋_GB2312"/>
          <w:color w:val="auto"/>
          <w:sz w:val="34"/>
          <w:szCs w:val="34"/>
          <w:lang w:eastAsia="zh-CN"/>
        </w:rPr>
      </w:pPr>
      <w:r>
        <w:rPr>
          <w:rFonts w:hint="eastAsia" w:ascii="仿宋_GB2312" w:hAnsi="仿宋_GB2312" w:eastAsia="仿宋_GB2312" w:cs="仿宋_GB2312"/>
          <w:b/>
          <w:bCs/>
          <w:color w:val="auto"/>
          <w:sz w:val="34"/>
          <w:szCs w:val="34"/>
          <w:lang w:val="en-US" w:eastAsia="zh-CN"/>
        </w:rPr>
        <w:t>3、加大矛盾化解力度。</w:t>
      </w:r>
      <w:r>
        <w:rPr>
          <w:rFonts w:hint="eastAsia" w:ascii="仿宋_GB2312" w:hAnsi="仿宋_GB2312" w:eastAsia="仿宋_GB2312" w:cs="仿宋_GB2312"/>
          <w:color w:val="auto"/>
          <w:sz w:val="34"/>
          <w:szCs w:val="34"/>
          <w:lang w:val="en-US" w:eastAsia="zh-CN"/>
        </w:rPr>
        <w:t>以新时代“枫桥经验”为牵引</w:t>
      </w:r>
      <w:r>
        <w:rPr>
          <w:rFonts w:hint="default" w:ascii="仿宋_GB2312" w:hAnsi="仿宋_GB2312" w:eastAsia="仿宋_GB2312" w:cs="仿宋_GB2312"/>
          <w:color w:val="auto"/>
          <w:sz w:val="34"/>
          <w:szCs w:val="34"/>
          <w:lang w:eastAsia="zh-CN"/>
        </w:rPr>
        <w:t>，开展了为期四个月物业领域工作调研并形成调研报告，被区委主要领导批示肯定，为全街物业工作发展提供了有效指导，切实提高了物业服务质量。</w:t>
      </w:r>
      <w:r>
        <w:rPr>
          <w:rFonts w:hint="default" w:ascii="Times New Roman" w:hAnsi="Times New Roman" w:eastAsia="仿宋_GB2312" w:cs="Times New Roman"/>
          <w:color w:val="auto"/>
          <w:sz w:val="34"/>
          <w:szCs w:val="34"/>
          <w:lang w:eastAsia="zh-CN"/>
        </w:rPr>
        <w:t>做实做强社区人民调解委员会，邀请司法所、法官、律师作为义务调解员，依法推进纠纷调处，做到政治效果、法律效果、社会效果相统一。</w:t>
      </w:r>
      <w:r>
        <w:rPr>
          <w:rFonts w:hint="eastAsia" w:ascii="仿宋_GB2312" w:hAnsi="仿宋_GB2312" w:eastAsia="仿宋_GB2312" w:cs="仿宋_GB2312"/>
          <w:color w:val="auto"/>
          <w:sz w:val="34"/>
          <w:szCs w:val="34"/>
          <w:lang w:val="en-US" w:eastAsia="zh-CN"/>
        </w:rPr>
        <w:t>坚持和发展新时代“枫桥经验”，建立健全日常排查化解、分析研判、重大矛盾纠纷统筹处理机制，充分发挥调解组织网络“第一道防线”作用，做好日常及重大活动和重要节点期间的安保信访维稳工作</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加强对信访重点人及重点信访事项的研判化解力度，竭力配合属事部门推动化解一批长期未解决的信访难点问题，启动重点信访事项“吹哨报</w:t>
      </w:r>
      <w:r>
        <w:rPr>
          <w:rFonts w:hint="default" w:ascii="Times New Roman" w:hAnsi="Times New Roman" w:eastAsia="仿宋_GB2312" w:cs="Times New Roman"/>
          <w:color w:val="auto"/>
          <w:sz w:val="34"/>
          <w:szCs w:val="34"/>
          <w:lang w:val="en-US" w:eastAsia="zh-CN"/>
        </w:rPr>
        <w:t>到”3次。努力解决群众反映的热点难点问题，</w:t>
      </w:r>
      <w:r>
        <w:rPr>
          <w:rFonts w:hint="default" w:ascii="Times New Roman" w:hAnsi="Times New Roman" w:eastAsia="仿宋_GB2312" w:cs="Times New Roman"/>
          <w:color w:val="auto"/>
          <w:sz w:val="34"/>
          <w:szCs w:val="34"/>
          <w:lang w:eastAsia="zh-CN"/>
        </w:rPr>
        <w:t>全年</w:t>
      </w:r>
      <w:r>
        <w:rPr>
          <w:rFonts w:hint="default" w:ascii="Times New Roman" w:hAnsi="Times New Roman" w:eastAsia="仿宋_GB2312" w:cs="Times New Roman"/>
          <w:color w:val="auto"/>
          <w:sz w:val="34"/>
          <w:szCs w:val="34"/>
          <w:lang w:val="en-US" w:eastAsia="zh-CN"/>
        </w:rPr>
        <w:t>接待群众来访</w:t>
      </w:r>
      <w:r>
        <w:rPr>
          <w:rFonts w:hint="default" w:ascii="Times New Roman" w:hAnsi="Times New Roman" w:eastAsia="仿宋_GB2312" w:cs="Times New Roman"/>
          <w:color w:val="auto"/>
          <w:sz w:val="34"/>
          <w:szCs w:val="34"/>
          <w:lang w:eastAsia="zh-CN"/>
        </w:rPr>
        <w:t>86</w:t>
      </w:r>
      <w:r>
        <w:rPr>
          <w:rFonts w:hint="default" w:ascii="Times New Roman" w:hAnsi="Times New Roman" w:eastAsia="仿宋_GB2312" w:cs="Times New Roman"/>
          <w:color w:val="auto"/>
          <w:sz w:val="34"/>
          <w:szCs w:val="34"/>
          <w:lang w:val="en-US" w:eastAsia="zh-CN"/>
        </w:rPr>
        <w:t>批1</w:t>
      </w:r>
      <w:r>
        <w:rPr>
          <w:rFonts w:hint="default" w:ascii="Times New Roman" w:hAnsi="Times New Roman" w:eastAsia="仿宋_GB2312" w:cs="Times New Roman"/>
          <w:color w:val="auto"/>
          <w:sz w:val="34"/>
          <w:szCs w:val="34"/>
          <w:lang w:eastAsia="zh-CN"/>
        </w:rPr>
        <w:t>25</w:t>
      </w:r>
      <w:r>
        <w:rPr>
          <w:rFonts w:hint="default" w:ascii="Times New Roman" w:hAnsi="Times New Roman" w:eastAsia="仿宋_GB2312" w:cs="Times New Roman"/>
          <w:color w:val="auto"/>
          <w:sz w:val="34"/>
          <w:szCs w:val="34"/>
          <w:lang w:val="en-US" w:eastAsia="zh-CN"/>
        </w:rPr>
        <w:t>人次，调解成功2件</w:t>
      </w:r>
      <w:r>
        <w:rPr>
          <w:rFonts w:hint="eastAsia" w:ascii="仿宋_GB2312" w:hAnsi="仿宋_GB2312" w:eastAsia="仿宋_GB2312" w:cs="仿宋_GB2312"/>
          <w:color w:val="auto"/>
          <w:sz w:val="34"/>
          <w:szCs w:val="34"/>
          <w:lang w:val="en-US" w:eastAsia="zh-CN"/>
        </w:rPr>
        <w:t>次。</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712" w:firstLineChars="200"/>
        <w:jc w:val="both"/>
        <w:textAlignment w:val="auto"/>
        <w:rPr>
          <w:rFonts w:hint="eastAsia" w:ascii="楷体_GB2312" w:hAnsi="楷体_GB2312" w:eastAsia="楷体_GB2312" w:cs="楷体_GB2312"/>
          <w:color w:val="auto"/>
          <w:spacing w:val="8"/>
          <w:kern w:val="0"/>
          <w:sz w:val="34"/>
          <w:szCs w:val="34"/>
          <w:lang w:val="en-US" w:eastAsia="zh-CN"/>
        </w:rPr>
      </w:pPr>
      <w:r>
        <w:rPr>
          <w:rFonts w:hint="eastAsia" w:ascii="楷体_GB2312" w:hAnsi="楷体_GB2312" w:eastAsia="楷体_GB2312" w:cs="楷体_GB2312"/>
          <w:color w:val="auto"/>
          <w:spacing w:val="8"/>
          <w:kern w:val="0"/>
          <w:sz w:val="34"/>
          <w:szCs w:val="34"/>
          <w:lang w:val="en-US" w:eastAsia="zh-CN"/>
        </w:rPr>
        <w:t>（三）坚持提升依法行政水平</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default" w:ascii="Times New Roman" w:hAnsi="Times New Roman" w:eastAsia="仿宋_GB2312" w:cs="Times New Roman"/>
          <w:color w:val="auto"/>
          <w:sz w:val="34"/>
          <w:szCs w:val="34"/>
          <w:lang w:val="en-US" w:eastAsia="zh-CN"/>
        </w:rPr>
      </w:pPr>
      <w:r>
        <w:rPr>
          <w:rFonts w:hint="default" w:ascii="仿宋_GB2312" w:hAnsi="仿宋_GB2312" w:eastAsia="仿宋_GB2312" w:cs="仿宋_GB2312"/>
          <w:b/>
          <w:bCs/>
          <w:color w:val="auto"/>
          <w:sz w:val="34"/>
          <w:szCs w:val="34"/>
          <w:lang w:eastAsia="zh-CN"/>
        </w:rPr>
        <w:t>1</w:t>
      </w:r>
      <w:r>
        <w:rPr>
          <w:rFonts w:hint="eastAsia" w:ascii="仿宋_GB2312" w:hAnsi="仿宋_GB2312" w:eastAsia="仿宋_GB2312" w:cs="仿宋_GB2312"/>
          <w:b/>
          <w:bCs/>
          <w:color w:val="auto"/>
          <w:sz w:val="34"/>
          <w:szCs w:val="34"/>
          <w:lang w:val="en-US" w:eastAsia="zh-CN"/>
        </w:rPr>
        <w:t>、全面推行阳光政务。</w:t>
      </w:r>
      <w:r>
        <w:rPr>
          <w:rFonts w:hint="eastAsia" w:ascii="仿宋_GB2312" w:hAnsi="仿宋_GB2312" w:eastAsia="仿宋_GB2312" w:cs="仿宋_GB2312"/>
          <w:color w:val="auto"/>
          <w:sz w:val="34"/>
          <w:szCs w:val="34"/>
          <w:lang w:val="en-US" w:eastAsia="zh-CN"/>
        </w:rPr>
        <w:t>积极推进政务公开，充分利用政府网站等媒介全面公开机构信息、领导班子建设、财政预决算等情况，认真推行办事公开制度。坚持以“公开为常态、不公开为例外”原则，确保主动公开的信息予以公开，并按要求及时完善更新。畅通公众参与和公共决策渠道，主动听取社会各界的意见和建议，依法依规做好依申请公开答复和人大政协提案建议答复工作，切实增加人民群众法治获得感。全年在政府门户网站主动公开政府信息</w:t>
      </w:r>
      <w:r>
        <w:rPr>
          <w:rFonts w:hint="default" w:ascii="Times New Roman" w:hAnsi="Times New Roman" w:eastAsia="仿宋_GB2312" w:cs="Times New Roman"/>
          <w:color w:val="auto"/>
          <w:sz w:val="34"/>
          <w:szCs w:val="34"/>
          <w:lang w:val="en-US" w:eastAsia="zh-CN"/>
        </w:rPr>
        <w:t>117</w:t>
      </w:r>
      <w:r>
        <w:rPr>
          <w:rFonts w:hint="eastAsia" w:ascii="仿宋_GB2312" w:hAnsi="仿宋_GB2312" w:eastAsia="仿宋_GB2312" w:cs="仿宋_GB2312"/>
          <w:color w:val="auto"/>
          <w:sz w:val="34"/>
          <w:szCs w:val="34"/>
          <w:lang w:val="en-US" w:eastAsia="zh-CN"/>
        </w:rPr>
        <w:t>条，</w:t>
      </w:r>
      <w:r>
        <w:rPr>
          <w:rFonts w:hint="default" w:ascii="Times New Roman" w:hAnsi="Times New Roman" w:eastAsia="仿宋_GB2312" w:cs="Times New Roman"/>
          <w:color w:val="auto"/>
          <w:sz w:val="34"/>
          <w:szCs w:val="34"/>
          <w:lang w:val="en-US" w:eastAsia="zh-CN"/>
        </w:rPr>
        <w:t>受理</w:t>
      </w:r>
      <w:r>
        <w:rPr>
          <w:rFonts w:hint="default" w:ascii="Times New Roman" w:hAnsi="Times New Roman" w:eastAsia="仿宋_GB2312" w:cs="Times New Roman"/>
          <w:color w:val="auto"/>
          <w:sz w:val="34"/>
          <w:szCs w:val="34"/>
          <w:lang w:eastAsia="zh-CN"/>
        </w:rPr>
        <w:t>并答复</w:t>
      </w:r>
      <w:r>
        <w:rPr>
          <w:rFonts w:hint="default" w:ascii="Times New Roman" w:hAnsi="Times New Roman" w:eastAsia="仿宋_GB2312" w:cs="Times New Roman"/>
          <w:color w:val="auto"/>
          <w:sz w:val="34"/>
          <w:szCs w:val="34"/>
          <w:lang w:val="en-US" w:eastAsia="zh-CN"/>
        </w:rPr>
        <w:t>政府信息公开申请2</w:t>
      </w:r>
      <w:r>
        <w:rPr>
          <w:rFonts w:hint="default" w:ascii="Times New Roman" w:hAnsi="Times New Roman" w:eastAsia="仿宋_GB2312" w:cs="Times New Roman"/>
          <w:color w:val="auto"/>
          <w:sz w:val="34"/>
          <w:szCs w:val="34"/>
          <w:lang w:eastAsia="zh-CN"/>
        </w:rPr>
        <w:t>件</w:t>
      </w:r>
      <w:r>
        <w:rPr>
          <w:rFonts w:hint="default" w:ascii="Times New Roman" w:hAnsi="Times New Roman" w:eastAsia="仿宋_GB2312" w:cs="Times New Roman"/>
          <w:color w:val="auto"/>
          <w:sz w:val="34"/>
          <w:szCs w:val="34"/>
          <w:lang w:val="en-US" w:eastAsia="zh-CN"/>
        </w:rPr>
        <w:t>。</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eastAsia"/>
          <w:color w:val="auto"/>
          <w:lang w:val="en-US" w:eastAsia="zh-CN"/>
        </w:rPr>
      </w:pPr>
      <w:r>
        <w:rPr>
          <w:rFonts w:hint="default" w:ascii="仿宋_GB2312" w:hAnsi="仿宋_GB2312" w:eastAsia="仿宋_GB2312" w:cs="仿宋_GB2312"/>
          <w:b/>
          <w:bCs/>
          <w:color w:val="auto"/>
          <w:sz w:val="34"/>
          <w:szCs w:val="34"/>
          <w:lang w:eastAsia="zh-CN"/>
        </w:rPr>
        <w:t>2</w:t>
      </w:r>
      <w:r>
        <w:rPr>
          <w:rFonts w:hint="eastAsia" w:ascii="仿宋_GB2312" w:hAnsi="仿宋_GB2312" w:eastAsia="仿宋_GB2312" w:cs="仿宋_GB2312"/>
          <w:b/>
          <w:bCs/>
          <w:color w:val="auto"/>
          <w:sz w:val="34"/>
          <w:szCs w:val="34"/>
          <w:lang w:val="en-US" w:eastAsia="zh-CN"/>
        </w:rPr>
        <w:t>、规范公正文明执法。</w:t>
      </w:r>
      <w:r>
        <w:rPr>
          <w:rFonts w:hint="eastAsia" w:ascii="仿宋_GB2312" w:hAnsi="仿宋_GB2312" w:eastAsia="仿宋_GB2312" w:cs="仿宋_GB2312"/>
          <w:color w:val="auto"/>
          <w:sz w:val="34"/>
          <w:szCs w:val="34"/>
          <w:lang w:val="en-US" w:eastAsia="zh-CN"/>
        </w:rPr>
        <w:t>全年出动执法队员</w:t>
      </w:r>
      <w:r>
        <w:rPr>
          <w:rFonts w:hint="default" w:ascii="Times New Roman" w:hAnsi="Times New Roman" w:eastAsia="仿宋_GB2312" w:cs="Times New Roman"/>
          <w:color w:val="auto"/>
          <w:sz w:val="34"/>
          <w:szCs w:val="34"/>
          <w:lang w:val="en-US" w:eastAsia="zh-CN"/>
        </w:rPr>
        <w:t>9</w:t>
      </w:r>
      <w:r>
        <w:rPr>
          <w:rFonts w:hint="default" w:ascii="Times New Roman" w:hAnsi="Times New Roman" w:eastAsia="仿宋_GB2312" w:cs="Times New Roman"/>
          <w:color w:val="auto"/>
          <w:sz w:val="34"/>
          <w:szCs w:val="34"/>
          <w:lang w:eastAsia="zh-CN"/>
        </w:rPr>
        <w:t>5</w:t>
      </w:r>
      <w:r>
        <w:rPr>
          <w:rFonts w:hint="default" w:ascii="Times New Roman" w:hAnsi="Times New Roman" w:eastAsia="仿宋_GB2312" w:cs="Times New Roman"/>
          <w:color w:val="auto"/>
          <w:sz w:val="34"/>
          <w:szCs w:val="34"/>
          <w:lang w:val="en-US" w:eastAsia="zh-CN"/>
        </w:rPr>
        <w:t>00余人次，依法治理各类破坏市容环境行为2000余次，依照《天津市文明行为促进条例》治理随地吐痰、乱扔垃圾等不文明行为700</w:t>
      </w:r>
      <w:r>
        <w:rPr>
          <w:rFonts w:hint="eastAsia" w:ascii="仿宋_GB2312" w:hAnsi="仿宋_GB2312" w:eastAsia="仿宋_GB2312" w:cs="仿宋_GB2312"/>
          <w:color w:val="auto"/>
          <w:sz w:val="34"/>
          <w:szCs w:val="34"/>
          <w:lang w:val="en-US" w:eastAsia="zh-CN"/>
        </w:rPr>
        <w:t>余次。</w:t>
      </w:r>
      <w:r>
        <w:rPr>
          <w:rFonts w:hint="eastAsia" w:ascii="仿宋_GB2312" w:hAnsi="仿宋_GB2312" w:eastAsia="仿宋_GB2312" w:cs="仿宋_GB2312"/>
          <w:color w:val="auto"/>
          <w:sz w:val="34"/>
          <w:szCs w:val="34"/>
        </w:rPr>
        <w:t>严格遵守包容审慎执法要求，对天华里商贸楼等36处新开业商户寓管理于服务，详细解释说明新安装牌匾审批流程、尺寸标准、安装要求，告知办理地点，让企业经营感到安心</w:t>
      </w:r>
      <w:r>
        <w:rPr>
          <w:rFonts w:hint="default"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rPr>
        <w:t>舒心</w:t>
      </w:r>
      <w:r>
        <w:rPr>
          <w:rFonts w:hint="default" w:ascii="仿宋_GB2312" w:hAnsi="仿宋_GB2312" w:eastAsia="仿宋_GB2312" w:cs="仿宋_GB2312"/>
          <w:color w:val="auto"/>
          <w:sz w:val="34"/>
          <w:szCs w:val="34"/>
        </w:rPr>
        <w:t>、</w:t>
      </w:r>
      <w:r>
        <w:rPr>
          <w:rFonts w:hint="eastAsia" w:ascii="仿宋_GB2312" w:hAnsi="仿宋_GB2312" w:eastAsia="仿宋_GB2312" w:cs="仿宋_GB2312"/>
          <w:color w:val="auto"/>
          <w:sz w:val="34"/>
          <w:szCs w:val="34"/>
        </w:rPr>
        <w:t>顺心。</w:t>
      </w:r>
      <w:r>
        <w:rPr>
          <w:rFonts w:hint="default" w:ascii="仿宋_GB2312" w:hAnsi="仿宋_GB2312" w:eastAsia="仿宋_GB2312" w:cs="仿宋_GB2312"/>
          <w:color w:val="auto"/>
          <w:sz w:val="34"/>
          <w:szCs w:val="34"/>
          <w:lang w:eastAsia="zh-CN"/>
        </w:rPr>
        <w:t>在</w:t>
      </w:r>
      <w:r>
        <w:rPr>
          <w:rFonts w:hint="eastAsia" w:ascii="仿宋_GB2312" w:hAnsi="仿宋_GB2312" w:eastAsia="仿宋_GB2312" w:cs="仿宋_GB2312"/>
          <w:color w:val="auto"/>
          <w:sz w:val="34"/>
          <w:szCs w:val="34"/>
          <w:lang w:val="en-US" w:eastAsia="zh-CN"/>
        </w:rPr>
        <w:t>食品药品、公共卫生、生态环境、教育培训等关系群众利益的重点领域执法过程中推行“柔性执法”，让行政执法变得有温度。以责令改正的方式督促当事人自觉守法，自我纠错，避免了以罚代管，“一刀切”的机械执法，收到了良好的社会效应。多次组织开展行政执法人员的综合知识培训，每月组织开展法律法规专项学习。组织</w:t>
      </w:r>
      <w:r>
        <w:rPr>
          <w:rFonts w:hint="eastAsia" w:ascii="仿宋_GB2312" w:hAnsi="仿宋_GB2312" w:eastAsia="仿宋_GB2312" w:cs="仿宋_GB2312"/>
          <w:color w:val="auto"/>
          <w:sz w:val="34"/>
          <w:szCs w:val="34"/>
          <w:lang w:eastAsia="zh-CN"/>
        </w:rPr>
        <w:t>工作</w:t>
      </w:r>
      <w:r>
        <w:rPr>
          <w:rFonts w:hint="eastAsia" w:ascii="仿宋_GB2312" w:hAnsi="仿宋_GB2312" w:eastAsia="仿宋_GB2312" w:cs="仿宋_GB2312"/>
          <w:color w:val="auto"/>
          <w:sz w:val="34"/>
          <w:szCs w:val="34"/>
          <w:lang w:val="en-US" w:eastAsia="zh-CN"/>
        </w:rPr>
        <w:t>人员参加上级开展的行政执法“典型差案”和“示范优案”案例学习，结合具体案例对街道日常执法存在的突出问题分析、剖析，借鉴执法规范化建设中的先进做法，推动执法人员担当作为、依法履职。聚焦执法工作现状与问题，以华苑街综合执法工作为例</w:t>
      </w:r>
      <w:r>
        <w:rPr>
          <w:rFonts w:hint="default" w:ascii="仿宋_GB2312" w:hAnsi="仿宋_GB2312" w:eastAsia="仿宋_GB2312" w:cs="仿宋_GB2312"/>
          <w:color w:val="auto"/>
          <w:sz w:val="34"/>
          <w:szCs w:val="34"/>
          <w:lang w:eastAsia="zh-CN"/>
        </w:rPr>
        <w:t>，形成街道综合执法工作报告</w:t>
      </w:r>
      <w:r>
        <w:rPr>
          <w:rFonts w:hint="eastAsia" w:ascii="仿宋_GB2312" w:hAnsi="仿宋_GB2312" w:eastAsia="仿宋_GB2312" w:cs="仿宋_GB2312"/>
          <w:color w:val="auto"/>
          <w:sz w:val="34"/>
          <w:szCs w:val="34"/>
          <w:lang w:val="en-US" w:eastAsia="zh-CN"/>
        </w:rPr>
        <w:t>，得到区</w:t>
      </w:r>
      <w:r>
        <w:rPr>
          <w:rFonts w:hint="default" w:ascii="仿宋_GB2312" w:hAnsi="仿宋_GB2312" w:eastAsia="仿宋_GB2312" w:cs="仿宋_GB2312"/>
          <w:color w:val="auto"/>
          <w:sz w:val="34"/>
          <w:szCs w:val="34"/>
          <w:lang w:eastAsia="zh-CN"/>
        </w:rPr>
        <w:t>委</w:t>
      </w:r>
      <w:r>
        <w:rPr>
          <w:rFonts w:hint="eastAsia" w:ascii="仿宋_GB2312" w:hAnsi="仿宋_GB2312" w:eastAsia="仿宋_GB2312" w:cs="仿宋_GB2312"/>
          <w:color w:val="auto"/>
          <w:sz w:val="34"/>
          <w:szCs w:val="34"/>
          <w:lang w:val="en-US" w:eastAsia="zh-CN"/>
        </w:rPr>
        <w:t>主要领导批示</w:t>
      </w:r>
      <w:r>
        <w:rPr>
          <w:rFonts w:hint="default" w:ascii="仿宋_GB2312" w:hAnsi="仿宋_GB2312" w:eastAsia="仿宋_GB2312" w:cs="仿宋_GB2312"/>
          <w:color w:val="auto"/>
          <w:sz w:val="34"/>
          <w:szCs w:val="34"/>
          <w:lang w:eastAsia="zh-CN"/>
        </w:rPr>
        <w:t>肯定</w:t>
      </w:r>
      <w:r>
        <w:rPr>
          <w:rFonts w:hint="eastAsia" w:ascii="仿宋_GB2312" w:hAnsi="仿宋_GB2312" w:eastAsia="仿宋_GB2312" w:cs="仿宋_GB2312"/>
          <w:color w:val="auto"/>
          <w:sz w:val="34"/>
          <w:szCs w:val="34"/>
          <w:lang w:val="en-US" w:eastAsia="zh-CN"/>
        </w:rPr>
        <w:t>。</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eastAsia" w:ascii="仿宋_GB2312" w:hAnsi="仿宋_GB2312" w:eastAsia="仿宋_GB2312" w:cs="仿宋_GB2312"/>
          <w:color w:val="auto"/>
          <w:sz w:val="34"/>
          <w:szCs w:val="34"/>
          <w:lang w:val="en-US" w:eastAsia="zh-CN"/>
        </w:rPr>
      </w:pPr>
      <w:r>
        <w:rPr>
          <w:rFonts w:hint="default" w:ascii="仿宋_GB2312" w:hAnsi="仿宋_GB2312" w:eastAsia="仿宋_GB2312" w:cs="仿宋_GB2312"/>
          <w:b/>
          <w:bCs/>
          <w:color w:val="auto"/>
          <w:sz w:val="34"/>
          <w:szCs w:val="34"/>
          <w:lang w:eastAsia="zh-CN"/>
        </w:rPr>
        <w:t>3</w:t>
      </w:r>
      <w:r>
        <w:rPr>
          <w:rFonts w:hint="eastAsia" w:ascii="仿宋_GB2312" w:hAnsi="仿宋_GB2312" w:eastAsia="仿宋_GB2312" w:cs="仿宋_GB2312"/>
          <w:b/>
          <w:bCs/>
          <w:color w:val="auto"/>
          <w:sz w:val="34"/>
          <w:szCs w:val="34"/>
          <w:lang w:val="en-US" w:eastAsia="zh-CN"/>
        </w:rPr>
        <w:t>、强化行政执法监督。</w:t>
      </w:r>
      <w:r>
        <w:rPr>
          <w:rFonts w:hint="eastAsia" w:ascii="仿宋_GB2312" w:hAnsi="仿宋_GB2312" w:eastAsia="仿宋_GB2312" w:cs="仿宋_GB2312"/>
          <w:color w:val="auto"/>
          <w:sz w:val="34"/>
          <w:szCs w:val="34"/>
          <w:lang w:val="en-US" w:eastAsia="zh-CN"/>
        </w:rPr>
        <w:t>深入推进行政执法公示、执法全过程记录、重大执法决定法制审核“三项制度”，将全部行政处罚及时上传到“行政执法监督平台”。按照上级要求，将行政执法信息进行“双公示”，一般程序的处罚案件均上传到“全国信用信息共享平台（天津）”上，予以公示。执法过程严格落实音视频记录，全程音像记录，及时将音视频材料归纳存储。严格执行重大执法决定审核制度，对于纳入重大执法决定审核目录案件，做到“应审尽审”。</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712" w:firstLineChars="200"/>
        <w:jc w:val="both"/>
        <w:textAlignment w:val="auto"/>
        <w:rPr>
          <w:rFonts w:hint="eastAsia" w:ascii="楷体_GB2312" w:hAnsi="楷体_GB2312" w:eastAsia="楷体_GB2312" w:cs="楷体_GB2312"/>
          <w:color w:val="auto"/>
          <w:spacing w:val="8"/>
          <w:kern w:val="0"/>
          <w:sz w:val="34"/>
          <w:szCs w:val="34"/>
          <w:lang w:val="en-US" w:eastAsia="zh-CN"/>
        </w:rPr>
      </w:pPr>
      <w:r>
        <w:rPr>
          <w:rFonts w:hint="eastAsia" w:ascii="楷体_GB2312" w:hAnsi="楷体_GB2312" w:eastAsia="楷体_GB2312" w:cs="楷体_GB2312"/>
          <w:color w:val="auto"/>
          <w:spacing w:val="8"/>
          <w:kern w:val="0"/>
          <w:sz w:val="34"/>
          <w:szCs w:val="34"/>
          <w:lang w:val="en-US" w:eastAsia="zh-CN"/>
        </w:rPr>
        <w:t>（四）持续优化法治化营商环境</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1、营造公平竞争营商环境。</w:t>
      </w:r>
      <w:r>
        <w:rPr>
          <w:rFonts w:hint="eastAsia" w:ascii="仿宋_GB2312" w:hAnsi="仿宋_GB2312" w:eastAsia="仿宋_GB2312" w:cs="仿宋_GB2312"/>
          <w:color w:val="auto"/>
          <w:sz w:val="34"/>
          <w:szCs w:val="34"/>
          <w:lang w:val="en-US" w:eastAsia="zh-CN"/>
        </w:rPr>
        <w:t>坚决贯彻落实与优化营商环境密切相关的法规规章和行政规范性文件，保障新业态新模式健康发展。成立华苑街服务区域经济发展工作领导组，开展包联服务行动，对</w:t>
      </w:r>
      <w:r>
        <w:rPr>
          <w:rFonts w:hint="default" w:ascii="Times New Roman" w:hAnsi="Times New Roman" w:eastAsia="仿宋_GB2312" w:cs="Times New Roman"/>
          <w:color w:val="auto"/>
          <w:sz w:val="34"/>
          <w:szCs w:val="34"/>
          <w:lang w:val="en-US" w:eastAsia="zh-CN"/>
        </w:rPr>
        <w:t>51家协税护税企业和7</w:t>
      </w:r>
      <w:r>
        <w:rPr>
          <w:rFonts w:hint="eastAsia" w:ascii="仿宋_GB2312" w:hAnsi="仿宋_GB2312" w:eastAsia="仿宋_GB2312" w:cs="仿宋_GB2312"/>
          <w:color w:val="auto"/>
          <w:sz w:val="34"/>
          <w:szCs w:val="34"/>
          <w:lang w:val="en-US" w:eastAsia="zh-CN"/>
        </w:rPr>
        <w:t>家异地注册本地经营企业，处级领导一包到底、全面服务</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定期走访上门倾听企业需求，落实服务政策，加强涉企政策法律法规宣传，培育市场主体和广大人民群众的法治意识。</w:t>
      </w:r>
    </w:p>
    <w:p>
      <w:pPr>
        <w:pStyle w:val="2"/>
        <w:keepNext w:val="0"/>
        <w:keepLines w:val="0"/>
        <w:pageBreakBefore w:val="0"/>
        <w:numPr>
          <w:ilvl w:val="0"/>
          <w:numId w:val="0"/>
        </w:numPr>
        <w:kinsoku/>
        <w:wordWrap/>
        <w:overflowPunct/>
        <w:topLinePunct w:val="0"/>
        <w:bidi w:val="0"/>
        <w:snapToGrid/>
        <w:spacing w:line="588" w:lineRule="exact"/>
        <w:ind w:firstLine="680"/>
        <w:jc w:val="both"/>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b/>
          <w:bCs/>
          <w:color w:val="auto"/>
          <w:sz w:val="34"/>
          <w:szCs w:val="34"/>
          <w:lang w:val="en-US" w:eastAsia="zh-CN"/>
        </w:rPr>
        <w:t>2、提高政务服务水平。</w:t>
      </w:r>
      <w:r>
        <w:rPr>
          <w:rFonts w:hint="eastAsia" w:ascii="仿宋_GB2312" w:hAnsi="仿宋_GB2312" w:eastAsia="仿宋_GB2312" w:cs="仿宋_GB2312"/>
          <w:color w:val="auto"/>
          <w:sz w:val="34"/>
          <w:szCs w:val="34"/>
          <w:lang w:val="en-US" w:eastAsia="zh-CN"/>
        </w:rPr>
        <w:t>紧紧围绕以人民为中心的服务理念，持续推进政务服务诚信建设，通过宣传培训和监督检查等多项举措，提高政务服务的诚信意识和服务水平。加强窗口效能管理，进一步完善政务服务一次告知、一窗受理、自助办理、并联审批等制度，推进“一网通办”推进证明事项告知承诺制，强化区、街道、社区三级服务体系，打通信息堵点，切实增强群众办事的满意度，营造更优质、更高效、更便捷的政务服务环境。</w:t>
      </w:r>
    </w:p>
    <w:p>
      <w:pPr>
        <w:pStyle w:val="2"/>
        <w:keepNext w:val="0"/>
        <w:keepLines w:val="0"/>
        <w:pageBreakBefore w:val="0"/>
        <w:widowControl w:val="0"/>
        <w:kinsoku/>
        <w:wordWrap/>
        <w:overflowPunct/>
        <w:topLinePunct w:val="0"/>
        <w:autoSpaceDE w:val="0"/>
        <w:autoSpaceDN w:val="0"/>
        <w:bidi w:val="0"/>
        <w:adjustRightInd w:val="0"/>
        <w:snapToGrid/>
        <w:spacing w:line="588" w:lineRule="exact"/>
        <w:ind w:firstLine="680" w:firstLineChars="200"/>
        <w:jc w:val="both"/>
        <w:textAlignment w:val="auto"/>
        <w:rPr>
          <w:rFonts w:hint="eastAsia" w:ascii="黑体" w:hAnsi="黑体" w:eastAsia="黑体" w:cs="黑体"/>
          <w:b w:val="0"/>
          <w:bCs/>
          <w:color w:val="auto"/>
          <w:kern w:val="2"/>
          <w:sz w:val="34"/>
          <w:szCs w:val="34"/>
          <w:highlight w:val="none"/>
          <w:lang w:val="en-US" w:eastAsia="zh-CN" w:bidi="ar-SA"/>
        </w:rPr>
      </w:pPr>
      <w:r>
        <w:rPr>
          <w:rFonts w:hint="eastAsia" w:ascii="黑体" w:hAnsi="黑体" w:eastAsia="黑体" w:cs="黑体"/>
          <w:b w:val="0"/>
          <w:bCs/>
          <w:color w:val="auto"/>
          <w:kern w:val="2"/>
          <w:sz w:val="34"/>
          <w:szCs w:val="34"/>
          <w:highlight w:val="none"/>
          <w:lang w:val="en-US" w:eastAsia="zh-CN" w:bidi="ar-SA"/>
        </w:rPr>
        <w:t>二、</w:t>
      </w:r>
      <w:r>
        <w:rPr>
          <w:rFonts w:hint="default" w:ascii="Times New Roman" w:hAnsi="仿宋" w:eastAsia="仿宋" w:cs="Times New Roman"/>
          <w:b w:val="0"/>
          <w:bCs/>
          <w:color w:val="auto"/>
          <w:kern w:val="0"/>
          <w:sz w:val="34"/>
          <w:szCs w:val="34"/>
          <w:highlight w:val="none"/>
          <w:lang w:eastAsia="zh-CN"/>
        </w:rPr>
        <w:t>2023</w:t>
      </w:r>
      <w:r>
        <w:rPr>
          <w:rFonts w:hint="eastAsia" w:ascii="黑体" w:hAnsi="黑体" w:eastAsia="黑体" w:cs="黑体"/>
          <w:b w:val="0"/>
          <w:bCs/>
          <w:color w:val="auto"/>
          <w:kern w:val="2"/>
          <w:sz w:val="34"/>
          <w:szCs w:val="34"/>
          <w:highlight w:val="none"/>
          <w:lang w:val="en-US" w:eastAsia="zh-CN" w:bidi="ar-SA"/>
        </w:rPr>
        <w:t>年推进法治政府建设存在的不足和原因</w:t>
      </w:r>
    </w:p>
    <w:p>
      <w:pPr>
        <w:keepNext w:val="0"/>
        <w:keepLines w:val="0"/>
        <w:pageBreakBefore w:val="0"/>
        <w:widowControl/>
        <w:suppressLineNumbers w:val="0"/>
        <w:kinsoku/>
        <w:wordWrap/>
        <w:overflowPunct/>
        <w:topLinePunct w:val="0"/>
        <w:bidi w:val="0"/>
        <w:snapToGrid/>
        <w:spacing w:line="588" w:lineRule="exact"/>
        <w:ind w:firstLine="712" w:firstLineChars="200"/>
        <w:jc w:val="both"/>
        <w:textAlignment w:val="auto"/>
        <w:rPr>
          <w:rFonts w:hint="default" w:ascii="仿宋_GB2312" w:hAnsi="仿宋_GB2312" w:eastAsia="仿宋_GB2312" w:cs="仿宋_GB2312"/>
          <w:color w:val="auto"/>
          <w:spacing w:val="8"/>
          <w:kern w:val="0"/>
          <w:sz w:val="34"/>
          <w:szCs w:val="34"/>
          <w:lang w:eastAsia="zh-CN"/>
        </w:rPr>
      </w:pPr>
      <w:r>
        <w:rPr>
          <w:rFonts w:hint="eastAsia" w:ascii="仿宋_GB2312" w:hAnsi="仿宋_GB2312" w:eastAsia="仿宋_GB2312" w:cs="仿宋_GB2312"/>
          <w:color w:val="auto"/>
          <w:spacing w:val="8"/>
          <w:kern w:val="0"/>
          <w:sz w:val="34"/>
          <w:szCs w:val="34"/>
          <w:lang w:eastAsia="zh-CN"/>
        </w:rPr>
        <w:t>华苑</w:t>
      </w:r>
      <w:r>
        <w:rPr>
          <w:rFonts w:hint="eastAsia" w:ascii="仿宋_GB2312" w:hAnsi="仿宋_GB2312" w:eastAsia="仿宋_GB2312" w:cs="仿宋_GB2312"/>
          <w:color w:val="auto"/>
          <w:spacing w:val="8"/>
          <w:kern w:val="0"/>
          <w:sz w:val="34"/>
          <w:szCs w:val="34"/>
          <w:lang w:val="en-US" w:eastAsia="zh-CN"/>
        </w:rPr>
        <w:t>街道</w:t>
      </w:r>
      <w:r>
        <w:rPr>
          <w:rFonts w:hint="eastAsia" w:ascii="仿宋_GB2312" w:hAnsi="仿宋_GB2312" w:eastAsia="仿宋_GB2312" w:cs="仿宋_GB2312"/>
          <w:color w:val="auto"/>
          <w:spacing w:val="8"/>
          <w:kern w:val="0"/>
          <w:sz w:val="34"/>
          <w:szCs w:val="34"/>
          <w:lang w:eastAsia="zh-CN"/>
        </w:rPr>
        <w:t>在</w:t>
      </w:r>
      <w:r>
        <w:rPr>
          <w:rFonts w:hint="eastAsia" w:ascii="仿宋_GB2312" w:hAnsi="仿宋_GB2312" w:eastAsia="仿宋_GB2312" w:cs="仿宋_GB2312"/>
          <w:color w:val="auto"/>
          <w:spacing w:val="8"/>
          <w:kern w:val="0"/>
          <w:sz w:val="34"/>
          <w:szCs w:val="34"/>
          <w:lang w:val="en-US" w:eastAsia="zh-CN"/>
        </w:rPr>
        <w:t>法治政府建设工作</w:t>
      </w:r>
      <w:r>
        <w:rPr>
          <w:rFonts w:hint="eastAsia" w:ascii="仿宋_GB2312" w:hAnsi="仿宋_GB2312" w:eastAsia="仿宋_GB2312" w:cs="仿宋_GB2312"/>
          <w:color w:val="auto"/>
          <w:spacing w:val="8"/>
          <w:kern w:val="0"/>
          <w:sz w:val="34"/>
          <w:szCs w:val="34"/>
          <w:lang w:eastAsia="zh-CN"/>
        </w:rPr>
        <w:t>尽管</w:t>
      </w:r>
      <w:r>
        <w:rPr>
          <w:rFonts w:hint="eastAsia" w:ascii="仿宋_GB2312" w:hAnsi="仿宋_GB2312" w:eastAsia="仿宋_GB2312" w:cs="仿宋_GB2312"/>
          <w:color w:val="auto"/>
          <w:spacing w:val="8"/>
          <w:kern w:val="0"/>
          <w:sz w:val="34"/>
          <w:szCs w:val="34"/>
          <w:lang w:val="en-US" w:eastAsia="zh-CN"/>
        </w:rPr>
        <w:t>取得一定的成绩，但也清晰地认识到工作还存在一些短板与不足</w:t>
      </w:r>
      <w:r>
        <w:rPr>
          <w:rFonts w:hint="eastAsia" w:ascii="仿宋_GB2312" w:hAnsi="仿宋_GB2312" w:eastAsia="仿宋_GB2312" w:cs="仿宋_GB2312"/>
          <w:color w:val="auto"/>
          <w:spacing w:val="8"/>
          <w:kern w:val="0"/>
          <w:sz w:val="34"/>
          <w:szCs w:val="34"/>
          <w:lang w:eastAsia="zh-CN"/>
        </w:rPr>
        <w:t>：</w:t>
      </w:r>
      <w:r>
        <w:rPr>
          <w:rFonts w:hint="eastAsia" w:ascii="仿宋_GB2312" w:hAnsi="仿宋_GB2312" w:eastAsia="仿宋_GB2312" w:cs="仿宋_GB2312"/>
          <w:color w:val="auto"/>
          <w:spacing w:val="8"/>
          <w:kern w:val="0"/>
          <w:sz w:val="34"/>
          <w:szCs w:val="34"/>
          <w:lang w:val="en-US" w:eastAsia="zh-CN"/>
        </w:rPr>
        <w:t>一是干部队伍</w:t>
      </w:r>
      <w:r>
        <w:rPr>
          <w:rFonts w:hint="eastAsia" w:ascii="仿宋_GB2312" w:hAnsi="仿宋_GB2312" w:eastAsia="仿宋_GB2312" w:cs="仿宋_GB2312"/>
          <w:color w:val="auto"/>
          <w:spacing w:val="8"/>
          <w:kern w:val="0"/>
          <w:sz w:val="34"/>
          <w:szCs w:val="34"/>
          <w:lang w:eastAsia="zh-CN"/>
        </w:rPr>
        <w:t>法治</w:t>
      </w:r>
      <w:r>
        <w:rPr>
          <w:rFonts w:hint="eastAsia" w:ascii="仿宋_GB2312" w:hAnsi="仿宋_GB2312" w:eastAsia="仿宋_GB2312" w:cs="仿宋_GB2312"/>
          <w:color w:val="auto"/>
          <w:spacing w:val="8"/>
          <w:kern w:val="0"/>
          <w:sz w:val="34"/>
          <w:szCs w:val="34"/>
          <w:lang w:val="en-US" w:eastAsia="zh-CN"/>
        </w:rPr>
        <w:t>素质有待进一步提高</w:t>
      </w:r>
      <w:r>
        <w:rPr>
          <w:rFonts w:hint="eastAsia" w:ascii="仿宋_GB2312" w:hAnsi="仿宋_GB2312" w:eastAsia="仿宋_GB2312" w:cs="仿宋_GB2312"/>
          <w:color w:val="auto"/>
          <w:spacing w:val="8"/>
          <w:kern w:val="0"/>
          <w:sz w:val="34"/>
          <w:szCs w:val="34"/>
          <w:lang w:eastAsia="zh-CN"/>
        </w:rPr>
        <w:t>。全街大部分</w:t>
      </w:r>
      <w:r>
        <w:rPr>
          <w:rFonts w:hint="eastAsia" w:ascii="仿宋_GB2312" w:hAnsi="仿宋_GB2312" w:eastAsia="仿宋_GB2312" w:cs="仿宋_GB2312"/>
          <w:color w:val="auto"/>
          <w:spacing w:val="8"/>
          <w:kern w:val="0"/>
          <w:sz w:val="34"/>
          <w:szCs w:val="34"/>
          <w:lang w:val="en-US" w:eastAsia="zh-CN"/>
        </w:rPr>
        <w:t>干部的法律意识、法治观念有</w:t>
      </w:r>
      <w:r>
        <w:rPr>
          <w:rFonts w:hint="eastAsia" w:ascii="仿宋_GB2312" w:hAnsi="仿宋_GB2312" w:eastAsia="仿宋_GB2312" w:cs="仿宋_GB2312"/>
          <w:color w:val="auto"/>
          <w:spacing w:val="8"/>
          <w:kern w:val="0"/>
          <w:sz w:val="34"/>
          <w:szCs w:val="34"/>
          <w:lang w:eastAsia="zh-CN"/>
        </w:rPr>
        <w:t>了</w:t>
      </w:r>
      <w:r>
        <w:rPr>
          <w:rFonts w:hint="eastAsia" w:ascii="仿宋_GB2312" w:hAnsi="仿宋_GB2312" w:eastAsia="仿宋_GB2312" w:cs="仿宋_GB2312"/>
          <w:color w:val="auto"/>
          <w:spacing w:val="8"/>
          <w:kern w:val="0"/>
          <w:sz w:val="34"/>
          <w:szCs w:val="34"/>
          <w:lang w:val="en-US" w:eastAsia="zh-CN"/>
        </w:rPr>
        <w:t>较大</w:t>
      </w:r>
      <w:r>
        <w:rPr>
          <w:rFonts w:hint="eastAsia" w:ascii="仿宋_GB2312" w:hAnsi="仿宋_GB2312" w:eastAsia="仿宋_GB2312" w:cs="仿宋_GB2312"/>
          <w:color w:val="auto"/>
          <w:spacing w:val="8"/>
          <w:kern w:val="0"/>
          <w:sz w:val="34"/>
          <w:szCs w:val="34"/>
          <w:lang w:eastAsia="zh-CN"/>
        </w:rPr>
        <w:t>提升</w:t>
      </w:r>
      <w:r>
        <w:rPr>
          <w:rFonts w:hint="eastAsia" w:ascii="仿宋_GB2312" w:hAnsi="仿宋_GB2312" w:eastAsia="仿宋_GB2312" w:cs="仿宋_GB2312"/>
          <w:color w:val="auto"/>
          <w:spacing w:val="8"/>
          <w:kern w:val="0"/>
          <w:sz w:val="34"/>
          <w:szCs w:val="34"/>
          <w:lang w:val="en-US" w:eastAsia="zh-CN"/>
        </w:rPr>
        <w:t>，但</w:t>
      </w:r>
      <w:r>
        <w:rPr>
          <w:rFonts w:hint="eastAsia" w:ascii="仿宋_GB2312" w:hAnsi="仿宋_GB2312" w:eastAsia="仿宋_GB2312" w:cs="仿宋_GB2312"/>
          <w:color w:val="auto"/>
          <w:spacing w:val="8"/>
          <w:kern w:val="0"/>
          <w:sz w:val="34"/>
          <w:szCs w:val="34"/>
          <w:lang w:eastAsia="zh-CN"/>
        </w:rPr>
        <w:t>仍存在部分干部</w:t>
      </w:r>
      <w:r>
        <w:rPr>
          <w:rFonts w:hint="eastAsia" w:ascii="仿宋_GB2312" w:hAnsi="仿宋_GB2312" w:eastAsia="仿宋_GB2312" w:cs="仿宋_GB2312"/>
          <w:color w:val="auto"/>
          <w:spacing w:val="8"/>
          <w:kern w:val="0"/>
          <w:sz w:val="34"/>
          <w:szCs w:val="34"/>
          <w:lang w:val="en-US" w:eastAsia="zh-CN"/>
        </w:rPr>
        <w:t>对法治工作重视不够，参与法治政府建设</w:t>
      </w:r>
      <w:r>
        <w:rPr>
          <w:rFonts w:hint="eastAsia" w:ascii="仿宋_GB2312" w:hAnsi="仿宋_GB2312" w:eastAsia="仿宋_GB2312" w:cs="仿宋_GB2312"/>
          <w:color w:val="auto"/>
          <w:spacing w:val="8"/>
          <w:kern w:val="0"/>
          <w:sz w:val="34"/>
          <w:szCs w:val="34"/>
          <w:lang w:eastAsia="zh-CN"/>
        </w:rPr>
        <w:t>工作</w:t>
      </w:r>
      <w:r>
        <w:rPr>
          <w:rFonts w:hint="eastAsia" w:ascii="仿宋_GB2312" w:hAnsi="仿宋_GB2312" w:eastAsia="仿宋_GB2312" w:cs="仿宋_GB2312"/>
          <w:color w:val="auto"/>
          <w:spacing w:val="8"/>
          <w:kern w:val="0"/>
          <w:sz w:val="34"/>
          <w:szCs w:val="34"/>
          <w:lang w:val="en-US" w:eastAsia="zh-CN"/>
        </w:rPr>
        <w:t>的能动性</w:t>
      </w:r>
      <w:r>
        <w:rPr>
          <w:rFonts w:hint="eastAsia" w:ascii="仿宋_GB2312" w:hAnsi="仿宋_GB2312" w:eastAsia="仿宋_GB2312" w:cs="仿宋_GB2312"/>
          <w:color w:val="auto"/>
          <w:spacing w:val="8"/>
          <w:kern w:val="0"/>
          <w:sz w:val="34"/>
          <w:szCs w:val="34"/>
          <w:lang w:eastAsia="zh-CN"/>
        </w:rPr>
        <w:t>不强</w:t>
      </w:r>
      <w:r>
        <w:rPr>
          <w:rFonts w:hint="eastAsia" w:ascii="仿宋_GB2312" w:hAnsi="仿宋_GB2312" w:eastAsia="仿宋_GB2312" w:cs="仿宋_GB2312"/>
          <w:color w:val="auto"/>
          <w:spacing w:val="8"/>
          <w:kern w:val="0"/>
          <w:sz w:val="34"/>
          <w:szCs w:val="34"/>
          <w:lang w:val="en-US" w:eastAsia="zh-CN"/>
        </w:rPr>
        <w:t>。二是法治宣传效果仍有提升空间</w:t>
      </w:r>
      <w:r>
        <w:rPr>
          <w:rFonts w:hint="eastAsia" w:ascii="仿宋_GB2312" w:hAnsi="仿宋_GB2312" w:eastAsia="仿宋_GB2312" w:cs="仿宋_GB2312"/>
          <w:color w:val="auto"/>
          <w:spacing w:val="8"/>
          <w:kern w:val="0"/>
          <w:sz w:val="34"/>
          <w:szCs w:val="34"/>
          <w:lang w:eastAsia="zh-CN"/>
        </w:rPr>
        <w:t>。法治</w:t>
      </w:r>
      <w:r>
        <w:rPr>
          <w:rFonts w:hint="eastAsia" w:ascii="仿宋_GB2312" w:hAnsi="仿宋_GB2312" w:eastAsia="仿宋_GB2312" w:cs="仿宋_GB2312"/>
          <w:color w:val="auto"/>
          <w:spacing w:val="8"/>
          <w:kern w:val="0"/>
          <w:sz w:val="34"/>
          <w:szCs w:val="34"/>
          <w:lang w:val="en-US" w:eastAsia="zh-CN"/>
        </w:rPr>
        <w:t>宣传形式以传统手段为主，多数为派发传单和手册等，需要进一步扩宽思路，创新让群众更易接受、更有新鲜感、更喜闻乐见的宣传手段</w:t>
      </w:r>
      <w:r>
        <w:rPr>
          <w:rFonts w:hint="eastAsia" w:ascii="仿宋_GB2312" w:hAnsi="仿宋_GB2312" w:eastAsia="仿宋_GB2312" w:cs="仿宋_GB2312"/>
          <w:color w:val="auto"/>
          <w:spacing w:val="8"/>
          <w:kern w:val="0"/>
          <w:sz w:val="34"/>
          <w:szCs w:val="34"/>
          <w:lang w:eastAsia="zh-CN"/>
        </w:rPr>
        <w:t>。</w:t>
      </w:r>
      <w:r>
        <w:rPr>
          <w:rFonts w:hint="eastAsia" w:ascii="仿宋_GB2312" w:hAnsi="仿宋_GB2312" w:eastAsia="仿宋_GB2312" w:cs="仿宋_GB2312"/>
          <w:color w:val="auto"/>
          <w:spacing w:val="8"/>
          <w:kern w:val="0"/>
          <w:sz w:val="34"/>
          <w:szCs w:val="34"/>
          <w:lang w:val="en-US" w:eastAsia="zh-CN"/>
        </w:rPr>
        <w:t>三是执法保障供给</w:t>
      </w:r>
      <w:r>
        <w:rPr>
          <w:rFonts w:hint="eastAsia" w:ascii="仿宋_GB2312" w:hAnsi="仿宋_GB2312" w:eastAsia="仿宋_GB2312" w:cs="仿宋_GB2312"/>
          <w:color w:val="auto"/>
          <w:spacing w:val="8"/>
          <w:kern w:val="0"/>
          <w:sz w:val="34"/>
          <w:szCs w:val="34"/>
          <w:lang w:eastAsia="zh-CN"/>
        </w:rPr>
        <w:t>短缺。执法队伍制服配发不足，缺乏执法记录仪、便携式录像机等现代化设备，导致执法工作有时无法顺利开展</w:t>
      </w:r>
      <w:r>
        <w:rPr>
          <w:rFonts w:hint="default" w:ascii="仿宋_GB2312" w:hAnsi="仿宋_GB2312" w:eastAsia="仿宋_GB2312" w:cs="仿宋_GB2312"/>
          <w:color w:val="auto"/>
          <w:spacing w:val="8"/>
          <w:kern w:val="0"/>
          <w:sz w:val="34"/>
          <w:szCs w:val="34"/>
          <w:lang w:eastAsia="zh-CN"/>
        </w:rPr>
        <w:t>。</w:t>
      </w:r>
    </w:p>
    <w:p>
      <w:pPr>
        <w:keepNext w:val="0"/>
        <w:keepLines w:val="0"/>
        <w:pageBreakBefore w:val="0"/>
        <w:widowControl/>
        <w:suppressLineNumbers w:val="0"/>
        <w:kinsoku/>
        <w:wordWrap/>
        <w:overflowPunct/>
        <w:topLinePunct w:val="0"/>
        <w:bidi w:val="0"/>
        <w:snapToGrid/>
        <w:spacing w:line="588" w:lineRule="exact"/>
        <w:ind w:firstLine="680" w:firstLineChars="200"/>
        <w:jc w:val="both"/>
        <w:textAlignment w:val="auto"/>
        <w:rPr>
          <w:rFonts w:hint="eastAsia" w:ascii="黑体" w:hAnsi="黑体" w:eastAsia="黑体" w:cs="黑体"/>
          <w:b w:val="0"/>
          <w:bCs/>
          <w:color w:val="auto"/>
          <w:kern w:val="2"/>
          <w:sz w:val="34"/>
          <w:szCs w:val="34"/>
          <w:highlight w:val="none"/>
          <w:lang w:val="en-US" w:eastAsia="zh-CN" w:bidi="ar-SA"/>
        </w:rPr>
      </w:pPr>
      <w:r>
        <w:rPr>
          <w:rFonts w:hint="eastAsia" w:ascii="黑体" w:hAnsi="黑体" w:eastAsia="黑体" w:cs="黑体"/>
          <w:b w:val="0"/>
          <w:bCs/>
          <w:color w:val="auto"/>
          <w:kern w:val="2"/>
          <w:sz w:val="34"/>
          <w:szCs w:val="34"/>
          <w:highlight w:val="none"/>
          <w:lang w:val="en-US" w:eastAsia="zh-CN" w:bidi="ar-SA"/>
        </w:rPr>
        <w:t>三、</w:t>
      </w:r>
      <w:r>
        <w:rPr>
          <w:rFonts w:hint="default" w:ascii="Times New Roman" w:hAnsi="仿宋" w:eastAsia="仿宋" w:cs="Times New Roman"/>
          <w:b w:val="0"/>
          <w:bCs/>
          <w:color w:val="auto"/>
          <w:kern w:val="0"/>
          <w:sz w:val="34"/>
          <w:szCs w:val="34"/>
          <w:highlight w:val="none"/>
          <w:lang w:eastAsia="zh-CN"/>
        </w:rPr>
        <w:t>2023</w:t>
      </w:r>
      <w:r>
        <w:rPr>
          <w:rFonts w:hint="eastAsia" w:ascii="黑体" w:hAnsi="黑体" w:eastAsia="黑体" w:cs="黑体"/>
          <w:b w:val="0"/>
          <w:bCs/>
          <w:color w:val="auto"/>
          <w:kern w:val="2"/>
          <w:sz w:val="34"/>
          <w:szCs w:val="34"/>
          <w:highlight w:val="none"/>
          <w:lang w:val="en-US" w:eastAsia="zh-CN" w:bidi="ar-SA"/>
        </w:rPr>
        <w:t>年</w:t>
      </w:r>
      <w:r>
        <w:rPr>
          <w:rFonts w:hint="default" w:ascii="黑体" w:hAnsi="黑体" w:eastAsia="黑体" w:cs="黑体"/>
          <w:b w:val="0"/>
          <w:bCs/>
          <w:color w:val="auto"/>
          <w:kern w:val="2"/>
          <w:sz w:val="34"/>
          <w:szCs w:val="34"/>
          <w:highlight w:val="none"/>
          <w:lang w:eastAsia="zh-CN" w:bidi="ar-SA"/>
        </w:rPr>
        <w:t>华苑街道</w:t>
      </w:r>
      <w:r>
        <w:rPr>
          <w:rFonts w:hint="eastAsia" w:ascii="黑体" w:hAnsi="黑体" w:eastAsia="黑体" w:cs="黑体"/>
          <w:b w:val="0"/>
          <w:bCs/>
          <w:color w:val="auto"/>
          <w:kern w:val="2"/>
          <w:sz w:val="34"/>
          <w:szCs w:val="34"/>
          <w:highlight w:val="none"/>
          <w:lang w:val="en-US" w:eastAsia="zh-CN" w:bidi="ar-SA"/>
        </w:rPr>
        <w:t>主要负责人履行推进法治政府建设第一责任人职责、加强法治政府建设有关情况</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80" w:firstLineChars="200"/>
        <w:jc w:val="both"/>
        <w:textAlignment w:val="auto"/>
        <w:rPr>
          <w:rFonts w:hint="eastAsia" w:ascii="楷体_GB2312" w:hAnsi="楷体_GB2312" w:eastAsia="楷体_GB2312" w:cs="楷体_GB2312"/>
          <w:color w:val="auto"/>
          <w:sz w:val="34"/>
          <w:szCs w:val="34"/>
          <w:lang w:val="en-US" w:eastAsia="zh-CN"/>
        </w:rPr>
      </w:pPr>
      <w:r>
        <w:rPr>
          <w:rFonts w:hint="default" w:ascii="楷体_GB2312" w:hAnsi="楷体_GB2312" w:eastAsia="楷体_GB2312" w:cs="楷体_GB2312"/>
          <w:color w:val="auto"/>
          <w:sz w:val="34"/>
          <w:szCs w:val="34"/>
          <w:lang w:eastAsia="zh-CN"/>
        </w:rPr>
        <w:t>健全组织领导</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default" w:ascii="仿宋_GB2312" w:hAnsi="仿宋_GB2312" w:eastAsia="仿宋_GB2312" w:cs="仿宋_GB2312"/>
          <w:color w:val="auto"/>
          <w:kern w:val="2"/>
          <w:sz w:val="34"/>
          <w:szCs w:val="34"/>
          <w:lang w:eastAsia="zh-CN" w:bidi="ar-SA"/>
        </w:rPr>
        <w:t>健全街道法治建设工作领导机制，充分发挥以党工委书记、街道办事处主任为双组长的法治政府建设工作领导小组职责作用，坚持“党委统一领导，党政齐抓共管”的原则，</w:t>
      </w:r>
      <w:r>
        <w:rPr>
          <w:rFonts w:hint="eastAsia" w:ascii="仿宋_GB2312" w:hAnsi="仿宋_GB2312" w:eastAsia="仿宋_GB2312" w:cs="仿宋_GB2312"/>
          <w:color w:val="auto"/>
          <w:kern w:val="2"/>
          <w:sz w:val="34"/>
          <w:szCs w:val="34"/>
          <w:lang w:val="en-US" w:eastAsia="zh-CN" w:bidi="ar-SA"/>
        </w:rPr>
        <w:t>切实履行推进法治建设第一责任人的职责，坚持以法为纲，推进法治建设，把依法治理工作摆上重要日程来安排，作为重要工作来推动，定期听取法治政府建设情况汇报，研究解决法治政府建设工作中存在的问题和困难。将法治政府工作目标任务纳入街道全年重点工作，全年跟踪督办，积极推动</w:t>
      </w:r>
      <w:r>
        <w:rPr>
          <w:rFonts w:hint="default" w:ascii="仿宋_GB2312" w:hAnsi="仿宋_GB2312" w:eastAsia="仿宋_GB2312" w:cs="仿宋_GB2312"/>
          <w:color w:val="auto"/>
          <w:kern w:val="2"/>
          <w:sz w:val="34"/>
          <w:szCs w:val="34"/>
          <w:lang w:eastAsia="zh-CN" w:bidi="ar-SA"/>
        </w:rPr>
        <w:t>各项工作的</w:t>
      </w:r>
      <w:r>
        <w:rPr>
          <w:rFonts w:hint="eastAsia" w:ascii="仿宋_GB2312" w:hAnsi="仿宋_GB2312" w:eastAsia="仿宋_GB2312" w:cs="仿宋_GB2312"/>
          <w:color w:val="auto"/>
          <w:kern w:val="2"/>
          <w:sz w:val="34"/>
          <w:szCs w:val="34"/>
          <w:lang w:val="en-US" w:eastAsia="zh-CN" w:bidi="ar-SA"/>
        </w:rPr>
        <w:t>法制化进程</w:t>
      </w:r>
      <w:r>
        <w:rPr>
          <w:rFonts w:hint="default" w:ascii="仿宋_GB2312" w:hAnsi="仿宋_GB2312" w:eastAsia="仿宋_GB2312" w:cs="仿宋_GB2312"/>
          <w:color w:val="auto"/>
          <w:kern w:val="2"/>
          <w:sz w:val="34"/>
          <w:szCs w:val="34"/>
          <w:lang w:eastAsia="zh-CN" w:bidi="ar-SA"/>
        </w:rPr>
        <w:t>不断</w:t>
      </w:r>
      <w:r>
        <w:rPr>
          <w:rFonts w:hint="eastAsia" w:ascii="仿宋_GB2312" w:hAnsi="仿宋_GB2312" w:eastAsia="仿宋_GB2312" w:cs="仿宋_GB2312"/>
          <w:color w:val="auto"/>
          <w:kern w:val="2"/>
          <w:sz w:val="34"/>
          <w:szCs w:val="34"/>
          <w:lang w:val="en-US" w:eastAsia="zh-CN" w:bidi="ar-SA"/>
        </w:rPr>
        <w:t>落地。</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left="0" w:leftChars="0" w:firstLine="680" w:firstLineChars="200"/>
        <w:jc w:val="both"/>
        <w:textAlignment w:val="auto"/>
        <w:rPr>
          <w:rFonts w:hint="default" w:ascii="楷体_GB2312" w:hAnsi="楷体_GB2312" w:eastAsia="楷体_GB2312" w:cs="楷体_GB2312"/>
          <w:color w:val="auto"/>
          <w:sz w:val="34"/>
          <w:szCs w:val="34"/>
          <w:lang w:eastAsia="zh-CN"/>
        </w:rPr>
      </w:pPr>
      <w:r>
        <w:rPr>
          <w:rFonts w:hint="default" w:ascii="楷体_GB2312" w:hAnsi="楷体_GB2312" w:eastAsia="楷体_GB2312" w:cs="楷体_GB2312"/>
          <w:color w:val="auto"/>
          <w:sz w:val="34"/>
          <w:szCs w:val="34"/>
          <w:lang w:eastAsia="zh-CN"/>
        </w:rPr>
        <w:t>坚持依法决策</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color w:val="auto"/>
        </w:rPr>
      </w:pPr>
      <w:r>
        <w:rPr>
          <w:rFonts w:hint="default" w:ascii="仿宋_GB2312" w:hAnsi="仿宋_GB2312" w:eastAsia="仿宋_GB2312" w:cs="仿宋_GB2312"/>
          <w:color w:val="auto"/>
          <w:sz w:val="34"/>
          <w:szCs w:val="34"/>
          <w:lang w:eastAsia="zh-CN"/>
        </w:rPr>
        <w:t>严格遵守</w:t>
      </w:r>
      <w:r>
        <w:rPr>
          <w:rFonts w:hint="default" w:ascii="仿宋_GB2312" w:hAnsi="仿宋_GB2312" w:cs="仿宋_GB2312"/>
          <w:color w:val="auto"/>
          <w:sz w:val="34"/>
          <w:szCs w:val="34"/>
          <w:lang w:eastAsia="zh-CN"/>
        </w:rPr>
        <w:t>履行</w:t>
      </w:r>
      <w:r>
        <w:rPr>
          <w:rFonts w:hint="default" w:ascii="仿宋_GB2312" w:hAnsi="仿宋_GB2312" w:eastAsia="仿宋_GB2312" w:cs="仿宋_GB2312"/>
          <w:color w:val="auto"/>
          <w:sz w:val="34"/>
          <w:szCs w:val="34"/>
          <w:lang w:eastAsia="zh-CN"/>
        </w:rPr>
        <w:t>《中国共产党天津市南开区委华苑街道工作委员会工作规则》</w:t>
      </w:r>
      <w:r>
        <w:rPr>
          <w:rFonts w:hint="default" w:ascii="仿宋_GB2312" w:hAnsi="仿宋_GB2312" w:cs="仿宋_GB2312"/>
          <w:color w:val="auto"/>
          <w:sz w:val="34"/>
          <w:szCs w:val="34"/>
          <w:lang w:eastAsia="zh-CN"/>
        </w:rPr>
        <w:t>、《</w:t>
      </w:r>
      <w:r>
        <w:rPr>
          <w:rFonts w:hint="default" w:ascii="仿宋_GB2312" w:hAnsi="仿宋_GB2312" w:eastAsia="仿宋_GB2312" w:cs="仿宋_GB2312"/>
          <w:color w:val="auto"/>
          <w:sz w:val="34"/>
          <w:szCs w:val="34"/>
          <w:lang w:eastAsia="zh-CN"/>
        </w:rPr>
        <w:t>中国共产党天津市南开区委华苑街道工作委员会议事决策规则》</w:t>
      </w:r>
      <w:r>
        <w:rPr>
          <w:rFonts w:hint="default" w:ascii="仿宋_GB2312" w:hAnsi="仿宋_GB2312" w:cs="仿宋_GB2312"/>
          <w:color w:val="auto"/>
          <w:sz w:val="34"/>
          <w:szCs w:val="34"/>
          <w:lang w:eastAsia="zh-CN"/>
        </w:rPr>
        <w:t>和</w:t>
      </w:r>
      <w:r>
        <w:rPr>
          <w:rFonts w:hint="default" w:ascii="仿宋_GB2312" w:hAnsi="仿宋_GB2312" w:eastAsia="仿宋_GB2312" w:cs="仿宋_GB2312"/>
          <w:color w:val="auto"/>
          <w:sz w:val="34"/>
          <w:szCs w:val="34"/>
          <w:lang w:eastAsia="zh-CN"/>
        </w:rPr>
        <w:t>《华苑街道办事处主任办公会议议事规则》，</w:t>
      </w:r>
      <w:r>
        <w:rPr>
          <w:rFonts w:hint="default" w:ascii="仿宋_GB2312" w:hAnsi="仿宋_GB2312" w:cs="仿宋_GB2312"/>
          <w:color w:val="auto"/>
          <w:sz w:val="34"/>
          <w:szCs w:val="34"/>
          <w:lang w:eastAsia="zh-CN"/>
        </w:rPr>
        <w:t>对</w:t>
      </w:r>
      <w:r>
        <w:rPr>
          <w:rFonts w:hint="eastAsia" w:ascii="仿宋_GB2312" w:hAnsi="仿宋_GB2312" w:eastAsia="仿宋_GB2312" w:cs="仿宋_GB2312"/>
          <w:color w:val="auto"/>
          <w:sz w:val="34"/>
          <w:szCs w:val="34"/>
          <w:lang w:val="en-US" w:eastAsia="zh-CN"/>
        </w:rPr>
        <w:t>涉及</w:t>
      </w:r>
      <w:r>
        <w:rPr>
          <w:rFonts w:hint="eastAsia" w:ascii="仿宋_GB2312" w:eastAsia="仿宋_GB2312"/>
          <w:color w:val="auto"/>
          <w:sz w:val="34"/>
          <w:szCs w:val="34"/>
        </w:rPr>
        <w:t>重点工作、</w:t>
      </w:r>
      <w:r>
        <w:rPr>
          <w:rFonts w:hint="eastAsia" w:ascii="仿宋_GB2312" w:hAnsi="仿宋_GB2312" w:eastAsia="仿宋_GB2312" w:cs="仿宋_GB2312"/>
          <w:color w:val="auto"/>
          <w:sz w:val="34"/>
          <w:szCs w:val="34"/>
          <w:lang w:val="en-US" w:eastAsia="zh-CN"/>
        </w:rPr>
        <w:t>重大事项决策</w:t>
      </w:r>
      <w:r>
        <w:rPr>
          <w:rFonts w:hint="default" w:ascii="仿宋_GB2312" w:hAnsi="仿宋_GB2312" w:eastAsia="仿宋_GB2312" w:cs="仿宋_GB2312"/>
          <w:color w:val="auto"/>
          <w:sz w:val="34"/>
          <w:szCs w:val="34"/>
          <w:lang w:eastAsia="zh-CN"/>
        </w:rPr>
        <w:t>、干部任免、</w:t>
      </w:r>
      <w:r>
        <w:rPr>
          <w:rFonts w:hint="default" w:ascii="仿宋_GB2312" w:hAnsi="宋体" w:eastAsia="仿宋_GB2312"/>
          <w:snapToGrid w:val="0"/>
          <w:color w:val="auto"/>
          <w:kern w:val="0"/>
          <w:sz w:val="34"/>
          <w:szCs w:val="34"/>
        </w:rPr>
        <w:t>大额</w:t>
      </w:r>
      <w:r>
        <w:rPr>
          <w:rFonts w:hint="eastAsia" w:ascii="仿宋_GB2312" w:hAnsi="宋体" w:eastAsia="仿宋_GB2312"/>
          <w:snapToGrid w:val="0"/>
          <w:color w:val="auto"/>
          <w:kern w:val="0"/>
          <w:sz w:val="34"/>
          <w:szCs w:val="34"/>
        </w:rPr>
        <w:t>资金使用</w:t>
      </w:r>
      <w:r>
        <w:rPr>
          <w:rFonts w:hint="default" w:ascii="仿宋_GB2312" w:hAnsi="宋体" w:eastAsia="仿宋_GB2312"/>
          <w:snapToGrid w:val="0"/>
          <w:color w:val="auto"/>
          <w:kern w:val="0"/>
          <w:sz w:val="34"/>
          <w:szCs w:val="34"/>
        </w:rPr>
        <w:t>等</w:t>
      </w:r>
      <w:r>
        <w:rPr>
          <w:rFonts w:hint="default" w:ascii="仿宋_GB2312" w:hAnsi="仿宋_GB2312" w:eastAsia="仿宋_GB2312" w:cs="仿宋_GB2312"/>
          <w:color w:val="auto"/>
          <w:sz w:val="34"/>
          <w:szCs w:val="34"/>
          <w:lang w:eastAsia="zh-CN"/>
        </w:rPr>
        <w:t>工作</w:t>
      </w:r>
      <w:r>
        <w:rPr>
          <w:rFonts w:hint="default" w:ascii="仿宋_GB2312" w:hAnsi="仿宋_GB2312" w:cs="仿宋_GB2312"/>
          <w:color w:val="auto"/>
          <w:sz w:val="34"/>
          <w:szCs w:val="34"/>
          <w:lang w:eastAsia="zh-CN"/>
        </w:rPr>
        <w:t>事项</w:t>
      </w:r>
      <w:r>
        <w:rPr>
          <w:rFonts w:hint="eastAsia" w:ascii="仿宋_GB2312" w:hAnsi="仿宋_GB2312" w:eastAsia="仿宋_GB2312" w:cs="仿宋_GB2312"/>
          <w:color w:val="auto"/>
          <w:sz w:val="34"/>
          <w:szCs w:val="34"/>
          <w:lang w:val="en-US" w:eastAsia="zh-CN"/>
        </w:rPr>
        <w:t>，</w:t>
      </w:r>
      <w:r>
        <w:rPr>
          <w:rFonts w:hint="default" w:ascii="仿宋_GB2312" w:hAnsi="仿宋_GB2312" w:eastAsia="仿宋_GB2312" w:cs="仿宋_GB2312"/>
          <w:color w:val="auto"/>
          <w:sz w:val="34"/>
          <w:szCs w:val="34"/>
          <w:lang w:eastAsia="zh-CN"/>
        </w:rPr>
        <w:t>始终</w:t>
      </w:r>
      <w:r>
        <w:rPr>
          <w:rFonts w:hint="eastAsia" w:ascii="仿宋_GB2312" w:hAnsi="仿宋_GB2312" w:eastAsia="仿宋_GB2312" w:cs="仿宋_GB2312"/>
          <w:color w:val="auto"/>
          <w:sz w:val="34"/>
          <w:szCs w:val="34"/>
          <w:lang w:val="en-US" w:eastAsia="zh-CN"/>
        </w:rPr>
        <w:t>坚持民主集中制原则，召开</w:t>
      </w:r>
      <w:r>
        <w:rPr>
          <w:rFonts w:hint="default" w:ascii="仿宋_GB2312" w:hAnsi="仿宋_GB2312" w:eastAsia="仿宋_GB2312" w:cs="仿宋_GB2312"/>
          <w:color w:val="auto"/>
          <w:sz w:val="34"/>
          <w:szCs w:val="34"/>
          <w:lang w:eastAsia="zh-CN"/>
        </w:rPr>
        <w:t>主任办公会议</w:t>
      </w:r>
      <w:r>
        <w:rPr>
          <w:rFonts w:hint="default" w:ascii="仿宋_GB2312" w:hAnsi="仿宋_GB2312" w:cs="仿宋_GB2312"/>
          <w:color w:val="auto"/>
          <w:sz w:val="34"/>
          <w:szCs w:val="34"/>
          <w:lang w:eastAsia="zh-CN"/>
        </w:rPr>
        <w:t>、</w:t>
      </w:r>
      <w:r>
        <w:rPr>
          <w:rFonts w:hint="eastAsia" w:ascii="仿宋_GB2312" w:hAnsi="仿宋_GB2312" w:eastAsia="仿宋_GB2312" w:cs="仿宋_GB2312"/>
          <w:color w:val="auto"/>
          <w:sz w:val="34"/>
          <w:szCs w:val="34"/>
          <w:lang w:val="en-US" w:eastAsia="zh-CN"/>
        </w:rPr>
        <w:t>党工委会议集体讨论决定。认真落实政府法律顾问制度，</w:t>
      </w:r>
      <w:r>
        <w:rPr>
          <w:rFonts w:hint="default" w:ascii="仿宋_GB2312" w:hAnsi="宋体" w:eastAsia="仿宋_GB2312"/>
          <w:color w:val="auto"/>
          <w:sz w:val="34"/>
          <w:szCs w:val="34"/>
        </w:rPr>
        <w:t>在重大决策咨询、规范性文件审核、行政复议诉讼等方面充分吸取法律顾问意见，</w:t>
      </w:r>
      <w:r>
        <w:rPr>
          <w:rFonts w:hint="eastAsia" w:ascii="仿宋_GB2312" w:hAnsi="宋体" w:eastAsia="仿宋_GB2312"/>
          <w:color w:val="auto"/>
          <w:sz w:val="34"/>
          <w:szCs w:val="34"/>
        </w:rPr>
        <w:t>保证领导决策科学化、民主化、规范化</w:t>
      </w:r>
      <w:r>
        <w:rPr>
          <w:rFonts w:hint="default" w:ascii="仿宋_GB2312" w:hAnsi="宋体" w:eastAsia="仿宋_GB2312"/>
          <w:color w:val="auto"/>
          <w:sz w:val="34"/>
          <w:szCs w:val="34"/>
        </w:rPr>
        <w:t>。</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left="0" w:leftChars="0" w:firstLine="680" w:firstLineChars="200"/>
        <w:jc w:val="both"/>
        <w:textAlignment w:val="auto"/>
        <w:rPr>
          <w:rFonts w:hint="eastAsia" w:ascii="楷体_GB2312" w:hAnsi="楷体_GB2312" w:eastAsia="楷体_GB2312" w:cs="楷体_GB2312"/>
          <w:color w:val="auto"/>
          <w:sz w:val="34"/>
          <w:szCs w:val="34"/>
          <w:lang w:val="en-US" w:eastAsia="zh-CN"/>
        </w:rPr>
      </w:pPr>
      <w:r>
        <w:rPr>
          <w:rFonts w:hint="default" w:ascii="楷体_GB2312" w:hAnsi="楷体_GB2312" w:eastAsia="楷体_GB2312" w:cs="楷体_GB2312"/>
          <w:color w:val="auto"/>
          <w:sz w:val="34"/>
          <w:szCs w:val="34"/>
          <w:lang w:eastAsia="zh-CN"/>
        </w:rPr>
        <w:t>从严依规治党</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color w:val="auto"/>
          <w:sz w:val="34"/>
          <w:szCs w:val="34"/>
          <w:lang w:val="en-US" w:eastAsia="zh-CN"/>
        </w:rPr>
      </w:pPr>
      <w:r>
        <w:rPr>
          <w:rFonts w:hint="default" w:ascii="仿宋_GB2312" w:eastAsia="仿宋_GB2312" w:cs="仿宋_GB2312"/>
          <w:b w:val="0"/>
          <w:bCs w:val="0"/>
          <w:color w:val="auto"/>
          <w:sz w:val="34"/>
          <w:szCs w:val="34"/>
          <w:lang w:eastAsia="zh-CN"/>
        </w:rPr>
        <w:t>坚持全面从严治党，从严治政，认真落实党风廉政建设主体责任人职责，督促班子成员、干部职工学法懂法用法，全面落实党内监督责任</w:t>
      </w:r>
      <w:r>
        <w:rPr>
          <w:rFonts w:hint="default" w:ascii="仿宋_GB2312" w:cs="仿宋_GB2312"/>
          <w:b w:val="0"/>
          <w:bCs w:val="0"/>
          <w:color w:val="auto"/>
          <w:sz w:val="34"/>
          <w:szCs w:val="34"/>
          <w:lang w:eastAsia="zh-CN"/>
        </w:rPr>
        <w:t>。</w:t>
      </w:r>
      <w:r>
        <w:rPr>
          <w:rFonts w:hint="eastAsia" w:ascii="仿宋_GB2312" w:hAnsi="Calibri" w:eastAsia="仿宋_GB2312" w:cs="仿宋_GB2312"/>
          <w:b w:val="0"/>
          <w:bCs w:val="0"/>
          <w:color w:val="auto"/>
          <w:sz w:val="34"/>
          <w:szCs w:val="34"/>
          <w:lang w:val="en-US" w:eastAsia="zh-CN"/>
        </w:rPr>
        <w:t>坚持问题导向，逐层逐项分解全面从严治党和年度重点工作任务，压实各级领导干部主体责任</w:t>
      </w:r>
      <w:r>
        <w:rPr>
          <w:rFonts w:hint="default" w:ascii="仿宋_GB2312" w:eastAsia="仿宋_GB2312" w:cs="仿宋_GB2312"/>
          <w:b w:val="0"/>
          <w:bCs w:val="0"/>
          <w:color w:val="auto"/>
          <w:sz w:val="34"/>
          <w:szCs w:val="34"/>
          <w:lang w:eastAsia="zh-CN"/>
        </w:rPr>
        <w:t>。</w:t>
      </w:r>
      <w:r>
        <w:rPr>
          <w:rFonts w:hint="eastAsia" w:ascii="仿宋_GB2312" w:hAnsi="Calibri" w:eastAsia="仿宋_GB2312" w:cs="仿宋_GB2312"/>
          <w:b w:val="0"/>
          <w:bCs w:val="0"/>
          <w:color w:val="auto"/>
          <w:sz w:val="34"/>
          <w:szCs w:val="34"/>
          <w:lang w:val="en-US" w:eastAsia="zh-CN"/>
        </w:rPr>
        <w:t>深入</w:t>
      </w:r>
      <w:r>
        <w:rPr>
          <w:rFonts w:hint="default" w:ascii="仿宋_GB2312" w:hAnsi="Calibri" w:cs="仿宋_GB2312"/>
          <w:b w:val="0"/>
          <w:bCs w:val="0"/>
          <w:color w:val="auto"/>
          <w:sz w:val="34"/>
          <w:szCs w:val="34"/>
          <w:lang w:eastAsia="zh-CN"/>
        </w:rPr>
        <w:t>推进作风建设</w:t>
      </w:r>
      <w:r>
        <w:rPr>
          <w:rFonts w:hint="eastAsia" w:ascii="仿宋_GB2312" w:hAnsi="Calibri" w:eastAsia="仿宋_GB2312" w:cs="仿宋_GB2312"/>
          <w:b w:val="0"/>
          <w:bCs w:val="0"/>
          <w:color w:val="auto"/>
          <w:sz w:val="34"/>
          <w:szCs w:val="34"/>
          <w:lang w:val="en-US" w:eastAsia="zh-CN"/>
        </w:rPr>
        <w:t>，及时发现、提醒、纠正不作为不担当、形式主义、官僚主义等方面问题。围绕</w:t>
      </w:r>
      <w:r>
        <w:rPr>
          <w:rFonts w:hint="default" w:ascii="Times New Roman" w:hAnsi="Times New Roman" w:eastAsia="仿宋_GB2312" w:cs="Times New Roman"/>
          <w:b w:val="0"/>
          <w:bCs w:val="0"/>
          <w:i w:val="0"/>
          <w:iCs w:val="0"/>
          <w:color w:val="auto"/>
          <w:kern w:val="2"/>
          <w:sz w:val="34"/>
          <w:szCs w:val="34"/>
          <w:highlight w:val="none"/>
          <w:vertAlign w:val="baseline"/>
          <w:lang w:val="en-US" w:eastAsia="zh-CN" w:bidi="ar-SA"/>
        </w:rPr>
        <w:t>重要节点</w:t>
      </w:r>
      <w:r>
        <w:rPr>
          <w:rFonts w:hint="default" w:ascii="Times New Roman" w:hAnsi="Times New Roman" w:eastAsia="仿宋_GB2312" w:cs="Times New Roman"/>
          <w:b w:val="0"/>
          <w:bCs w:val="0"/>
          <w:i w:val="0"/>
          <w:iCs w:val="0"/>
          <w:color w:val="auto"/>
          <w:kern w:val="0"/>
          <w:sz w:val="34"/>
          <w:szCs w:val="34"/>
          <w:highlight w:val="none"/>
          <w:vertAlign w:val="baseline"/>
          <w:lang w:val="en-US" w:eastAsia="zh-CN" w:bidi="ar-SA"/>
        </w:rPr>
        <w:t>开展警示教育</w:t>
      </w:r>
      <w:r>
        <w:rPr>
          <w:rFonts w:hint="eastAsia" w:ascii="仿宋_GB2312" w:hAnsi="Calibri" w:eastAsia="仿宋_GB2312" w:cs="仿宋_GB2312"/>
          <w:b w:val="0"/>
          <w:bCs w:val="0"/>
          <w:color w:val="auto"/>
          <w:sz w:val="34"/>
          <w:szCs w:val="34"/>
          <w:lang w:val="en-US" w:eastAsia="zh-CN"/>
        </w:rPr>
        <w:t>，以典型案例为鉴，引导街道党员干部遵守党的纪律，</w:t>
      </w:r>
      <w:r>
        <w:rPr>
          <w:rFonts w:hint="default" w:ascii="仿宋_GB2312" w:hAnsi="Calibri" w:cs="仿宋_GB2312"/>
          <w:b w:val="0"/>
          <w:bCs w:val="0"/>
          <w:color w:val="auto"/>
          <w:sz w:val="34"/>
          <w:szCs w:val="34"/>
          <w:lang w:eastAsia="zh-CN"/>
        </w:rPr>
        <w:t>杜绝</w:t>
      </w:r>
      <w:r>
        <w:rPr>
          <w:rFonts w:hint="eastAsia" w:ascii="仿宋_GB2312" w:hAnsi="Calibri" w:eastAsia="仿宋_GB2312" w:cs="仿宋_GB2312"/>
          <w:b w:val="0"/>
          <w:bCs w:val="0"/>
          <w:color w:val="auto"/>
          <w:sz w:val="34"/>
          <w:szCs w:val="34"/>
          <w:lang w:val="en-US" w:eastAsia="zh-CN"/>
        </w:rPr>
        <w:t>出现违规违纪行为。</w:t>
      </w:r>
      <w:r>
        <w:rPr>
          <w:rFonts w:hint="default" w:ascii="仿宋_GB2312" w:eastAsia="仿宋_GB2312" w:cs="仿宋_GB2312"/>
          <w:b w:val="0"/>
          <w:bCs w:val="0"/>
          <w:color w:val="auto"/>
          <w:sz w:val="34"/>
          <w:szCs w:val="34"/>
          <w:lang w:eastAsia="zh-CN"/>
        </w:rPr>
        <w:t>修订《华苑街社区工作者考核管理办法（试行）》制度</w:t>
      </w:r>
      <w:r>
        <w:rPr>
          <w:rFonts w:hint="default" w:ascii="仿宋_GB2312" w:cs="仿宋_GB2312"/>
          <w:b w:val="0"/>
          <w:bCs w:val="0"/>
          <w:color w:val="auto"/>
          <w:sz w:val="34"/>
          <w:szCs w:val="34"/>
          <w:lang w:eastAsia="zh-CN"/>
        </w:rPr>
        <w:t>，</w:t>
      </w:r>
      <w:r>
        <w:rPr>
          <w:rFonts w:hint="default" w:ascii="仿宋_GB2312" w:eastAsia="仿宋_GB2312" w:cs="仿宋_GB2312"/>
          <w:b w:val="0"/>
          <w:bCs w:val="0"/>
          <w:color w:val="auto"/>
          <w:sz w:val="34"/>
          <w:szCs w:val="34"/>
          <w:lang w:eastAsia="zh-CN"/>
        </w:rPr>
        <w:t>从严教育监督管理社工。</w:t>
      </w:r>
    </w:p>
    <w:p>
      <w:pPr>
        <w:keepNext w:val="0"/>
        <w:keepLines w:val="0"/>
        <w:pageBreakBefore w:val="0"/>
        <w:widowControl w:val="0"/>
        <w:kinsoku/>
        <w:wordWrap/>
        <w:overflowPunct/>
        <w:topLinePunct w:val="0"/>
        <w:autoSpaceDE/>
        <w:autoSpaceDN/>
        <w:bidi w:val="0"/>
        <w:adjustRightInd/>
        <w:snapToGrid/>
        <w:spacing w:before="0" w:after="0" w:line="588" w:lineRule="exact"/>
        <w:ind w:left="0" w:leftChars="0" w:right="0" w:rightChars="0" w:firstLine="680" w:firstLineChars="200"/>
        <w:jc w:val="both"/>
        <w:textAlignment w:val="auto"/>
        <w:outlineLvl w:val="9"/>
        <w:rPr>
          <w:rFonts w:hint="eastAsia" w:ascii="黑体" w:hAnsi="黑体" w:eastAsia="黑体" w:cs="黑体"/>
          <w:color w:val="auto"/>
          <w:spacing w:val="0"/>
          <w:sz w:val="34"/>
          <w:szCs w:val="34"/>
          <w:lang w:val="en-US" w:eastAsia="zh-CN"/>
        </w:rPr>
      </w:pPr>
      <w:r>
        <w:rPr>
          <w:rFonts w:hint="eastAsia" w:ascii="黑体" w:hAnsi="黑体" w:eastAsia="黑体" w:cs="黑体"/>
          <w:color w:val="auto"/>
          <w:spacing w:val="0"/>
          <w:sz w:val="34"/>
          <w:szCs w:val="34"/>
          <w:lang w:val="en-US" w:eastAsia="zh-CN"/>
        </w:rPr>
        <w:t>四、</w:t>
      </w:r>
      <w:r>
        <w:rPr>
          <w:rFonts w:hint="default" w:ascii="Times New Roman" w:hAnsi="仿宋" w:eastAsia="仿宋" w:cs="Times New Roman"/>
          <w:b w:val="0"/>
          <w:bCs/>
          <w:color w:val="auto"/>
          <w:kern w:val="0"/>
          <w:sz w:val="34"/>
          <w:szCs w:val="34"/>
          <w:highlight w:val="none"/>
          <w:lang w:eastAsia="zh-CN"/>
        </w:rPr>
        <w:t>2024</w:t>
      </w:r>
      <w:r>
        <w:rPr>
          <w:rFonts w:hint="eastAsia" w:ascii="黑体" w:hAnsi="黑体" w:eastAsia="黑体" w:cs="黑体"/>
          <w:color w:val="auto"/>
          <w:spacing w:val="0"/>
          <w:sz w:val="34"/>
          <w:szCs w:val="34"/>
          <w:lang w:val="en-US" w:eastAsia="zh-CN"/>
        </w:rPr>
        <w:t>年推进法治政府建设的主要安排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712" w:firstLineChars="200"/>
        <w:jc w:val="both"/>
        <w:textAlignment w:val="auto"/>
        <w:rPr>
          <w:rFonts w:hint="eastAsia" w:ascii="楷体_GB2312" w:hAnsi="楷体_GB2312" w:eastAsia="楷体_GB2312" w:cs="楷体_GB2312"/>
          <w:color w:val="auto"/>
          <w:spacing w:val="8"/>
          <w:kern w:val="0"/>
          <w:sz w:val="34"/>
          <w:szCs w:val="34"/>
          <w:lang w:val="en-US" w:eastAsia="zh-CN"/>
        </w:rPr>
      </w:pPr>
      <w:r>
        <w:rPr>
          <w:rFonts w:hint="eastAsia" w:ascii="楷体_GB2312" w:hAnsi="楷体_GB2312" w:eastAsia="楷体_GB2312" w:cs="楷体_GB2312"/>
          <w:color w:val="auto"/>
          <w:spacing w:val="8"/>
          <w:kern w:val="0"/>
          <w:sz w:val="34"/>
          <w:szCs w:val="34"/>
          <w:lang w:eastAsia="zh-CN"/>
        </w:rPr>
        <w:t>（一）完善</w:t>
      </w:r>
      <w:r>
        <w:rPr>
          <w:rFonts w:hint="eastAsia" w:ascii="楷体_GB2312" w:hAnsi="楷体_GB2312" w:eastAsia="楷体_GB2312" w:cs="楷体_GB2312"/>
          <w:color w:val="auto"/>
          <w:spacing w:val="8"/>
          <w:kern w:val="0"/>
          <w:sz w:val="34"/>
          <w:szCs w:val="34"/>
          <w:lang w:val="en-US" w:eastAsia="zh-CN"/>
        </w:rPr>
        <w:t>组织</w:t>
      </w:r>
      <w:r>
        <w:rPr>
          <w:rFonts w:hint="eastAsia" w:ascii="楷体_GB2312" w:hAnsi="楷体_GB2312" w:eastAsia="楷体_GB2312" w:cs="楷体_GB2312"/>
          <w:color w:val="auto"/>
          <w:spacing w:val="8"/>
          <w:kern w:val="0"/>
          <w:sz w:val="34"/>
          <w:szCs w:val="34"/>
          <w:lang w:eastAsia="zh-CN"/>
        </w:rPr>
        <w:t>体系</w:t>
      </w:r>
      <w:r>
        <w:rPr>
          <w:rFonts w:hint="eastAsia" w:ascii="楷体_GB2312" w:hAnsi="楷体_GB2312" w:eastAsia="楷体_GB2312" w:cs="楷体_GB2312"/>
          <w:color w:val="auto"/>
          <w:spacing w:val="8"/>
          <w:kern w:val="0"/>
          <w:sz w:val="34"/>
          <w:szCs w:val="34"/>
          <w:lang w:val="en-US" w:eastAsia="zh-CN"/>
        </w:rPr>
        <w:t>保障</w:t>
      </w:r>
    </w:p>
    <w:p>
      <w:pPr>
        <w:keepNext w:val="0"/>
        <w:keepLines w:val="0"/>
        <w:pageBreakBefore w:val="0"/>
        <w:widowControl/>
        <w:suppressLineNumbers w:val="0"/>
        <w:kinsoku/>
        <w:wordWrap/>
        <w:overflowPunct/>
        <w:topLinePunct w:val="0"/>
        <w:bidi w:val="0"/>
        <w:snapToGrid/>
        <w:spacing w:line="588" w:lineRule="exact"/>
        <w:ind w:firstLine="680" w:firstLineChars="200"/>
        <w:jc w:val="both"/>
        <w:textAlignment w:val="auto"/>
        <w:rPr>
          <w:rFonts w:hint="eastAsia" w:ascii="仿宋_GB2312" w:hAnsi="仿宋_GB2312" w:eastAsia="仿宋_GB2312" w:cs="仿宋_GB2312"/>
          <w:color w:val="auto"/>
          <w:spacing w:val="8"/>
          <w:kern w:val="0"/>
          <w:sz w:val="34"/>
          <w:szCs w:val="34"/>
          <w:lang w:val="en-US" w:eastAsia="zh-CN"/>
        </w:rPr>
      </w:pPr>
      <w:r>
        <w:rPr>
          <w:rFonts w:hint="default" w:ascii="仿宋_GB2312" w:hAnsi="仿宋_GB2312" w:eastAsia="仿宋_GB2312" w:cs="仿宋_GB2312"/>
          <w:color w:val="auto"/>
          <w:spacing w:val="0"/>
          <w:kern w:val="0"/>
          <w:sz w:val="34"/>
          <w:szCs w:val="34"/>
          <w:lang w:eastAsia="zh-CN"/>
        </w:rPr>
        <w:t>继续</w:t>
      </w:r>
      <w:r>
        <w:rPr>
          <w:rFonts w:hint="eastAsia" w:ascii="仿宋_GB2312" w:hAnsi="仿宋_GB2312" w:eastAsia="仿宋_GB2312" w:cs="仿宋_GB2312"/>
          <w:color w:val="auto"/>
          <w:spacing w:val="0"/>
          <w:kern w:val="0"/>
          <w:sz w:val="34"/>
          <w:szCs w:val="34"/>
          <w:lang w:val="en-US" w:eastAsia="zh-CN"/>
        </w:rPr>
        <w:t>加强党对法治政府建设的统筹领导</w:t>
      </w:r>
      <w:r>
        <w:rPr>
          <w:rFonts w:hint="default" w:ascii="仿宋_GB2312" w:hAnsi="仿宋_GB2312" w:eastAsia="仿宋_GB2312" w:cs="仿宋_GB2312"/>
          <w:color w:val="auto"/>
          <w:spacing w:val="0"/>
          <w:kern w:val="0"/>
          <w:sz w:val="34"/>
          <w:szCs w:val="34"/>
          <w:lang w:eastAsia="zh-CN"/>
        </w:rPr>
        <w:t>，持续</w:t>
      </w:r>
      <w:r>
        <w:rPr>
          <w:rFonts w:hint="eastAsia" w:ascii="仿宋_GB2312" w:hAnsi="仿宋_GB2312" w:eastAsia="仿宋_GB2312" w:cs="仿宋_GB2312"/>
          <w:color w:val="auto"/>
          <w:spacing w:val="0"/>
          <w:kern w:val="0"/>
          <w:sz w:val="34"/>
          <w:szCs w:val="34"/>
          <w:lang w:val="en-US" w:eastAsia="zh-CN"/>
        </w:rPr>
        <w:t>健全</w:t>
      </w:r>
      <w:r>
        <w:rPr>
          <w:rFonts w:hint="default" w:ascii="仿宋_GB2312" w:hAnsi="仿宋_GB2312" w:eastAsia="仿宋_GB2312" w:cs="仿宋_GB2312"/>
          <w:color w:val="auto"/>
          <w:spacing w:val="0"/>
          <w:kern w:val="0"/>
          <w:sz w:val="34"/>
          <w:szCs w:val="34"/>
          <w:lang w:eastAsia="zh-CN"/>
        </w:rPr>
        <w:t>法治政府建设工作相关</w:t>
      </w:r>
      <w:r>
        <w:rPr>
          <w:rFonts w:hint="eastAsia" w:ascii="仿宋_GB2312" w:hAnsi="仿宋_GB2312" w:eastAsia="仿宋_GB2312" w:cs="仿宋_GB2312"/>
          <w:color w:val="auto"/>
          <w:spacing w:val="0"/>
          <w:kern w:val="0"/>
          <w:sz w:val="34"/>
          <w:szCs w:val="34"/>
          <w:lang w:val="en-US" w:eastAsia="zh-CN"/>
        </w:rPr>
        <w:t>机制，制定年度工作计划，强化党政主要负责人履行推进法治建设第一责任人职责，及时研究解决法治政府建设有关重大问题，为推进法治建设提供组织保障、创造条件</w:t>
      </w:r>
      <w:r>
        <w:rPr>
          <w:rFonts w:hint="eastAsia" w:ascii="仿宋_GB2312" w:hAnsi="仿宋_GB2312" w:eastAsia="仿宋_GB2312" w:cs="仿宋_GB2312"/>
          <w:color w:val="auto"/>
          <w:spacing w:val="8"/>
          <w:kern w:val="0"/>
          <w:sz w:val="34"/>
          <w:szCs w:val="34"/>
          <w:lang w:val="en-US" w:eastAsia="zh-CN"/>
        </w:rPr>
        <w:t>。</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588" w:lineRule="exact"/>
        <w:ind w:firstLine="712" w:firstLineChars="200"/>
        <w:jc w:val="both"/>
        <w:textAlignment w:val="auto"/>
        <w:rPr>
          <w:rFonts w:hint="eastAsia" w:ascii="楷体_GB2312" w:hAnsi="楷体_GB2312" w:eastAsia="楷体_GB2312" w:cs="楷体_GB2312"/>
          <w:color w:val="auto"/>
          <w:spacing w:val="8"/>
          <w:kern w:val="0"/>
          <w:sz w:val="34"/>
          <w:szCs w:val="34"/>
          <w:lang w:eastAsia="zh-CN"/>
        </w:rPr>
      </w:pPr>
      <w:r>
        <w:rPr>
          <w:rFonts w:hint="eastAsia" w:ascii="楷体_GB2312" w:hAnsi="楷体_GB2312" w:eastAsia="楷体_GB2312" w:cs="楷体_GB2312"/>
          <w:color w:val="auto"/>
          <w:spacing w:val="8"/>
          <w:kern w:val="0"/>
          <w:sz w:val="34"/>
          <w:szCs w:val="34"/>
          <w:lang w:eastAsia="zh-CN"/>
        </w:rPr>
        <w:t>抓好法治队伍建设</w:t>
      </w:r>
    </w:p>
    <w:p>
      <w:pPr>
        <w:keepNext w:val="0"/>
        <w:keepLines w:val="0"/>
        <w:pageBreakBefore w:val="0"/>
        <w:widowControl/>
        <w:suppressLineNumbers w:val="0"/>
        <w:kinsoku/>
        <w:wordWrap/>
        <w:overflowPunct/>
        <w:topLinePunct w:val="0"/>
        <w:bidi w:val="0"/>
        <w:snapToGrid/>
        <w:spacing w:line="588" w:lineRule="exact"/>
        <w:ind w:firstLine="680" w:firstLineChars="200"/>
        <w:jc w:val="left"/>
        <w:textAlignment w:val="auto"/>
        <w:rPr>
          <w:rFonts w:hint="default" w:ascii="仿宋_GB2312" w:hAnsi="仿宋_GB2312" w:cs="仿宋_GB2312"/>
          <w:b w:val="0"/>
          <w:bCs w:val="0"/>
          <w:color w:val="auto"/>
          <w:lang w:eastAsia="zh-CN"/>
        </w:rPr>
      </w:pPr>
      <w:r>
        <w:rPr>
          <w:rFonts w:hint="default" w:ascii="仿宋_GB2312" w:hAnsi="仿宋_GB2312" w:cs="仿宋_GB2312"/>
          <w:color w:val="auto"/>
          <w:spacing w:val="0"/>
          <w:kern w:val="0"/>
          <w:sz w:val="34"/>
          <w:szCs w:val="34"/>
          <w:lang w:eastAsia="zh-CN"/>
        </w:rPr>
        <w:t>继续</w:t>
      </w:r>
      <w:r>
        <w:rPr>
          <w:rFonts w:hint="eastAsia" w:ascii="仿宋_GB2312" w:hAnsi="仿宋_GB2312" w:eastAsia="仿宋_GB2312" w:cs="仿宋_GB2312"/>
          <w:color w:val="auto"/>
          <w:spacing w:val="0"/>
          <w:kern w:val="0"/>
          <w:sz w:val="34"/>
          <w:szCs w:val="34"/>
          <w:lang w:val="en-US" w:eastAsia="zh-CN"/>
        </w:rPr>
        <w:t>落实党工委</w:t>
      </w:r>
      <w:r>
        <w:rPr>
          <w:rFonts w:hint="default" w:ascii="仿宋_GB2312" w:hAnsi="仿宋_GB2312" w:eastAsia="仿宋_GB2312" w:cs="仿宋_GB2312"/>
          <w:color w:val="auto"/>
          <w:spacing w:val="0"/>
          <w:kern w:val="0"/>
          <w:sz w:val="34"/>
          <w:szCs w:val="34"/>
          <w:lang w:eastAsia="zh-CN"/>
        </w:rPr>
        <w:t>会、理论学习中心组</w:t>
      </w:r>
      <w:r>
        <w:rPr>
          <w:rFonts w:hint="eastAsia" w:ascii="仿宋_GB2312" w:hAnsi="仿宋_GB2312" w:eastAsia="仿宋_GB2312" w:cs="仿宋_GB2312"/>
          <w:color w:val="auto"/>
          <w:spacing w:val="0"/>
          <w:kern w:val="0"/>
          <w:sz w:val="34"/>
          <w:szCs w:val="34"/>
          <w:lang w:val="en-US" w:eastAsia="zh-CN"/>
        </w:rPr>
        <w:t>学法</w:t>
      </w:r>
      <w:r>
        <w:rPr>
          <w:rFonts w:hint="default" w:ascii="仿宋_GB2312" w:hAnsi="仿宋_GB2312" w:cs="仿宋_GB2312"/>
          <w:color w:val="auto"/>
          <w:spacing w:val="0"/>
          <w:kern w:val="0"/>
          <w:sz w:val="34"/>
          <w:szCs w:val="34"/>
          <w:lang w:eastAsia="zh-CN"/>
        </w:rPr>
        <w:t>工作</w:t>
      </w:r>
      <w:r>
        <w:rPr>
          <w:rFonts w:hint="eastAsia" w:ascii="仿宋_GB2312" w:hAnsi="仿宋_GB2312" w:eastAsia="仿宋_GB2312" w:cs="仿宋_GB2312"/>
          <w:color w:val="auto"/>
          <w:spacing w:val="0"/>
          <w:kern w:val="0"/>
          <w:sz w:val="34"/>
          <w:szCs w:val="34"/>
          <w:lang w:val="en-US" w:eastAsia="zh-CN"/>
        </w:rPr>
        <w:t>，</w:t>
      </w:r>
      <w:r>
        <w:rPr>
          <w:rFonts w:hint="default" w:ascii="Times New Roman" w:hAnsi="Times New Roman" w:eastAsia="仿宋_GB2312" w:cs="Times New Roman"/>
          <w:color w:val="auto"/>
          <w:sz w:val="34"/>
          <w:szCs w:val="34"/>
          <w:lang w:val="en-US" w:eastAsia="zh-CN"/>
        </w:rPr>
        <w:t>加强机关工作人员、行政执法人员依法行政及重要法律知识学习培训</w:t>
      </w:r>
      <w:r>
        <w:rPr>
          <w:rFonts w:hint="eastAsia" w:ascii="仿宋_GB2312" w:hAnsi="仿宋_GB2312" w:eastAsia="仿宋_GB2312" w:cs="仿宋_GB2312"/>
          <w:color w:val="auto"/>
          <w:spacing w:val="0"/>
          <w:kern w:val="0"/>
          <w:sz w:val="34"/>
          <w:szCs w:val="34"/>
          <w:lang w:val="en-US" w:eastAsia="zh-CN"/>
        </w:rPr>
        <w:t>，强化干部队伍法治思维，提高</w:t>
      </w:r>
      <w:r>
        <w:rPr>
          <w:rFonts w:hint="default" w:ascii="仿宋_GB2312" w:hAnsi="仿宋_GB2312" w:cs="仿宋_GB2312"/>
          <w:color w:val="auto"/>
          <w:spacing w:val="0"/>
          <w:kern w:val="0"/>
          <w:sz w:val="34"/>
          <w:szCs w:val="34"/>
          <w:lang w:eastAsia="zh-CN"/>
        </w:rPr>
        <w:t>以</w:t>
      </w:r>
      <w:r>
        <w:rPr>
          <w:rFonts w:hint="eastAsia" w:ascii="仿宋_GB2312" w:hAnsi="仿宋_GB2312" w:eastAsia="仿宋_GB2312" w:cs="仿宋_GB2312"/>
          <w:color w:val="auto"/>
          <w:spacing w:val="0"/>
          <w:kern w:val="0"/>
          <w:sz w:val="34"/>
          <w:szCs w:val="34"/>
          <w:lang w:val="en-US" w:eastAsia="zh-CN"/>
        </w:rPr>
        <w:t>法治方式开展工作的能力。</w:t>
      </w:r>
      <w:r>
        <w:rPr>
          <w:rFonts w:hint="default" w:ascii="仿宋_GB2312" w:hAnsi="仿宋_GB2312" w:cs="仿宋_GB2312"/>
          <w:b w:val="0"/>
          <w:bCs w:val="0"/>
          <w:color w:val="auto"/>
          <w:lang w:eastAsia="zh-CN"/>
        </w:rPr>
        <w:t>优化执法队伍力量和资源配置，规范行政执法管理，持续推行有温度和力度的行政执法行为，为经济社会发展保驾护航。</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588" w:lineRule="exact"/>
        <w:ind w:firstLine="712" w:firstLineChars="200"/>
        <w:jc w:val="both"/>
        <w:textAlignment w:val="auto"/>
        <w:rPr>
          <w:rFonts w:hint="eastAsia" w:ascii="楷体_GB2312" w:hAnsi="楷体_GB2312" w:eastAsia="楷体_GB2312" w:cs="楷体_GB2312"/>
          <w:color w:val="auto"/>
          <w:spacing w:val="8"/>
          <w:kern w:val="0"/>
          <w:sz w:val="34"/>
          <w:szCs w:val="34"/>
          <w:lang w:val="en-US" w:eastAsia="zh-CN"/>
        </w:rPr>
      </w:pPr>
      <w:r>
        <w:rPr>
          <w:rFonts w:hint="eastAsia" w:ascii="楷体_GB2312" w:hAnsi="楷体_GB2312" w:eastAsia="楷体_GB2312" w:cs="楷体_GB2312"/>
          <w:color w:val="auto"/>
          <w:spacing w:val="8"/>
          <w:kern w:val="0"/>
          <w:sz w:val="34"/>
          <w:szCs w:val="34"/>
          <w:lang w:eastAsia="zh-CN"/>
        </w:rPr>
        <w:t>推进</w:t>
      </w:r>
      <w:r>
        <w:rPr>
          <w:rFonts w:hint="eastAsia" w:ascii="楷体_GB2312" w:hAnsi="楷体_GB2312" w:eastAsia="楷体_GB2312" w:cs="楷体_GB2312"/>
          <w:color w:val="auto"/>
          <w:spacing w:val="8"/>
          <w:kern w:val="0"/>
          <w:sz w:val="34"/>
          <w:szCs w:val="34"/>
          <w:lang w:val="en-US" w:eastAsia="zh-CN"/>
        </w:rPr>
        <w:t>普法宣传</w:t>
      </w:r>
      <w:r>
        <w:rPr>
          <w:rFonts w:hint="eastAsia" w:ascii="楷体_GB2312" w:hAnsi="楷体_GB2312" w:eastAsia="楷体_GB2312" w:cs="楷体_GB2312"/>
          <w:color w:val="auto"/>
          <w:spacing w:val="8"/>
          <w:kern w:val="0"/>
          <w:sz w:val="34"/>
          <w:szCs w:val="34"/>
          <w:lang w:eastAsia="zh-CN"/>
        </w:rPr>
        <w:t>教育</w:t>
      </w:r>
    </w:p>
    <w:p>
      <w:pPr>
        <w:keepNext w:val="0"/>
        <w:keepLines w:val="0"/>
        <w:pageBreakBefore w:val="0"/>
        <w:widowControl/>
        <w:suppressLineNumbers w:val="0"/>
        <w:kinsoku/>
        <w:wordWrap/>
        <w:overflowPunct/>
        <w:topLinePunct w:val="0"/>
        <w:bidi w:val="0"/>
        <w:snapToGrid/>
        <w:spacing w:line="588" w:lineRule="exact"/>
        <w:ind w:firstLine="680" w:firstLineChars="200"/>
        <w:jc w:val="both"/>
        <w:textAlignment w:val="auto"/>
        <w:rPr>
          <w:rFonts w:hint="eastAsia" w:ascii="仿宋_GB2312" w:hAnsi="仿宋_GB2312" w:eastAsia="仿宋_GB2312" w:cs="仿宋_GB2312"/>
          <w:color w:val="auto"/>
          <w:spacing w:val="0"/>
          <w:kern w:val="0"/>
          <w:sz w:val="34"/>
          <w:szCs w:val="34"/>
          <w:lang w:eastAsia="zh-CN"/>
        </w:rPr>
      </w:pPr>
      <w:r>
        <w:rPr>
          <w:rFonts w:hint="default" w:ascii="仿宋_GB2312" w:hAnsi="仿宋_GB2312" w:cs="仿宋_GB2312"/>
          <w:color w:val="auto"/>
          <w:spacing w:val="0"/>
          <w:kern w:val="0"/>
          <w:sz w:val="34"/>
          <w:szCs w:val="34"/>
          <w:lang w:eastAsia="zh-CN"/>
        </w:rPr>
        <w:t>落实</w:t>
      </w:r>
      <w:r>
        <w:rPr>
          <w:rFonts w:hint="eastAsia" w:ascii="仿宋_GB2312" w:hAnsi="仿宋_GB2312" w:eastAsia="仿宋_GB2312" w:cs="仿宋_GB2312"/>
          <w:color w:val="auto"/>
          <w:spacing w:val="0"/>
          <w:kern w:val="0"/>
          <w:sz w:val="34"/>
          <w:szCs w:val="34"/>
          <w:lang w:val="en-US" w:eastAsia="zh-CN"/>
        </w:rPr>
        <w:t>“八五”普法工作安排，创新、拓展普法宣传方式和途径，</w:t>
      </w:r>
      <w:r>
        <w:rPr>
          <w:rFonts w:hint="eastAsia" w:ascii="仿宋_GB2312" w:hAnsi="仿宋_GB2312" w:eastAsia="仿宋_GB2312" w:cs="仿宋_GB2312"/>
          <w:color w:val="auto"/>
          <w:spacing w:val="0"/>
          <w:kern w:val="0"/>
          <w:sz w:val="34"/>
          <w:szCs w:val="34"/>
          <w:lang w:eastAsia="zh-CN"/>
        </w:rPr>
        <w:t>持续</w:t>
      </w:r>
      <w:r>
        <w:rPr>
          <w:rFonts w:hint="eastAsia" w:ascii="仿宋_GB2312" w:hAnsi="仿宋_GB2312" w:eastAsia="仿宋_GB2312" w:cs="仿宋_GB2312"/>
          <w:color w:val="auto"/>
          <w:spacing w:val="0"/>
          <w:kern w:val="0"/>
          <w:sz w:val="34"/>
          <w:szCs w:val="34"/>
          <w:lang w:val="en-US" w:eastAsia="zh-CN"/>
        </w:rPr>
        <w:t>推动落实“谁执法谁普法”普法责任制，结合重要节点开展系列法治宣传活动，夯实基层法治基础，加大排解、调处矛盾纠纷力度，充分发挥社会法律顾问、公职律师等法律援助作用，营造良好</w:t>
      </w:r>
      <w:r>
        <w:rPr>
          <w:rFonts w:hint="eastAsia" w:ascii="仿宋_GB2312" w:hAnsi="仿宋_GB2312" w:eastAsia="仿宋_GB2312" w:cs="仿宋_GB2312"/>
          <w:color w:val="auto"/>
          <w:spacing w:val="0"/>
          <w:kern w:val="0"/>
          <w:sz w:val="34"/>
          <w:szCs w:val="34"/>
          <w:lang w:eastAsia="zh-CN"/>
        </w:rPr>
        <w:t>的</w:t>
      </w:r>
      <w:r>
        <w:rPr>
          <w:rFonts w:hint="eastAsia" w:ascii="仿宋_GB2312" w:hAnsi="仿宋_GB2312" w:eastAsia="仿宋_GB2312" w:cs="仿宋_GB2312"/>
          <w:color w:val="auto"/>
          <w:spacing w:val="0"/>
          <w:kern w:val="0"/>
          <w:sz w:val="34"/>
          <w:szCs w:val="34"/>
          <w:lang w:val="en-US" w:eastAsia="zh-CN"/>
        </w:rPr>
        <w:t>法治</w:t>
      </w:r>
      <w:r>
        <w:rPr>
          <w:rFonts w:hint="eastAsia" w:ascii="仿宋_GB2312" w:hAnsi="仿宋_GB2312" w:eastAsia="仿宋_GB2312" w:cs="仿宋_GB2312"/>
          <w:color w:val="auto"/>
          <w:spacing w:val="0"/>
          <w:kern w:val="0"/>
          <w:sz w:val="34"/>
          <w:szCs w:val="34"/>
          <w:lang w:eastAsia="zh-CN"/>
        </w:rPr>
        <w:t>环境。</w:t>
      </w:r>
    </w:p>
    <w:p>
      <w:pPr>
        <w:rPr>
          <w:rFonts w:hint="eastAsia"/>
          <w:color w:val="auto"/>
          <w:lang w:val="en-US" w:eastAsia="zh-CN"/>
        </w:rPr>
      </w:pPr>
    </w:p>
    <w:p>
      <w:pPr>
        <w:pStyle w:val="2"/>
        <w:rPr>
          <w:rFonts w:hint="eastAsia"/>
          <w:color w:val="auto"/>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2314" w:firstLineChars="650"/>
        <w:textAlignment w:val="auto"/>
        <w:rPr>
          <w:rFonts w:hint="eastAsia" w:ascii="仿宋_GB2312" w:hAnsi="仿宋_GB2312" w:eastAsia="仿宋_GB2312" w:cs="仿宋_GB2312"/>
          <w:b/>
          <w:bCs/>
          <w:color w:val="auto"/>
          <w:spacing w:val="8"/>
          <w:kern w:val="0"/>
          <w:sz w:val="34"/>
          <w:szCs w:val="34"/>
          <w:lang w:eastAsia="zh-CN" w:bidi="ar-SA"/>
        </w:rPr>
      </w:pPr>
      <w:r>
        <w:rPr>
          <w:rFonts w:hint="eastAsia" w:ascii="仿宋_GB2312" w:hAnsi="仿宋_GB2312" w:eastAsia="仿宋_GB2312" w:cs="仿宋_GB2312"/>
          <w:color w:val="auto"/>
          <w:spacing w:val="8"/>
          <w:kern w:val="0"/>
          <w:sz w:val="34"/>
          <w:szCs w:val="34"/>
          <w:lang w:eastAsia="zh-CN"/>
        </w:rPr>
        <w:t>中共天津市南开区委华苑街道工作委员会</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3026" w:firstLineChars="850"/>
        <w:textAlignment w:val="auto"/>
        <w:rPr>
          <w:rFonts w:hint="default" w:ascii="仿宋_GB2312" w:hAnsi="仿宋_GB2312" w:eastAsia="仿宋_GB2312" w:cs="仿宋_GB2312"/>
          <w:color w:val="auto"/>
          <w:spacing w:val="8"/>
          <w:kern w:val="0"/>
          <w:sz w:val="34"/>
          <w:szCs w:val="34"/>
          <w:lang w:eastAsia="zh-CN"/>
        </w:rPr>
      </w:pPr>
      <w:r>
        <w:rPr>
          <w:rFonts w:hint="eastAsia" w:ascii="仿宋_GB2312" w:hAnsi="仿宋_GB2312" w:eastAsia="仿宋_GB2312" w:cs="仿宋_GB2312"/>
          <w:color w:val="auto"/>
          <w:spacing w:val="8"/>
          <w:kern w:val="0"/>
          <w:sz w:val="34"/>
          <w:szCs w:val="34"/>
          <w:lang w:val="en-US" w:eastAsia="zh-CN"/>
        </w:rPr>
        <w:t>南开区</w:t>
      </w:r>
      <w:r>
        <w:rPr>
          <w:rFonts w:hint="eastAsia" w:ascii="仿宋_GB2312" w:hAnsi="仿宋_GB2312" w:eastAsia="仿宋_GB2312" w:cs="仿宋_GB2312"/>
          <w:color w:val="auto"/>
          <w:spacing w:val="8"/>
          <w:kern w:val="0"/>
          <w:sz w:val="34"/>
          <w:szCs w:val="34"/>
          <w:lang w:eastAsia="zh-CN"/>
        </w:rPr>
        <w:t>人民政府华苑街道办事</w:t>
      </w:r>
      <w:r>
        <w:rPr>
          <w:rFonts w:hint="default" w:ascii="仿宋_GB2312" w:hAnsi="仿宋_GB2312" w:eastAsia="仿宋_GB2312" w:cs="仿宋_GB2312"/>
          <w:color w:val="auto"/>
          <w:spacing w:val="8"/>
          <w:kern w:val="0"/>
          <w:sz w:val="34"/>
          <w:szCs w:val="34"/>
          <w:lang w:eastAsia="zh-CN"/>
        </w:rPr>
        <w:t>处</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984" w:firstLineChars="1400"/>
        <w:textAlignment w:val="auto"/>
        <w:rPr>
          <w:rFonts w:hint="default" w:ascii="仿宋" w:hAnsi="仿宋" w:eastAsia="仿宋" w:cs="Arial"/>
          <w:b w:val="0"/>
          <w:bCs w:val="0"/>
          <w:color w:val="auto"/>
          <w:spacing w:val="8"/>
          <w:kern w:val="0"/>
          <w:sz w:val="34"/>
          <w:szCs w:val="34"/>
          <w:lang w:val="en-US" w:eastAsia="zh-CN"/>
        </w:rPr>
      </w:pPr>
      <w:r>
        <w:rPr>
          <w:rFonts w:hint="default" w:ascii="Times New Roman" w:hAnsi="Times New Roman" w:eastAsia="仿宋_GB2312" w:cs="Times New Roman"/>
          <w:b w:val="0"/>
          <w:bCs w:val="0"/>
          <w:color w:val="auto"/>
          <w:spacing w:val="8"/>
          <w:kern w:val="0"/>
          <w:sz w:val="34"/>
          <w:szCs w:val="34"/>
          <w:lang w:eastAsia="zh-CN" w:bidi="ar-SA"/>
        </w:rPr>
        <w:t>2024</w:t>
      </w:r>
      <w:r>
        <w:rPr>
          <w:rFonts w:hint="default" w:ascii="Times New Roman" w:hAnsi="Times New Roman" w:eastAsia="仿宋_GB2312" w:cs="Times New Roman"/>
          <w:b w:val="0"/>
          <w:bCs w:val="0"/>
          <w:color w:val="auto"/>
          <w:spacing w:val="8"/>
          <w:kern w:val="0"/>
          <w:sz w:val="34"/>
          <w:szCs w:val="34"/>
          <w:lang w:val="en-US" w:eastAsia="zh-CN"/>
        </w:rPr>
        <w:t>年</w:t>
      </w:r>
      <w:r>
        <w:rPr>
          <w:rFonts w:hint="default" w:ascii="Times New Roman" w:hAnsi="Times New Roman" w:eastAsia="仿宋_GB2312" w:cs="Times New Roman"/>
          <w:b w:val="0"/>
          <w:bCs w:val="0"/>
          <w:color w:val="auto"/>
          <w:spacing w:val="8"/>
          <w:kern w:val="0"/>
          <w:sz w:val="34"/>
          <w:szCs w:val="34"/>
          <w:lang w:eastAsia="zh-CN" w:bidi="ar-SA"/>
        </w:rPr>
        <w:t>1</w:t>
      </w:r>
      <w:r>
        <w:rPr>
          <w:rFonts w:hint="default" w:ascii="Times New Roman" w:hAnsi="Times New Roman" w:eastAsia="仿宋_GB2312" w:cs="Times New Roman"/>
          <w:b w:val="0"/>
          <w:bCs w:val="0"/>
          <w:color w:val="auto"/>
          <w:spacing w:val="8"/>
          <w:kern w:val="0"/>
          <w:sz w:val="34"/>
          <w:szCs w:val="34"/>
          <w:lang w:val="en-US" w:eastAsia="zh-CN"/>
        </w:rPr>
        <w:t>月</w:t>
      </w:r>
      <w:r>
        <w:rPr>
          <w:rFonts w:hint="default" w:ascii="Times New Roman" w:hAnsi="Times New Roman" w:eastAsia="仿宋_GB2312" w:cs="Times New Roman"/>
          <w:b w:val="0"/>
          <w:bCs w:val="0"/>
          <w:color w:val="auto"/>
          <w:spacing w:val="8"/>
          <w:kern w:val="0"/>
          <w:sz w:val="34"/>
          <w:szCs w:val="34"/>
          <w:lang w:eastAsia="zh-CN" w:bidi="ar-SA"/>
        </w:rPr>
        <w:t>2</w:t>
      </w:r>
      <w:r>
        <w:rPr>
          <w:rFonts w:hint="default" w:ascii="Times New Roman" w:hAnsi="Times New Roman" w:eastAsia="仿宋_GB2312" w:cs="Times New Roman"/>
          <w:b w:val="0"/>
          <w:bCs w:val="0"/>
          <w:color w:val="auto"/>
          <w:spacing w:val="8"/>
          <w:kern w:val="0"/>
          <w:sz w:val="34"/>
          <w:szCs w:val="34"/>
          <w:lang w:val="en-US" w:eastAsia="zh-CN"/>
        </w:rPr>
        <w:t>日</w:t>
      </w:r>
    </w:p>
    <w:sectPr>
      <w:footerReference r:id="rId3" w:type="default"/>
      <w:pgSz w:w="11906" w:h="16838"/>
      <w:pgMar w:top="2041" w:right="1559" w:bottom="1701" w:left="1559" w:header="851" w:footer="14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340" w:leftChars="100" w:right="340" w:rightChars="100"/>
                            <w:textAlignment w:val="auto"/>
                            <w:rPr>
                              <w:rFonts w:hint="eastAsia" w:eastAsia="仿宋_GB2312"/>
                              <w:sz w:val="28"/>
                              <w:szCs w:val="28"/>
                              <w:lang w:val="en-US" w:eastAsia="zh-CN"/>
                            </w:rPr>
                          </w:pPr>
                          <w:r>
                            <w:rPr>
                              <w:rFonts w:hint="eastAsia" w:ascii="SimSun" w:hAnsi="SimSun" w:eastAsia="SimSun" w:cs="SimSun"/>
                              <w:sz w:val="28"/>
                              <w:szCs w:val="28"/>
                            </w:rPr>
                            <w:t>—</w:t>
                          </w:r>
                          <w:r>
                            <w:rPr>
                              <w:rFonts w:hint="eastAsia" w:ascii="SimSun" w:hAnsi="SimSun" w:eastAsia="SimSun" w:cs="SimSun"/>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SimSun" w:hAnsi="SimSun" w:eastAsia="SimSun" w:cs="SimSun"/>
                              <w:sz w:val="28"/>
                              <w:szCs w:val="28"/>
                            </w:rPr>
                            <w:t>—</w:t>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40" w:leftChars="100" w:right="340" w:rightChars="100"/>
                      <w:textAlignment w:val="auto"/>
                      <w:rPr>
                        <w:rFonts w:hint="eastAsia" w:eastAsia="仿宋_GB2312"/>
                        <w:sz w:val="28"/>
                        <w:szCs w:val="28"/>
                        <w:lang w:val="en-US" w:eastAsia="zh-CN"/>
                      </w:rPr>
                    </w:pPr>
                    <w:r>
                      <w:rPr>
                        <w:rFonts w:hint="eastAsia" w:ascii="SimSun" w:hAnsi="SimSun" w:eastAsia="SimSun" w:cs="SimSun"/>
                        <w:sz w:val="28"/>
                        <w:szCs w:val="28"/>
                      </w:rPr>
                      <w:t>—</w:t>
                    </w:r>
                    <w:r>
                      <w:rPr>
                        <w:rFonts w:hint="eastAsia" w:ascii="SimSun" w:hAnsi="SimSun" w:eastAsia="SimSun" w:cs="SimSun"/>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SimSun" w:hAnsi="SimSun" w:eastAsia="SimSun" w:cs="SimSun"/>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15875</wp:posOffset>
              </wp:positionV>
              <wp:extent cx="296545" cy="408940"/>
              <wp:effectExtent l="0" t="0" r="0" b="0"/>
              <wp:wrapNone/>
              <wp:docPr id="1" name="文本框 1050"/>
              <wp:cNvGraphicFramePr/>
              <a:graphic xmlns:a="http://schemas.openxmlformats.org/drawingml/2006/main">
                <a:graphicData uri="http://schemas.microsoft.com/office/word/2010/wordprocessingShape">
                  <wps:wsp>
                    <wps:cNvSpPr txBox="1"/>
                    <wps:spPr>
                      <a:xfrm>
                        <a:off x="0" y="0"/>
                        <a:ext cx="296545" cy="408940"/>
                      </a:xfrm>
                      <a:prstGeom prst="rect">
                        <a:avLst/>
                      </a:prstGeom>
                      <a:noFill/>
                      <a:ln>
                        <a:noFill/>
                      </a:ln>
                    </wps:spPr>
                    <wps:txbx>
                      <w:txbxContent>
                        <w:p>
                          <w:pPr>
                            <w:pStyle w:val="9"/>
                            <w:rPr>
                              <w:rFonts w:hint="eastAsia"/>
                            </w:rPr>
                          </w:pPr>
                        </w:p>
                      </w:txbxContent>
                    </wps:txbx>
                    <wps:bodyPr wrap="none" lIns="0" tIns="0" rIns="0" bIns="0" upright="0">
                      <a:spAutoFit/>
                    </wps:bodyPr>
                  </wps:wsp>
                </a:graphicData>
              </a:graphic>
            </wp:anchor>
          </w:drawing>
        </mc:Choice>
        <mc:Fallback>
          <w:pict>
            <v:shape id="文本框 1050" o:spid="_x0000_s1026" o:spt="202" type="#_x0000_t202" style="position:absolute;left:0pt;margin-left:0pt;margin-top:1.25pt;height:32.2pt;width:23.35pt;mso-position-horizontal-relative:margin;mso-wrap-style:none;z-index:251659264;mso-width-relative:page;mso-height-relative:page;" filled="f" stroked="f" coordsize="21600,21600" o:gfxdata="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BQAAAAIAIdO4kBX&#10;DmZ20gAAAAQBAAAPAAAAAAAAAAEAIAAAADgAAABkcnMvZG93bnJldi54bWxQSwECFAAUAAAACACH&#10;TuJAf+NFx88BAACaAwAADgAAAAAAAAABACAAAAA3AQAAZHJzL2Uyb0RvYy54bWxQSwECFAAKAAAA&#10;AACHTuJAAAAAAAAAAAAAAAAABAAAAAAAAAAAABAAAAAWAAAAZHJzL1BLAQIUAAoAAAAAAIdO4kAA&#10;AAAAAAAAAAAAAAAGAAAAAAAAAAAAEAAAADIDAABfcmVscy9QSwUGAAAAAAYABgBZAQAAeAU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AA413"/>
    <w:multiLevelType w:val="singleLevel"/>
    <w:tmpl w:val="DFBAA413"/>
    <w:lvl w:ilvl="0" w:tentative="0">
      <w:start w:val="1"/>
      <w:numFmt w:val="chineseCounting"/>
      <w:suff w:val="nothing"/>
      <w:lvlText w:val="（%1）"/>
      <w:lvlJc w:val="left"/>
      <w:rPr>
        <w:rFonts w:hint="eastAsia"/>
      </w:rPr>
    </w:lvl>
  </w:abstractNum>
  <w:abstractNum w:abstractNumId="1">
    <w:nsid w:val="EC8C5F6F"/>
    <w:multiLevelType w:val="singleLevel"/>
    <w:tmpl w:val="EC8C5F6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4389"/>
  <w:drawingGridVerticalSpacing w:val="39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8E"/>
    <w:rsid w:val="00007601"/>
    <w:rsid w:val="000109DD"/>
    <w:rsid w:val="000113B9"/>
    <w:rsid w:val="00013B20"/>
    <w:rsid w:val="000149AC"/>
    <w:rsid w:val="0001589F"/>
    <w:rsid w:val="00015903"/>
    <w:rsid w:val="00021AA5"/>
    <w:rsid w:val="00023AB4"/>
    <w:rsid w:val="00023C5C"/>
    <w:rsid w:val="00025A0A"/>
    <w:rsid w:val="00025B2F"/>
    <w:rsid w:val="000307F8"/>
    <w:rsid w:val="000360A6"/>
    <w:rsid w:val="00037F9A"/>
    <w:rsid w:val="000427F6"/>
    <w:rsid w:val="00044072"/>
    <w:rsid w:val="0004473D"/>
    <w:rsid w:val="00044B65"/>
    <w:rsid w:val="00045C81"/>
    <w:rsid w:val="0005052E"/>
    <w:rsid w:val="000523A9"/>
    <w:rsid w:val="000524F3"/>
    <w:rsid w:val="00053A57"/>
    <w:rsid w:val="000553F7"/>
    <w:rsid w:val="00060416"/>
    <w:rsid w:val="00064D0D"/>
    <w:rsid w:val="000676C9"/>
    <w:rsid w:val="00073B61"/>
    <w:rsid w:val="000773F6"/>
    <w:rsid w:val="00077D49"/>
    <w:rsid w:val="00080F2F"/>
    <w:rsid w:val="000822DA"/>
    <w:rsid w:val="00084155"/>
    <w:rsid w:val="00092D6C"/>
    <w:rsid w:val="00095D9C"/>
    <w:rsid w:val="00096ADE"/>
    <w:rsid w:val="000A135F"/>
    <w:rsid w:val="000B1E38"/>
    <w:rsid w:val="000B3BF9"/>
    <w:rsid w:val="000C1F00"/>
    <w:rsid w:val="000C37ED"/>
    <w:rsid w:val="000D00AA"/>
    <w:rsid w:val="000D04AB"/>
    <w:rsid w:val="000D1046"/>
    <w:rsid w:val="000D3674"/>
    <w:rsid w:val="000D67B9"/>
    <w:rsid w:val="000D7A30"/>
    <w:rsid w:val="000D7D25"/>
    <w:rsid w:val="000E0C0A"/>
    <w:rsid w:val="000E32F2"/>
    <w:rsid w:val="000E7308"/>
    <w:rsid w:val="000E7881"/>
    <w:rsid w:val="001010F3"/>
    <w:rsid w:val="00106DB7"/>
    <w:rsid w:val="00114889"/>
    <w:rsid w:val="001151E9"/>
    <w:rsid w:val="00117B03"/>
    <w:rsid w:val="00117C69"/>
    <w:rsid w:val="00121A3F"/>
    <w:rsid w:val="001225E4"/>
    <w:rsid w:val="0012290B"/>
    <w:rsid w:val="00122D68"/>
    <w:rsid w:val="00131092"/>
    <w:rsid w:val="00135D7B"/>
    <w:rsid w:val="00136C22"/>
    <w:rsid w:val="00142275"/>
    <w:rsid w:val="001431FB"/>
    <w:rsid w:val="00145FB8"/>
    <w:rsid w:val="00151AF7"/>
    <w:rsid w:val="00155562"/>
    <w:rsid w:val="00156167"/>
    <w:rsid w:val="001563DC"/>
    <w:rsid w:val="00164B8F"/>
    <w:rsid w:val="00167B43"/>
    <w:rsid w:val="00170BB1"/>
    <w:rsid w:val="00170F15"/>
    <w:rsid w:val="00172578"/>
    <w:rsid w:val="0017278F"/>
    <w:rsid w:val="00174144"/>
    <w:rsid w:val="00177537"/>
    <w:rsid w:val="00181BAB"/>
    <w:rsid w:val="00181BF1"/>
    <w:rsid w:val="001877B1"/>
    <w:rsid w:val="00193C49"/>
    <w:rsid w:val="00194200"/>
    <w:rsid w:val="001956E4"/>
    <w:rsid w:val="001A3E7B"/>
    <w:rsid w:val="001A6826"/>
    <w:rsid w:val="001A68FD"/>
    <w:rsid w:val="001B1C9E"/>
    <w:rsid w:val="001B74F9"/>
    <w:rsid w:val="001C0449"/>
    <w:rsid w:val="001C12B2"/>
    <w:rsid w:val="001C158C"/>
    <w:rsid w:val="001C3A82"/>
    <w:rsid w:val="001D04FA"/>
    <w:rsid w:val="001D46CD"/>
    <w:rsid w:val="001D5193"/>
    <w:rsid w:val="001D563C"/>
    <w:rsid w:val="001D6387"/>
    <w:rsid w:val="001E582B"/>
    <w:rsid w:val="001F0F17"/>
    <w:rsid w:val="001F2A32"/>
    <w:rsid w:val="001F2BF6"/>
    <w:rsid w:val="001F3ED0"/>
    <w:rsid w:val="001F4910"/>
    <w:rsid w:val="001F6986"/>
    <w:rsid w:val="001F7EB8"/>
    <w:rsid w:val="002014CF"/>
    <w:rsid w:val="00202B60"/>
    <w:rsid w:val="00205734"/>
    <w:rsid w:val="0020780F"/>
    <w:rsid w:val="002079DE"/>
    <w:rsid w:val="00220212"/>
    <w:rsid w:val="00223EF5"/>
    <w:rsid w:val="00225E5A"/>
    <w:rsid w:val="00227691"/>
    <w:rsid w:val="002321EC"/>
    <w:rsid w:val="00241CEF"/>
    <w:rsid w:val="0024325E"/>
    <w:rsid w:val="00243445"/>
    <w:rsid w:val="00244299"/>
    <w:rsid w:val="0024429A"/>
    <w:rsid w:val="00244920"/>
    <w:rsid w:val="00252E15"/>
    <w:rsid w:val="00254AD7"/>
    <w:rsid w:val="00254ED6"/>
    <w:rsid w:val="0026012F"/>
    <w:rsid w:val="00267CBC"/>
    <w:rsid w:val="00270ACA"/>
    <w:rsid w:val="0027239E"/>
    <w:rsid w:val="002733B5"/>
    <w:rsid w:val="0027359D"/>
    <w:rsid w:val="002832A3"/>
    <w:rsid w:val="002848AF"/>
    <w:rsid w:val="002930CD"/>
    <w:rsid w:val="00297CF1"/>
    <w:rsid w:val="002A0491"/>
    <w:rsid w:val="002A5467"/>
    <w:rsid w:val="002A5A76"/>
    <w:rsid w:val="002C3DB7"/>
    <w:rsid w:val="002C48AD"/>
    <w:rsid w:val="002C52F1"/>
    <w:rsid w:val="002D2E1C"/>
    <w:rsid w:val="002D70B5"/>
    <w:rsid w:val="002E09F9"/>
    <w:rsid w:val="002F1CEA"/>
    <w:rsid w:val="002F3C5F"/>
    <w:rsid w:val="003002EE"/>
    <w:rsid w:val="00300E98"/>
    <w:rsid w:val="003041C1"/>
    <w:rsid w:val="003115D2"/>
    <w:rsid w:val="00313255"/>
    <w:rsid w:val="003134E1"/>
    <w:rsid w:val="003203C8"/>
    <w:rsid w:val="003249D3"/>
    <w:rsid w:val="00330D4E"/>
    <w:rsid w:val="003312CB"/>
    <w:rsid w:val="0033495A"/>
    <w:rsid w:val="00337473"/>
    <w:rsid w:val="003404BD"/>
    <w:rsid w:val="00341735"/>
    <w:rsid w:val="0034201F"/>
    <w:rsid w:val="00343BEC"/>
    <w:rsid w:val="00353D58"/>
    <w:rsid w:val="00355E3D"/>
    <w:rsid w:val="00356A7C"/>
    <w:rsid w:val="003606D4"/>
    <w:rsid w:val="0036181A"/>
    <w:rsid w:val="003644A0"/>
    <w:rsid w:val="00366C87"/>
    <w:rsid w:val="00374A1F"/>
    <w:rsid w:val="003761E2"/>
    <w:rsid w:val="003871EC"/>
    <w:rsid w:val="0039516F"/>
    <w:rsid w:val="003A2702"/>
    <w:rsid w:val="003A2B28"/>
    <w:rsid w:val="003A2D69"/>
    <w:rsid w:val="003A3A6B"/>
    <w:rsid w:val="003A4B7E"/>
    <w:rsid w:val="003B0B0A"/>
    <w:rsid w:val="003C0392"/>
    <w:rsid w:val="003C1B99"/>
    <w:rsid w:val="003C3CCB"/>
    <w:rsid w:val="003C4172"/>
    <w:rsid w:val="003E5D07"/>
    <w:rsid w:val="003F213C"/>
    <w:rsid w:val="003F5811"/>
    <w:rsid w:val="003F7496"/>
    <w:rsid w:val="004076F0"/>
    <w:rsid w:val="0041154D"/>
    <w:rsid w:val="00411716"/>
    <w:rsid w:val="004131E2"/>
    <w:rsid w:val="004155FE"/>
    <w:rsid w:val="00415AA9"/>
    <w:rsid w:val="00417540"/>
    <w:rsid w:val="004201D3"/>
    <w:rsid w:val="00427B40"/>
    <w:rsid w:val="00427F3A"/>
    <w:rsid w:val="00431D1E"/>
    <w:rsid w:val="004333BC"/>
    <w:rsid w:val="00436B9D"/>
    <w:rsid w:val="00442FF3"/>
    <w:rsid w:val="0044374A"/>
    <w:rsid w:val="00445277"/>
    <w:rsid w:val="00451691"/>
    <w:rsid w:val="00455F45"/>
    <w:rsid w:val="004631E6"/>
    <w:rsid w:val="004646D7"/>
    <w:rsid w:val="00466955"/>
    <w:rsid w:val="00472D2C"/>
    <w:rsid w:val="0048078C"/>
    <w:rsid w:val="00481040"/>
    <w:rsid w:val="00482A22"/>
    <w:rsid w:val="00482DB9"/>
    <w:rsid w:val="0048571B"/>
    <w:rsid w:val="00492018"/>
    <w:rsid w:val="004931FB"/>
    <w:rsid w:val="00493688"/>
    <w:rsid w:val="00493F0C"/>
    <w:rsid w:val="00494FA4"/>
    <w:rsid w:val="00495D16"/>
    <w:rsid w:val="00496593"/>
    <w:rsid w:val="004A00EF"/>
    <w:rsid w:val="004B188F"/>
    <w:rsid w:val="004B1C78"/>
    <w:rsid w:val="004B2069"/>
    <w:rsid w:val="004B7CEB"/>
    <w:rsid w:val="004B7ED1"/>
    <w:rsid w:val="004C22A9"/>
    <w:rsid w:val="004D7613"/>
    <w:rsid w:val="004D7E0E"/>
    <w:rsid w:val="004E3019"/>
    <w:rsid w:val="004F1D7A"/>
    <w:rsid w:val="004F6AF9"/>
    <w:rsid w:val="005014C8"/>
    <w:rsid w:val="00502127"/>
    <w:rsid w:val="005056E8"/>
    <w:rsid w:val="005115D6"/>
    <w:rsid w:val="005204B9"/>
    <w:rsid w:val="005220CE"/>
    <w:rsid w:val="00522870"/>
    <w:rsid w:val="00522921"/>
    <w:rsid w:val="00522D61"/>
    <w:rsid w:val="005303B5"/>
    <w:rsid w:val="00534495"/>
    <w:rsid w:val="005358E9"/>
    <w:rsid w:val="00537FE1"/>
    <w:rsid w:val="0054221C"/>
    <w:rsid w:val="005461B3"/>
    <w:rsid w:val="00547690"/>
    <w:rsid w:val="00551241"/>
    <w:rsid w:val="005547C9"/>
    <w:rsid w:val="00560BFD"/>
    <w:rsid w:val="00561D58"/>
    <w:rsid w:val="00562479"/>
    <w:rsid w:val="00566623"/>
    <w:rsid w:val="00577CE6"/>
    <w:rsid w:val="00582C18"/>
    <w:rsid w:val="005850B0"/>
    <w:rsid w:val="005864A8"/>
    <w:rsid w:val="005922DB"/>
    <w:rsid w:val="00596DAC"/>
    <w:rsid w:val="00597E86"/>
    <w:rsid w:val="005A18EA"/>
    <w:rsid w:val="005A3927"/>
    <w:rsid w:val="005A6B6A"/>
    <w:rsid w:val="005A6D2E"/>
    <w:rsid w:val="005B10B6"/>
    <w:rsid w:val="005B3330"/>
    <w:rsid w:val="005B3753"/>
    <w:rsid w:val="005B5424"/>
    <w:rsid w:val="005C64A5"/>
    <w:rsid w:val="005D0D19"/>
    <w:rsid w:val="005D4668"/>
    <w:rsid w:val="005D690C"/>
    <w:rsid w:val="005E76F7"/>
    <w:rsid w:val="005E7806"/>
    <w:rsid w:val="005F0305"/>
    <w:rsid w:val="005F358E"/>
    <w:rsid w:val="005F5CA9"/>
    <w:rsid w:val="005F6603"/>
    <w:rsid w:val="00613C8E"/>
    <w:rsid w:val="00614553"/>
    <w:rsid w:val="00621D3D"/>
    <w:rsid w:val="00624B9B"/>
    <w:rsid w:val="00627CD3"/>
    <w:rsid w:val="00632A18"/>
    <w:rsid w:val="0063456B"/>
    <w:rsid w:val="00635741"/>
    <w:rsid w:val="00636E61"/>
    <w:rsid w:val="0064551A"/>
    <w:rsid w:val="00647263"/>
    <w:rsid w:val="0064750C"/>
    <w:rsid w:val="00647C04"/>
    <w:rsid w:val="00653E2B"/>
    <w:rsid w:val="00655DD5"/>
    <w:rsid w:val="006564CB"/>
    <w:rsid w:val="0066539B"/>
    <w:rsid w:val="00665A0B"/>
    <w:rsid w:val="00673ED5"/>
    <w:rsid w:val="00676FA5"/>
    <w:rsid w:val="00682B72"/>
    <w:rsid w:val="006863DE"/>
    <w:rsid w:val="00691D27"/>
    <w:rsid w:val="00695EF5"/>
    <w:rsid w:val="006975C3"/>
    <w:rsid w:val="006A53D9"/>
    <w:rsid w:val="006B268E"/>
    <w:rsid w:val="006B3782"/>
    <w:rsid w:val="006B57F8"/>
    <w:rsid w:val="006B6830"/>
    <w:rsid w:val="006C3E34"/>
    <w:rsid w:val="006D0DF3"/>
    <w:rsid w:val="006D5DEE"/>
    <w:rsid w:val="006D78CC"/>
    <w:rsid w:val="006E302A"/>
    <w:rsid w:val="006E47BB"/>
    <w:rsid w:val="006E6A5E"/>
    <w:rsid w:val="006E7A97"/>
    <w:rsid w:val="0070201E"/>
    <w:rsid w:val="00707CFB"/>
    <w:rsid w:val="00707EA2"/>
    <w:rsid w:val="00710E72"/>
    <w:rsid w:val="007158BE"/>
    <w:rsid w:val="0072436C"/>
    <w:rsid w:val="0072494B"/>
    <w:rsid w:val="00733F24"/>
    <w:rsid w:val="0074247B"/>
    <w:rsid w:val="00742942"/>
    <w:rsid w:val="00746F67"/>
    <w:rsid w:val="00752BC3"/>
    <w:rsid w:val="00756B4E"/>
    <w:rsid w:val="0076107E"/>
    <w:rsid w:val="00763023"/>
    <w:rsid w:val="00765100"/>
    <w:rsid w:val="00766756"/>
    <w:rsid w:val="0077086D"/>
    <w:rsid w:val="00774EF7"/>
    <w:rsid w:val="0078352B"/>
    <w:rsid w:val="0079259F"/>
    <w:rsid w:val="00793400"/>
    <w:rsid w:val="007A1E84"/>
    <w:rsid w:val="007A2A89"/>
    <w:rsid w:val="007A4A94"/>
    <w:rsid w:val="007C089E"/>
    <w:rsid w:val="007C4B7E"/>
    <w:rsid w:val="007C78E1"/>
    <w:rsid w:val="007D660F"/>
    <w:rsid w:val="007D6DFD"/>
    <w:rsid w:val="007E004A"/>
    <w:rsid w:val="007E0940"/>
    <w:rsid w:val="007E3C4A"/>
    <w:rsid w:val="007E3D52"/>
    <w:rsid w:val="007E4A07"/>
    <w:rsid w:val="007E5706"/>
    <w:rsid w:val="007F701A"/>
    <w:rsid w:val="008004BC"/>
    <w:rsid w:val="008023F3"/>
    <w:rsid w:val="0081148E"/>
    <w:rsid w:val="00814A81"/>
    <w:rsid w:val="008158F3"/>
    <w:rsid w:val="008229B9"/>
    <w:rsid w:val="00824F11"/>
    <w:rsid w:val="00826B51"/>
    <w:rsid w:val="00826C03"/>
    <w:rsid w:val="00832FCB"/>
    <w:rsid w:val="0083393D"/>
    <w:rsid w:val="00833D3E"/>
    <w:rsid w:val="0083759F"/>
    <w:rsid w:val="008514B5"/>
    <w:rsid w:val="00853376"/>
    <w:rsid w:val="008610DE"/>
    <w:rsid w:val="00862D4F"/>
    <w:rsid w:val="0086426B"/>
    <w:rsid w:val="00871C63"/>
    <w:rsid w:val="00872F25"/>
    <w:rsid w:val="008746DF"/>
    <w:rsid w:val="0087520E"/>
    <w:rsid w:val="0087539B"/>
    <w:rsid w:val="00876F20"/>
    <w:rsid w:val="00885CB4"/>
    <w:rsid w:val="00885E73"/>
    <w:rsid w:val="00886445"/>
    <w:rsid w:val="00891F8F"/>
    <w:rsid w:val="008974D0"/>
    <w:rsid w:val="008A008C"/>
    <w:rsid w:val="008A2A1B"/>
    <w:rsid w:val="008B391D"/>
    <w:rsid w:val="008C1E81"/>
    <w:rsid w:val="008C236D"/>
    <w:rsid w:val="008C2A36"/>
    <w:rsid w:val="008C397E"/>
    <w:rsid w:val="008C7080"/>
    <w:rsid w:val="008D289B"/>
    <w:rsid w:val="008D328C"/>
    <w:rsid w:val="008D417C"/>
    <w:rsid w:val="008D473D"/>
    <w:rsid w:val="008D477B"/>
    <w:rsid w:val="008E4633"/>
    <w:rsid w:val="008E5E1E"/>
    <w:rsid w:val="008E6FCB"/>
    <w:rsid w:val="008F3E26"/>
    <w:rsid w:val="008F415A"/>
    <w:rsid w:val="008F4D17"/>
    <w:rsid w:val="008F4DA6"/>
    <w:rsid w:val="008F74A0"/>
    <w:rsid w:val="00900CC7"/>
    <w:rsid w:val="009037EB"/>
    <w:rsid w:val="009159BF"/>
    <w:rsid w:val="00916008"/>
    <w:rsid w:val="0092402D"/>
    <w:rsid w:val="009353CB"/>
    <w:rsid w:val="00936DE5"/>
    <w:rsid w:val="00940803"/>
    <w:rsid w:val="00941EE1"/>
    <w:rsid w:val="00942AF4"/>
    <w:rsid w:val="00942E04"/>
    <w:rsid w:val="009439F6"/>
    <w:rsid w:val="00946D71"/>
    <w:rsid w:val="009512B0"/>
    <w:rsid w:val="009516A8"/>
    <w:rsid w:val="00953F05"/>
    <w:rsid w:val="00954B34"/>
    <w:rsid w:val="00954CDD"/>
    <w:rsid w:val="00956E83"/>
    <w:rsid w:val="00966834"/>
    <w:rsid w:val="00967670"/>
    <w:rsid w:val="00971A15"/>
    <w:rsid w:val="00974EBF"/>
    <w:rsid w:val="00981CF1"/>
    <w:rsid w:val="00982636"/>
    <w:rsid w:val="0098517D"/>
    <w:rsid w:val="009862A2"/>
    <w:rsid w:val="00994109"/>
    <w:rsid w:val="009A3D83"/>
    <w:rsid w:val="009A4A50"/>
    <w:rsid w:val="009A5523"/>
    <w:rsid w:val="009B58E1"/>
    <w:rsid w:val="009C3322"/>
    <w:rsid w:val="009C46CE"/>
    <w:rsid w:val="009C4DDB"/>
    <w:rsid w:val="009D256A"/>
    <w:rsid w:val="009D41C5"/>
    <w:rsid w:val="009E749E"/>
    <w:rsid w:val="009F15FE"/>
    <w:rsid w:val="009F4B54"/>
    <w:rsid w:val="009F5C69"/>
    <w:rsid w:val="00A044FB"/>
    <w:rsid w:val="00A05D5F"/>
    <w:rsid w:val="00A11347"/>
    <w:rsid w:val="00A11C13"/>
    <w:rsid w:val="00A12118"/>
    <w:rsid w:val="00A1320B"/>
    <w:rsid w:val="00A1444B"/>
    <w:rsid w:val="00A157AF"/>
    <w:rsid w:val="00A20D49"/>
    <w:rsid w:val="00A21088"/>
    <w:rsid w:val="00A220A3"/>
    <w:rsid w:val="00A24E65"/>
    <w:rsid w:val="00A41332"/>
    <w:rsid w:val="00A54BA3"/>
    <w:rsid w:val="00A550B9"/>
    <w:rsid w:val="00A61442"/>
    <w:rsid w:val="00A627EC"/>
    <w:rsid w:val="00A72A1E"/>
    <w:rsid w:val="00A7394E"/>
    <w:rsid w:val="00A77D28"/>
    <w:rsid w:val="00A82ABA"/>
    <w:rsid w:val="00A935DD"/>
    <w:rsid w:val="00A93767"/>
    <w:rsid w:val="00A94892"/>
    <w:rsid w:val="00A97E5B"/>
    <w:rsid w:val="00AA0439"/>
    <w:rsid w:val="00AA30AA"/>
    <w:rsid w:val="00AB0F70"/>
    <w:rsid w:val="00AB57F0"/>
    <w:rsid w:val="00AB6339"/>
    <w:rsid w:val="00AB78F8"/>
    <w:rsid w:val="00AC1078"/>
    <w:rsid w:val="00AC20C0"/>
    <w:rsid w:val="00AC2309"/>
    <w:rsid w:val="00AC254B"/>
    <w:rsid w:val="00AC3134"/>
    <w:rsid w:val="00AC325A"/>
    <w:rsid w:val="00AC3EE8"/>
    <w:rsid w:val="00AD4D2D"/>
    <w:rsid w:val="00AD703A"/>
    <w:rsid w:val="00AD754C"/>
    <w:rsid w:val="00AE3075"/>
    <w:rsid w:val="00AE512A"/>
    <w:rsid w:val="00AF03CF"/>
    <w:rsid w:val="00AF2352"/>
    <w:rsid w:val="00B0159A"/>
    <w:rsid w:val="00B07A20"/>
    <w:rsid w:val="00B10708"/>
    <w:rsid w:val="00B1564C"/>
    <w:rsid w:val="00B21E4A"/>
    <w:rsid w:val="00B23130"/>
    <w:rsid w:val="00B25C29"/>
    <w:rsid w:val="00B30018"/>
    <w:rsid w:val="00B3467E"/>
    <w:rsid w:val="00B34750"/>
    <w:rsid w:val="00B37911"/>
    <w:rsid w:val="00B37BC7"/>
    <w:rsid w:val="00B42A8F"/>
    <w:rsid w:val="00B4362C"/>
    <w:rsid w:val="00B44556"/>
    <w:rsid w:val="00B46CB0"/>
    <w:rsid w:val="00B50185"/>
    <w:rsid w:val="00B60F65"/>
    <w:rsid w:val="00B6363E"/>
    <w:rsid w:val="00B6510D"/>
    <w:rsid w:val="00B7022F"/>
    <w:rsid w:val="00B716F5"/>
    <w:rsid w:val="00B7613B"/>
    <w:rsid w:val="00B82355"/>
    <w:rsid w:val="00B83334"/>
    <w:rsid w:val="00B85112"/>
    <w:rsid w:val="00B9009B"/>
    <w:rsid w:val="00B90423"/>
    <w:rsid w:val="00B94505"/>
    <w:rsid w:val="00B964E2"/>
    <w:rsid w:val="00BA7BD6"/>
    <w:rsid w:val="00BB126F"/>
    <w:rsid w:val="00BB41EA"/>
    <w:rsid w:val="00BC002C"/>
    <w:rsid w:val="00BC0AE1"/>
    <w:rsid w:val="00BC146E"/>
    <w:rsid w:val="00BC1CEB"/>
    <w:rsid w:val="00BC29A9"/>
    <w:rsid w:val="00BD05EF"/>
    <w:rsid w:val="00BD360B"/>
    <w:rsid w:val="00BD3ED2"/>
    <w:rsid w:val="00BD57DB"/>
    <w:rsid w:val="00BE4B8A"/>
    <w:rsid w:val="00C04DBB"/>
    <w:rsid w:val="00C05769"/>
    <w:rsid w:val="00C123A0"/>
    <w:rsid w:val="00C1268B"/>
    <w:rsid w:val="00C15AA2"/>
    <w:rsid w:val="00C235F8"/>
    <w:rsid w:val="00C30C21"/>
    <w:rsid w:val="00C3297E"/>
    <w:rsid w:val="00C362AC"/>
    <w:rsid w:val="00C45632"/>
    <w:rsid w:val="00C46B7C"/>
    <w:rsid w:val="00C5009E"/>
    <w:rsid w:val="00C501BE"/>
    <w:rsid w:val="00C50753"/>
    <w:rsid w:val="00C5273B"/>
    <w:rsid w:val="00C52EF0"/>
    <w:rsid w:val="00C54ECF"/>
    <w:rsid w:val="00C566F7"/>
    <w:rsid w:val="00C574AF"/>
    <w:rsid w:val="00C57AE2"/>
    <w:rsid w:val="00C612A2"/>
    <w:rsid w:val="00C6197D"/>
    <w:rsid w:val="00C62480"/>
    <w:rsid w:val="00C72021"/>
    <w:rsid w:val="00C81D33"/>
    <w:rsid w:val="00C84FE0"/>
    <w:rsid w:val="00C877FE"/>
    <w:rsid w:val="00C96B35"/>
    <w:rsid w:val="00C975B4"/>
    <w:rsid w:val="00CA7BA5"/>
    <w:rsid w:val="00CC12EA"/>
    <w:rsid w:val="00CC1983"/>
    <w:rsid w:val="00CC5BD3"/>
    <w:rsid w:val="00CD21DD"/>
    <w:rsid w:val="00CE1DA3"/>
    <w:rsid w:val="00CE3119"/>
    <w:rsid w:val="00CE6B8A"/>
    <w:rsid w:val="00CF086F"/>
    <w:rsid w:val="00CF3490"/>
    <w:rsid w:val="00CF6C8A"/>
    <w:rsid w:val="00D03A68"/>
    <w:rsid w:val="00D03B48"/>
    <w:rsid w:val="00D06C07"/>
    <w:rsid w:val="00D06D67"/>
    <w:rsid w:val="00D136D9"/>
    <w:rsid w:val="00D1631E"/>
    <w:rsid w:val="00D1748A"/>
    <w:rsid w:val="00D203FB"/>
    <w:rsid w:val="00D213AD"/>
    <w:rsid w:val="00D239CE"/>
    <w:rsid w:val="00D25160"/>
    <w:rsid w:val="00D3534F"/>
    <w:rsid w:val="00D36979"/>
    <w:rsid w:val="00D40281"/>
    <w:rsid w:val="00D40EDA"/>
    <w:rsid w:val="00D41B45"/>
    <w:rsid w:val="00D424D1"/>
    <w:rsid w:val="00D43C0D"/>
    <w:rsid w:val="00D610DF"/>
    <w:rsid w:val="00D62F8E"/>
    <w:rsid w:val="00D63B5A"/>
    <w:rsid w:val="00D63E55"/>
    <w:rsid w:val="00D77606"/>
    <w:rsid w:val="00D835C2"/>
    <w:rsid w:val="00D85406"/>
    <w:rsid w:val="00D91244"/>
    <w:rsid w:val="00D92A13"/>
    <w:rsid w:val="00D9413A"/>
    <w:rsid w:val="00D94E72"/>
    <w:rsid w:val="00DA132E"/>
    <w:rsid w:val="00DA1AD3"/>
    <w:rsid w:val="00DA7DCF"/>
    <w:rsid w:val="00DB06FF"/>
    <w:rsid w:val="00DB0B63"/>
    <w:rsid w:val="00DB0E7A"/>
    <w:rsid w:val="00DB1FD1"/>
    <w:rsid w:val="00DB2961"/>
    <w:rsid w:val="00DB64C5"/>
    <w:rsid w:val="00DC0C84"/>
    <w:rsid w:val="00DC7B04"/>
    <w:rsid w:val="00DD1649"/>
    <w:rsid w:val="00DD4872"/>
    <w:rsid w:val="00DD55AA"/>
    <w:rsid w:val="00DE13CB"/>
    <w:rsid w:val="00DE5192"/>
    <w:rsid w:val="00DE614D"/>
    <w:rsid w:val="00DE68C8"/>
    <w:rsid w:val="00DF36B6"/>
    <w:rsid w:val="00DF4CEA"/>
    <w:rsid w:val="00DF5763"/>
    <w:rsid w:val="00E02399"/>
    <w:rsid w:val="00E03243"/>
    <w:rsid w:val="00E07A5B"/>
    <w:rsid w:val="00E12459"/>
    <w:rsid w:val="00E132BE"/>
    <w:rsid w:val="00E149CA"/>
    <w:rsid w:val="00E16D44"/>
    <w:rsid w:val="00E21B94"/>
    <w:rsid w:val="00E269B9"/>
    <w:rsid w:val="00E272D4"/>
    <w:rsid w:val="00E31DA0"/>
    <w:rsid w:val="00E35504"/>
    <w:rsid w:val="00E40706"/>
    <w:rsid w:val="00E50C1A"/>
    <w:rsid w:val="00E52930"/>
    <w:rsid w:val="00E53464"/>
    <w:rsid w:val="00E607EA"/>
    <w:rsid w:val="00E6385E"/>
    <w:rsid w:val="00E646BC"/>
    <w:rsid w:val="00E740E8"/>
    <w:rsid w:val="00E85CB8"/>
    <w:rsid w:val="00E8605E"/>
    <w:rsid w:val="00E931C9"/>
    <w:rsid w:val="00E95E99"/>
    <w:rsid w:val="00EA6893"/>
    <w:rsid w:val="00EA715D"/>
    <w:rsid w:val="00EB0B40"/>
    <w:rsid w:val="00EB1087"/>
    <w:rsid w:val="00EB76FF"/>
    <w:rsid w:val="00EC0C3D"/>
    <w:rsid w:val="00EC2AB3"/>
    <w:rsid w:val="00EC5145"/>
    <w:rsid w:val="00ED3F42"/>
    <w:rsid w:val="00ED5629"/>
    <w:rsid w:val="00EE1E78"/>
    <w:rsid w:val="00EF0AA7"/>
    <w:rsid w:val="00EF38AF"/>
    <w:rsid w:val="00EF4134"/>
    <w:rsid w:val="00EF59E3"/>
    <w:rsid w:val="00EF76AC"/>
    <w:rsid w:val="00F014F8"/>
    <w:rsid w:val="00F032E4"/>
    <w:rsid w:val="00F04CDB"/>
    <w:rsid w:val="00F052E6"/>
    <w:rsid w:val="00F060A6"/>
    <w:rsid w:val="00F0632B"/>
    <w:rsid w:val="00F07E0D"/>
    <w:rsid w:val="00F1131B"/>
    <w:rsid w:val="00F115F9"/>
    <w:rsid w:val="00F1179A"/>
    <w:rsid w:val="00F131D2"/>
    <w:rsid w:val="00F14C5F"/>
    <w:rsid w:val="00F161DF"/>
    <w:rsid w:val="00F16F3B"/>
    <w:rsid w:val="00F173CF"/>
    <w:rsid w:val="00F1768E"/>
    <w:rsid w:val="00F27EFE"/>
    <w:rsid w:val="00F31839"/>
    <w:rsid w:val="00F31E11"/>
    <w:rsid w:val="00F33E71"/>
    <w:rsid w:val="00F3507F"/>
    <w:rsid w:val="00F36DAA"/>
    <w:rsid w:val="00F420F2"/>
    <w:rsid w:val="00F43278"/>
    <w:rsid w:val="00F46765"/>
    <w:rsid w:val="00F52863"/>
    <w:rsid w:val="00F54B0A"/>
    <w:rsid w:val="00F56DD7"/>
    <w:rsid w:val="00F56E68"/>
    <w:rsid w:val="00F57347"/>
    <w:rsid w:val="00F6282B"/>
    <w:rsid w:val="00F6608F"/>
    <w:rsid w:val="00F8048B"/>
    <w:rsid w:val="00F80CC7"/>
    <w:rsid w:val="00F8330C"/>
    <w:rsid w:val="00F847FF"/>
    <w:rsid w:val="00F93089"/>
    <w:rsid w:val="00F93C73"/>
    <w:rsid w:val="00F94CD0"/>
    <w:rsid w:val="00FA5698"/>
    <w:rsid w:val="00FB2653"/>
    <w:rsid w:val="00FB2A2D"/>
    <w:rsid w:val="00FB7D20"/>
    <w:rsid w:val="00FC0A9D"/>
    <w:rsid w:val="00FC11C7"/>
    <w:rsid w:val="00FD153A"/>
    <w:rsid w:val="00FD1F84"/>
    <w:rsid w:val="00FD2565"/>
    <w:rsid w:val="00FD2942"/>
    <w:rsid w:val="00FD4656"/>
    <w:rsid w:val="00FE659C"/>
    <w:rsid w:val="00FF02EC"/>
    <w:rsid w:val="00FF5525"/>
    <w:rsid w:val="00FF5C37"/>
    <w:rsid w:val="00FF7701"/>
    <w:rsid w:val="01E40D7E"/>
    <w:rsid w:val="03D214A3"/>
    <w:rsid w:val="06736A08"/>
    <w:rsid w:val="07E37AB5"/>
    <w:rsid w:val="08172788"/>
    <w:rsid w:val="084B781B"/>
    <w:rsid w:val="087926E2"/>
    <w:rsid w:val="0B9D0005"/>
    <w:rsid w:val="0BEE2E7E"/>
    <w:rsid w:val="0ECC2244"/>
    <w:rsid w:val="0EE17171"/>
    <w:rsid w:val="0F67CEC6"/>
    <w:rsid w:val="10F8487F"/>
    <w:rsid w:val="111E13B5"/>
    <w:rsid w:val="12014A34"/>
    <w:rsid w:val="12B93E9B"/>
    <w:rsid w:val="134B2E9E"/>
    <w:rsid w:val="14DD39A3"/>
    <w:rsid w:val="169357CC"/>
    <w:rsid w:val="16FF3970"/>
    <w:rsid w:val="17934E42"/>
    <w:rsid w:val="18EF4C0B"/>
    <w:rsid w:val="196B1938"/>
    <w:rsid w:val="1A6E5FD1"/>
    <w:rsid w:val="1AEF4EF1"/>
    <w:rsid w:val="1AF000E8"/>
    <w:rsid w:val="1AFEA4A4"/>
    <w:rsid w:val="1BAF6F5B"/>
    <w:rsid w:val="1BE7F5FC"/>
    <w:rsid w:val="1D5F0DCB"/>
    <w:rsid w:val="1D6350BE"/>
    <w:rsid w:val="1D792F0B"/>
    <w:rsid w:val="1DF3A006"/>
    <w:rsid w:val="1DFF83DD"/>
    <w:rsid w:val="1DFFD283"/>
    <w:rsid w:val="1EFBCC92"/>
    <w:rsid w:val="1F25F9CE"/>
    <w:rsid w:val="1F3F0940"/>
    <w:rsid w:val="1F7B68AF"/>
    <w:rsid w:val="1FCF7A12"/>
    <w:rsid w:val="1FF7E6EB"/>
    <w:rsid w:val="1FFBC81C"/>
    <w:rsid w:val="21655C39"/>
    <w:rsid w:val="21F5417B"/>
    <w:rsid w:val="225B4B04"/>
    <w:rsid w:val="24255E39"/>
    <w:rsid w:val="24435F53"/>
    <w:rsid w:val="253C5B04"/>
    <w:rsid w:val="25DB9E30"/>
    <w:rsid w:val="262225B1"/>
    <w:rsid w:val="273823B4"/>
    <w:rsid w:val="2AB44A61"/>
    <w:rsid w:val="2B260935"/>
    <w:rsid w:val="2B36DCC1"/>
    <w:rsid w:val="2B391351"/>
    <w:rsid w:val="2BB30F89"/>
    <w:rsid w:val="2BF62889"/>
    <w:rsid w:val="2BFF084D"/>
    <w:rsid w:val="2EB65E34"/>
    <w:rsid w:val="2EDE45F6"/>
    <w:rsid w:val="2F7F02DB"/>
    <w:rsid w:val="328114CA"/>
    <w:rsid w:val="33E8755A"/>
    <w:rsid w:val="347132A5"/>
    <w:rsid w:val="34AB5567"/>
    <w:rsid w:val="34FE2509"/>
    <w:rsid w:val="35BFFC77"/>
    <w:rsid w:val="35C27EB3"/>
    <w:rsid w:val="36185F27"/>
    <w:rsid w:val="36FD7461"/>
    <w:rsid w:val="37B95140"/>
    <w:rsid w:val="37F2BA02"/>
    <w:rsid w:val="386A5397"/>
    <w:rsid w:val="392E156D"/>
    <w:rsid w:val="39E057EF"/>
    <w:rsid w:val="3ABC64B1"/>
    <w:rsid w:val="3B7E53B1"/>
    <w:rsid w:val="3B87797A"/>
    <w:rsid w:val="3B952BF9"/>
    <w:rsid w:val="3BFC77C8"/>
    <w:rsid w:val="3C162EDF"/>
    <w:rsid w:val="3C7F8CF8"/>
    <w:rsid w:val="3C9B8117"/>
    <w:rsid w:val="3CC67804"/>
    <w:rsid w:val="3DB5D221"/>
    <w:rsid w:val="3E157A22"/>
    <w:rsid w:val="3E582E58"/>
    <w:rsid w:val="3EFF2A8B"/>
    <w:rsid w:val="3F3401E0"/>
    <w:rsid w:val="3F5A3ACF"/>
    <w:rsid w:val="3F73FA8A"/>
    <w:rsid w:val="3F7B16B7"/>
    <w:rsid w:val="3F9EE62A"/>
    <w:rsid w:val="3F9FA339"/>
    <w:rsid w:val="3FBFDFFA"/>
    <w:rsid w:val="3FCFDE86"/>
    <w:rsid w:val="3FE519FB"/>
    <w:rsid w:val="3FEDB250"/>
    <w:rsid w:val="3FEF1FAB"/>
    <w:rsid w:val="3FF11CB8"/>
    <w:rsid w:val="3FF5466E"/>
    <w:rsid w:val="3FF77A00"/>
    <w:rsid w:val="3FF9FACF"/>
    <w:rsid w:val="3FFC5885"/>
    <w:rsid w:val="3FFE81E0"/>
    <w:rsid w:val="40450DE4"/>
    <w:rsid w:val="41386057"/>
    <w:rsid w:val="42F44A8A"/>
    <w:rsid w:val="42F95FD5"/>
    <w:rsid w:val="43F22233"/>
    <w:rsid w:val="44A38758"/>
    <w:rsid w:val="453311F8"/>
    <w:rsid w:val="46BCD52C"/>
    <w:rsid w:val="47B2307F"/>
    <w:rsid w:val="4A3D0816"/>
    <w:rsid w:val="4BBD85CE"/>
    <w:rsid w:val="4BCB7959"/>
    <w:rsid w:val="4C002B70"/>
    <w:rsid w:val="4D8F0126"/>
    <w:rsid w:val="4DD9A0D7"/>
    <w:rsid w:val="4E5D6D6A"/>
    <w:rsid w:val="4EFF14C1"/>
    <w:rsid w:val="4F338A08"/>
    <w:rsid w:val="4F6D7A97"/>
    <w:rsid w:val="4FB62DF8"/>
    <w:rsid w:val="4FE5FCAB"/>
    <w:rsid w:val="4FEEC68A"/>
    <w:rsid w:val="50F21011"/>
    <w:rsid w:val="51F01422"/>
    <w:rsid w:val="53DA1E49"/>
    <w:rsid w:val="53F57386"/>
    <w:rsid w:val="558E20A1"/>
    <w:rsid w:val="55FA3A79"/>
    <w:rsid w:val="56B96945"/>
    <w:rsid w:val="56BB8D84"/>
    <w:rsid w:val="56DF85CB"/>
    <w:rsid w:val="573D781B"/>
    <w:rsid w:val="577F00BC"/>
    <w:rsid w:val="57BF7B2C"/>
    <w:rsid w:val="57DCB2C9"/>
    <w:rsid w:val="57DD4613"/>
    <w:rsid w:val="57FF3B43"/>
    <w:rsid w:val="58391654"/>
    <w:rsid w:val="5863E070"/>
    <w:rsid w:val="589455E6"/>
    <w:rsid w:val="58BBD2FF"/>
    <w:rsid w:val="58EE4F37"/>
    <w:rsid w:val="59F50F04"/>
    <w:rsid w:val="5AED4B08"/>
    <w:rsid w:val="5BBFFC47"/>
    <w:rsid w:val="5BE67F48"/>
    <w:rsid w:val="5BF4CDDD"/>
    <w:rsid w:val="5BFB998C"/>
    <w:rsid w:val="5BFF0FCD"/>
    <w:rsid w:val="5CBFF383"/>
    <w:rsid w:val="5D2DD0B2"/>
    <w:rsid w:val="5D3B1259"/>
    <w:rsid w:val="5D60538E"/>
    <w:rsid w:val="5D8E0EA6"/>
    <w:rsid w:val="5D954376"/>
    <w:rsid w:val="5DA3C6F8"/>
    <w:rsid w:val="5DDFA1B4"/>
    <w:rsid w:val="5DF17225"/>
    <w:rsid w:val="5DFD5174"/>
    <w:rsid w:val="5DFE197D"/>
    <w:rsid w:val="5DFF5E3E"/>
    <w:rsid w:val="5DFFEA4F"/>
    <w:rsid w:val="5E7EB019"/>
    <w:rsid w:val="5EB7344E"/>
    <w:rsid w:val="5EFD1211"/>
    <w:rsid w:val="5EFF9D31"/>
    <w:rsid w:val="5F95A9CF"/>
    <w:rsid w:val="5FAE80C9"/>
    <w:rsid w:val="5FAFA1CF"/>
    <w:rsid w:val="5FBA6275"/>
    <w:rsid w:val="5FDB3E73"/>
    <w:rsid w:val="5FEF72AA"/>
    <w:rsid w:val="5FF7E489"/>
    <w:rsid w:val="5FFBEB38"/>
    <w:rsid w:val="5FFDDAF8"/>
    <w:rsid w:val="5FFF7804"/>
    <w:rsid w:val="61FFFBF4"/>
    <w:rsid w:val="637B5364"/>
    <w:rsid w:val="637BB5FF"/>
    <w:rsid w:val="63BBDAEA"/>
    <w:rsid w:val="63F92DCD"/>
    <w:rsid w:val="653D36AD"/>
    <w:rsid w:val="654850FD"/>
    <w:rsid w:val="656F616F"/>
    <w:rsid w:val="65FE0DBB"/>
    <w:rsid w:val="66649A1F"/>
    <w:rsid w:val="671B7405"/>
    <w:rsid w:val="672915D3"/>
    <w:rsid w:val="67CF2151"/>
    <w:rsid w:val="67FE5EF4"/>
    <w:rsid w:val="688A2728"/>
    <w:rsid w:val="692E6CE8"/>
    <w:rsid w:val="694B62F6"/>
    <w:rsid w:val="695E621A"/>
    <w:rsid w:val="696D1CD0"/>
    <w:rsid w:val="69F507FD"/>
    <w:rsid w:val="69FBB1CC"/>
    <w:rsid w:val="69FF685A"/>
    <w:rsid w:val="6A79DAFD"/>
    <w:rsid w:val="6ADF3F13"/>
    <w:rsid w:val="6B015EC9"/>
    <w:rsid w:val="6B1A6104"/>
    <w:rsid w:val="6B4FD745"/>
    <w:rsid w:val="6B7BBEF0"/>
    <w:rsid w:val="6BBFD272"/>
    <w:rsid w:val="6BFD1A2A"/>
    <w:rsid w:val="6BFD201D"/>
    <w:rsid w:val="6C354D69"/>
    <w:rsid w:val="6C7FF3B8"/>
    <w:rsid w:val="6D13C3A4"/>
    <w:rsid w:val="6D6FE5A6"/>
    <w:rsid w:val="6D7FB482"/>
    <w:rsid w:val="6DBC3E6F"/>
    <w:rsid w:val="6DDE6B05"/>
    <w:rsid w:val="6DF780E5"/>
    <w:rsid w:val="6E1D304F"/>
    <w:rsid w:val="6E2D28E7"/>
    <w:rsid w:val="6E4FBF21"/>
    <w:rsid w:val="6E595232"/>
    <w:rsid w:val="6E9F8DF2"/>
    <w:rsid w:val="6EACD2C7"/>
    <w:rsid w:val="6EDE55BF"/>
    <w:rsid w:val="6F6352D9"/>
    <w:rsid w:val="6F7F561F"/>
    <w:rsid w:val="6FB724B3"/>
    <w:rsid w:val="6FBF84CC"/>
    <w:rsid w:val="6FDF7DF2"/>
    <w:rsid w:val="6FEE1622"/>
    <w:rsid w:val="6FEF2409"/>
    <w:rsid w:val="6FF3A114"/>
    <w:rsid w:val="6FF76D99"/>
    <w:rsid w:val="6FF799A5"/>
    <w:rsid w:val="6FFEB283"/>
    <w:rsid w:val="6FFF8E68"/>
    <w:rsid w:val="70F7758E"/>
    <w:rsid w:val="72DFDDB4"/>
    <w:rsid w:val="72ECB070"/>
    <w:rsid w:val="72F06D0D"/>
    <w:rsid w:val="735E98E7"/>
    <w:rsid w:val="736FAE5B"/>
    <w:rsid w:val="73713C6E"/>
    <w:rsid w:val="73B752FA"/>
    <w:rsid w:val="73F7956F"/>
    <w:rsid w:val="73FFFBC9"/>
    <w:rsid w:val="742504BC"/>
    <w:rsid w:val="74683127"/>
    <w:rsid w:val="74E77688"/>
    <w:rsid w:val="75BE6AED"/>
    <w:rsid w:val="75C70096"/>
    <w:rsid w:val="75CC30AB"/>
    <w:rsid w:val="75DEEE21"/>
    <w:rsid w:val="75EBAD40"/>
    <w:rsid w:val="76DD4327"/>
    <w:rsid w:val="7718394F"/>
    <w:rsid w:val="771F3417"/>
    <w:rsid w:val="775FFADD"/>
    <w:rsid w:val="776A4C8C"/>
    <w:rsid w:val="777C2D21"/>
    <w:rsid w:val="7787603C"/>
    <w:rsid w:val="77B7FB37"/>
    <w:rsid w:val="77DFB024"/>
    <w:rsid w:val="77EF4940"/>
    <w:rsid w:val="77F305FF"/>
    <w:rsid w:val="77F7E065"/>
    <w:rsid w:val="77FF1462"/>
    <w:rsid w:val="77FFEC00"/>
    <w:rsid w:val="787B91D1"/>
    <w:rsid w:val="7893235F"/>
    <w:rsid w:val="7897DF37"/>
    <w:rsid w:val="78E67C28"/>
    <w:rsid w:val="78EFE922"/>
    <w:rsid w:val="793F81C6"/>
    <w:rsid w:val="798E66F7"/>
    <w:rsid w:val="79A5B5A8"/>
    <w:rsid w:val="79B66DF4"/>
    <w:rsid w:val="79FBFE48"/>
    <w:rsid w:val="7AA73E18"/>
    <w:rsid w:val="7ABE1B89"/>
    <w:rsid w:val="7B2C7DE5"/>
    <w:rsid w:val="7B3DFDCB"/>
    <w:rsid w:val="7B7AE137"/>
    <w:rsid w:val="7B7F47E3"/>
    <w:rsid w:val="7B7F5B21"/>
    <w:rsid w:val="7B930D5E"/>
    <w:rsid w:val="7BCBEFA0"/>
    <w:rsid w:val="7BD7884D"/>
    <w:rsid w:val="7BE790BE"/>
    <w:rsid w:val="7BF3C9AA"/>
    <w:rsid w:val="7BFE2F1B"/>
    <w:rsid w:val="7BFF3866"/>
    <w:rsid w:val="7BFF5EF5"/>
    <w:rsid w:val="7C3BC372"/>
    <w:rsid w:val="7CBD51DE"/>
    <w:rsid w:val="7CBE526B"/>
    <w:rsid w:val="7CDBBFCF"/>
    <w:rsid w:val="7CEE3212"/>
    <w:rsid w:val="7D063715"/>
    <w:rsid w:val="7D2533C5"/>
    <w:rsid w:val="7D3F8C45"/>
    <w:rsid w:val="7D5C123D"/>
    <w:rsid w:val="7D6F2538"/>
    <w:rsid w:val="7D775B19"/>
    <w:rsid w:val="7D9F352E"/>
    <w:rsid w:val="7DEEC4D2"/>
    <w:rsid w:val="7DFBAA38"/>
    <w:rsid w:val="7DFD4044"/>
    <w:rsid w:val="7DFE003B"/>
    <w:rsid w:val="7DFF5F3C"/>
    <w:rsid w:val="7DFFF194"/>
    <w:rsid w:val="7E272EAD"/>
    <w:rsid w:val="7E3F6541"/>
    <w:rsid w:val="7E67E61B"/>
    <w:rsid w:val="7E750FE7"/>
    <w:rsid w:val="7E7BEE49"/>
    <w:rsid w:val="7E7FDB5E"/>
    <w:rsid w:val="7E9C6A52"/>
    <w:rsid w:val="7EAD6E0E"/>
    <w:rsid w:val="7EBFE6CB"/>
    <w:rsid w:val="7ED92503"/>
    <w:rsid w:val="7EDBD017"/>
    <w:rsid w:val="7EF1EE63"/>
    <w:rsid w:val="7EFB8140"/>
    <w:rsid w:val="7EFEF3D2"/>
    <w:rsid w:val="7EFF7322"/>
    <w:rsid w:val="7EFF79AF"/>
    <w:rsid w:val="7F1060F7"/>
    <w:rsid w:val="7F3A2CD0"/>
    <w:rsid w:val="7F3D4833"/>
    <w:rsid w:val="7F3F0B40"/>
    <w:rsid w:val="7F5C0C86"/>
    <w:rsid w:val="7F6F646A"/>
    <w:rsid w:val="7F6F7030"/>
    <w:rsid w:val="7F77E9B0"/>
    <w:rsid w:val="7F7FCB9D"/>
    <w:rsid w:val="7F7FCDD5"/>
    <w:rsid w:val="7F97154F"/>
    <w:rsid w:val="7FAF086D"/>
    <w:rsid w:val="7FAF1D53"/>
    <w:rsid w:val="7FAF4999"/>
    <w:rsid w:val="7FB55B1C"/>
    <w:rsid w:val="7FB744ED"/>
    <w:rsid w:val="7FBDB11A"/>
    <w:rsid w:val="7FBF13D9"/>
    <w:rsid w:val="7FBF84A7"/>
    <w:rsid w:val="7FCD71CD"/>
    <w:rsid w:val="7FD9DE4D"/>
    <w:rsid w:val="7FDE2E84"/>
    <w:rsid w:val="7FDE7193"/>
    <w:rsid w:val="7FDF046C"/>
    <w:rsid w:val="7FE74F50"/>
    <w:rsid w:val="7FECD6F3"/>
    <w:rsid w:val="7FEE1447"/>
    <w:rsid w:val="7FF3E877"/>
    <w:rsid w:val="7FF79AAE"/>
    <w:rsid w:val="7FF9CFA3"/>
    <w:rsid w:val="7FFB5CCD"/>
    <w:rsid w:val="7FFBE84E"/>
    <w:rsid w:val="7FFC00A5"/>
    <w:rsid w:val="7FFE1E5C"/>
    <w:rsid w:val="7FFED96B"/>
    <w:rsid w:val="7FFF0D4C"/>
    <w:rsid w:val="7FFF1CC4"/>
    <w:rsid w:val="7FFF5786"/>
    <w:rsid w:val="7FFF61AB"/>
    <w:rsid w:val="90E2FD34"/>
    <w:rsid w:val="937FBAC7"/>
    <w:rsid w:val="96FFB93E"/>
    <w:rsid w:val="9AFECC49"/>
    <w:rsid w:val="9DE60028"/>
    <w:rsid w:val="9EBF266E"/>
    <w:rsid w:val="9EEDD704"/>
    <w:rsid w:val="9EEEC20A"/>
    <w:rsid w:val="9EFD8BAA"/>
    <w:rsid w:val="9F0D842D"/>
    <w:rsid w:val="9F6B8100"/>
    <w:rsid w:val="9F6F91B5"/>
    <w:rsid w:val="9FAC2C1C"/>
    <w:rsid w:val="9FCFA4D1"/>
    <w:rsid w:val="9FD36D8F"/>
    <w:rsid w:val="9FFB451D"/>
    <w:rsid w:val="A3FF0DC3"/>
    <w:rsid w:val="A4FC3AE0"/>
    <w:rsid w:val="A65DA75F"/>
    <w:rsid w:val="A7C5763D"/>
    <w:rsid w:val="A87ACC7B"/>
    <w:rsid w:val="A96D3CBC"/>
    <w:rsid w:val="A9CFDA5D"/>
    <w:rsid w:val="AB865560"/>
    <w:rsid w:val="AD7DB99A"/>
    <w:rsid w:val="ADBF915F"/>
    <w:rsid w:val="AE6EEA51"/>
    <w:rsid w:val="AEABEE81"/>
    <w:rsid w:val="AEDFAEC0"/>
    <w:rsid w:val="AEFD3C8F"/>
    <w:rsid w:val="AFBF364E"/>
    <w:rsid w:val="AFBF408E"/>
    <w:rsid w:val="B17D123C"/>
    <w:rsid w:val="B1AF1B0F"/>
    <w:rsid w:val="B1F5F416"/>
    <w:rsid w:val="B2F716B9"/>
    <w:rsid w:val="B2FD246C"/>
    <w:rsid w:val="B37DEE59"/>
    <w:rsid w:val="B3ABB400"/>
    <w:rsid w:val="B3ED1D6C"/>
    <w:rsid w:val="B5FF82E2"/>
    <w:rsid w:val="B5FFF8ED"/>
    <w:rsid w:val="B77F9469"/>
    <w:rsid w:val="B7D61EF5"/>
    <w:rsid w:val="B7FE917A"/>
    <w:rsid w:val="B832690F"/>
    <w:rsid w:val="B8FCE04F"/>
    <w:rsid w:val="B9D76269"/>
    <w:rsid w:val="B9E7A243"/>
    <w:rsid w:val="B9F89B5E"/>
    <w:rsid w:val="B9F93AA5"/>
    <w:rsid w:val="BAD75ECD"/>
    <w:rsid w:val="BADF8BAC"/>
    <w:rsid w:val="BB7906FB"/>
    <w:rsid w:val="BBAF3D2D"/>
    <w:rsid w:val="BBD7FAF1"/>
    <w:rsid w:val="BBEF77D2"/>
    <w:rsid w:val="BBFB1B87"/>
    <w:rsid w:val="BBFD5663"/>
    <w:rsid w:val="BBFFB218"/>
    <w:rsid w:val="BC5FC054"/>
    <w:rsid w:val="BC5FF2B3"/>
    <w:rsid w:val="BCFDB6EB"/>
    <w:rsid w:val="BD3987FA"/>
    <w:rsid w:val="BDAABC64"/>
    <w:rsid w:val="BDBF29A9"/>
    <w:rsid w:val="BDE532C8"/>
    <w:rsid w:val="BE5F5E86"/>
    <w:rsid w:val="BE7BED60"/>
    <w:rsid w:val="BE965CD3"/>
    <w:rsid w:val="BEBFC24C"/>
    <w:rsid w:val="BEFF293B"/>
    <w:rsid w:val="BF7FEF78"/>
    <w:rsid w:val="BF9D42AD"/>
    <w:rsid w:val="BFAF456D"/>
    <w:rsid w:val="BFBCF0D3"/>
    <w:rsid w:val="BFCFFEA0"/>
    <w:rsid w:val="BFDB2441"/>
    <w:rsid w:val="BFEEE537"/>
    <w:rsid w:val="BFF754A2"/>
    <w:rsid w:val="BFFB3E4C"/>
    <w:rsid w:val="BFFB534E"/>
    <w:rsid w:val="BFFEBDC6"/>
    <w:rsid w:val="BFFFA22C"/>
    <w:rsid w:val="C66FEE7F"/>
    <w:rsid w:val="C67B1C05"/>
    <w:rsid w:val="C77FEC53"/>
    <w:rsid w:val="C9FB471B"/>
    <w:rsid w:val="CE7E606C"/>
    <w:rsid w:val="CFEF3093"/>
    <w:rsid w:val="CFFD882B"/>
    <w:rsid w:val="CFFFB431"/>
    <w:rsid w:val="D375E858"/>
    <w:rsid w:val="D4738822"/>
    <w:rsid w:val="D57FC174"/>
    <w:rsid w:val="D59FF5E7"/>
    <w:rsid w:val="D65F6E1F"/>
    <w:rsid w:val="D6EE6E8C"/>
    <w:rsid w:val="D77EB7EA"/>
    <w:rsid w:val="D9FEE1E6"/>
    <w:rsid w:val="DABE2DAF"/>
    <w:rsid w:val="DAFF299A"/>
    <w:rsid w:val="DB7D5299"/>
    <w:rsid w:val="DBCD7516"/>
    <w:rsid w:val="DBD9C44F"/>
    <w:rsid w:val="DBDD58CC"/>
    <w:rsid w:val="DBEEA1C0"/>
    <w:rsid w:val="DBF7FFEE"/>
    <w:rsid w:val="DD1E450D"/>
    <w:rsid w:val="DD7783E4"/>
    <w:rsid w:val="DDBF30C8"/>
    <w:rsid w:val="DDEF4222"/>
    <w:rsid w:val="DE7F4100"/>
    <w:rsid w:val="DE9F4935"/>
    <w:rsid w:val="DEA7C493"/>
    <w:rsid w:val="DEFDE325"/>
    <w:rsid w:val="DF7F3700"/>
    <w:rsid w:val="DF7F7CDC"/>
    <w:rsid w:val="DFAFAA02"/>
    <w:rsid w:val="DFBE260F"/>
    <w:rsid w:val="DFCF5A74"/>
    <w:rsid w:val="DFE7B167"/>
    <w:rsid w:val="DFF73197"/>
    <w:rsid w:val="DFFA046D"/>
    <w:rsid w:val="DFFC312E"/>
    <w:rsid w:val="DFFF3EEC"/>
    <w:rsid w:val="DFFF43E1"/>
    <w:rsid w:val="DFFFFB23"/>
    <w:rsid w:val="E29A0971"/>
    <w:rsid w:val="E3D54FF6"/>
    <w:rsid w:val="E4FE7167"/>
    <w:rsid w:val="E6EF1DF1"/>
    <w:rsid w:val="E6FBF053"/>
    <w:rsid w:val="E73D0EAA"/>
    <w:rsid w:val="E77AB830"/>
    <w:rsid w:val="E7BB1CCC"/>
    <w:rsid w:val="E7BF7B29"/>
    <w:rsid w:val="E7F9912D"/>
    <w:rsid w:val="E7FFE5A0"/>
    <w:rsid w:val="E8FC3F52"/>
    <w:rsid w:val="E8FECD4A"/>
    <w:rsid w:val="E9D7BFF6"/>
    <w:rsid w:val="E9E2BCC2"/>
    <w:rsid w:val="EB5FB6A1"/>
    <w:rsid w:val="EBB7EC7C"/>
    <w:rsid w:val="EBBF584C"/>
    <w:rsid w:val="EBD790AB"/>
    <w:rsid w:val="EBFA0E27"/>
    <w:rsid w:val="ECFE212A"/>
    <w:rsid w:val="ED3FC30E"/>
    <w:rsid w:val="EDCF763D"/>
    <w:rsid w:val="EDD7B16E"/>
    <w:rsid w:val="EDEDAB0B"/>
    <w:rsid w:val="EE6BDF16"/>
    <w:rsid w:val="EE772314"/>
    <w:rsid w:val="EE7EAD51"/>
    <w:rsid w:val="EE9F5D22"/>
    <w:rsid w:val="EEE7207C"/>
    <w:rsid w:val="EEF39E21"/>
    <w:rsid w:val="EF4F03C6"/>
    <w:rsid w:val="EF674767"/>
    <w:rsid w:val="EF7E3EF3"/>
    <w:rsid w:val="EF7FFB4D"/>
    <w:rsid w:val="EFBCC93F"/>
    <w:rsid w:val="EFED3C1F"/>
    <w:rsid w:val="EFEDE332"/>
    <w:rsid w:val="EFEF52BC"/>
    <w:rsid w:val="EFFA0840"/>
    <w:rsid w:val="EFFAA5AC"/>
    <w:rsid w:val="EFFD5083"/>
    <w:rsid w:val="EFFDA1EA"/>
    <w:rsid w:val="EFFFC444"/>
    <w:rsid w:val="EFFFCA31"/>
    <w:rsid w:val="EFFFE965"/>
    <w:rsid w:val="F0FE500C"/>
    <w:rsid w:val="F0FF5A12"/>
    <w:rsid w:val="F15954F4"/>
    <w:rsid w:val="F1651ACD"/>
    <w:rsid w:val="F1FBBFBB"/>
    <w:rsid w:val="F2F60A24"/>
    <w:rsid w:val="F32704A3"/>
    <w:rsid w:val="F35757A0"/>
    <w:rsid w:val="F3FFD3D7"/>
    <w:rsid w:val="F4EB6917"/>
    <w:rsid w:val="F55749F9"/>
    <w:rsid w:val="F55BA940"/>
    <w:rsid w:val="F55EC05C"/>
    <w:rsid w:val="F56DB8F1"/>
    <w:rsid w:val="F63FE5F6"/>
    <w:rsid w:val="F65DC8BD"/>
    <w:rsid w:val="F6A7B0DF"/>
    <w:rsid w:val="F6DDB0B8"/>
    <w:rsid w:val="F6E86339"/>
    <w:rsid w:val="F6E9B6EE"/>
    <w:rsid w:val="F6F75672"/>
    <w:rsid w:val="F6FA8ED6"/>
    <w:rsid w:val="F6FBD72E"/>
    <w:rsid w:val="F6FEA541"/>
    <w:rsid w:val="F73F7BA4"/>
    <w:rsid w:val="F794FED3"/>
    <w:rsid w:val="F7ADCCFE"/>
    <w:rsid w:val="F7BFBEC9"/>
    <w:rsid w:val="F7E97EBD"/>
    <w:rsid w:val="F7EA7D9B"/>
    <w:rsid w:val="F7EBA11C"/>
    <w:rsid w:val="F7ED797D"/>
    <w:rsid w:val="F7EF0BA8"/>
    <w:rsid w:val="F7EF1F4E"/>
    <w:rsid w:val="F7F382E9"/>
    <w:rsid w:val="F7FA112A"/>
    <w:rsid w:val="F7FBF1B2"/>
    <w:rsid w:val="F7FDD0DF"/>
    <w:rsid w:val="F7FF52C2"/>
    <w:rsid w:val="F96458B3"/>
    <w:rsid w:val="F98F7DA9"/>
    <w:rsid w:val="F9AD973E"/>
    <w:rsid w:val="F9BC8509"/>
    <w:rsid w:val="F9EAA6D5"/>
    <w:rsid w:val="F9F79D19"/>
    <w:rsid w:val="F9FF5D57"/>
    <w:rsid w:val="FA76F4FB"/>
    <w:rsid w:val="FABE1F08"/>
    <w:rsid w:val="FADFE371"/>
    <w:rsid w:val="FAEDB8AD"/>
    <w:rsid w:val="FAFE0C1E"/>
    <w:rsid w:val="FAFF007F"/>
    <w:rsid w:val="FB3FDA8C"/>
    <w:rsid w:val="FBBF0A32"/>
    <w:rsid w:val="FBF68C9E"/>
    <w:rsid w:val="FBF77E90"/>
    <w:rsid w:val="FBFA5A00"/>
    <w:rsid w:val="FBFEF127"/>
    <w:rsid w:val="FBFFC43A"/>
    <w:rsid w:val="FBFFC831"/>
    <w:rsid w:val="FBFFD4CC"/>
    <w:rsid w:val="FC35FF1C"/>
    <w:rsid w:val="FCFC50BC"/>
    <w:rsid w:val="FCFF935B"/>
    <w:rsid w:val="FCFFE369"/>
    <w:rsid w:val="FD27F0DA"/>
    <w:rsid w:val="FD4DA971"/>
    <w:rsid w:val="FD652F1D"/>
    <w:rsid w:val="FD7BC414"/>
    <w:rsid w:val="FDA77A4F"/>
    <w:rsid w:val="FDBD2522"/>
    <w:rsid w:val="FDCECD95"/>
    <w:rsid w:val="FDDC700B"/>
    <w:rsid w:val="FDEA6C06"/>
    <w:rsid w:val="FDED6119"/>
    <w:rsid w:val="FDF60CA5"/>
    <w:rsid w:val="FDF71911"/>
    <w:rsid w:val="FDFDEC83"/>
    <w:rsid w:val="FDFFCC07"/>
    <w:rsid w:val="FE1E89C0"/>
    <w:rsid w:val="FE33CDFA"/>
    <w:rsid w:val="FE3A6B68"/>
    <w:rsid w:val="FE3F7B1F"/>
    <w:rsid w:val="FE57A81A"/>
    <w:rsid w:val="FE797018"/>
    <w:rsid w:val="FE7D31F1"/>
    <w:rsid w:val="FE7FA660"/>
    <w:rsid w:val="FEBF26E1"/>
    <w:rsid w:val="FEDF33C2"/>
    <w:rsid w:val="FEEFF331"/>
    <w:rsid w:val="FEF706E0"/>
    <w:rsid w:val="FEF8AA4A"/>
    <w:rsid w:val="FEF909BE"/>
    <w:rsid w:val="FEFEF9CF"/>
    <w:rsid w:val="FEFF25E5"/>
    <w:rsid w:val="FEFF27DA"/>
    <w:rsid w:val="FF3B3B35"/>
    <w:rsid w:val="FF5377E0"/>
    <w:rsid w:val="FF54441B"/>
    <w:rsid w:val="FF778812"/>
    <w:rsid w:val="FF7AFFE0"/>
    <w:rsid w:val="FF7E218F"/>
    <w:rsid w:val="FF7E81FA"/>
    <w:rsid w:val="FF7FA769"/>
    <w:rsid w:val="FFA5E936"/>
    <w:rsid w:val="FFB957E2"/>
    <w:rsid w:val="FFBFAAA0"/>
    <w:rsid w:val="FFD44B27"/>
    <w:rsid w:val="FFD78CF5"/>
    <w:rsid w:val="FFDC9311"/>
    <w:rsid w:val="FFEE9524"/>
    <w:rsid w:val="FFF7FC08"/>
    <w:rsid w:val="FFFA8CAA"/>
    <w:rsid w:val="FFFE8ECA"/>
    <w:rsid w:val="FFFE9BF7"/>
    <w:rsid w:val="FFFF11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4"/>
      <w:szCs w:val="24"/>
      <w:lang w:val="en-US" w:eastAsia="zh-CN" w:bidi="ar-SA"/>
    </w:rPr>
  </w:style>
  <w:style w:type="character" w:default="1" w:styleId="17">
    <w:name w:val="Default Paragraph Font"/>
    <w:unhideWhenUsed/>
    <w:qFormat/>
    <w:uiPriority w:val="1"/>
    <w:rPr>
      <w:rFonts w:ascii="Calibri" w:hAnsi="Calibri"/>
      <w:szCs w:val="22"/>
    </w:rPr>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unhideWhenUsed/>
    <w:qFormat/>
    <w:uiPriority w:val="99"/>
    <w:pPr>
      <w:jc w:val="left"/>
    </w:pPr>
  </w:style>
  <w:style w:type="paragraph" w:styleId="4">
    <w:name w:val="Body Text"/>
    <w:basedOn w:val="1"/>
    <w:next w:val="1"/>
    <w:unhideWhenUsed/>
    <w:qFormat/>
    <w:uiPriority w:val="99"/>
    <w:pPr>
      <w:jc w:val="center"/>
    </w:pPr>
    <w:rPr>
      <w:b/>
      <w:bCs/>
      <w:sz w:val="36"/>
    </w:rPr>
  </w:style>
  <w:style w:type="paragraph" w:styleId="5">
    <w:name w:val="Body Text Indent"/>
    <w:basedOn w:val="1"/>
    <w:qFormat/>
    <w:uiPriority w:val="99"/>
    <w:pPr>
      <w:ind w:firstLine="600"/>
    </w:pPr>
    <w:rPr>
      <w:sz w:val="30"/>
    </w:r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line="540" w:lineRule="exact"/>
    </w:pPr>
    <w:rPr>
      <w:rFonts w:ascii="黑体" w:eastAsia="黑体"/>
      <w:b/>
      <w:bCs/>
      <w:sz w:val="3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Body Text First Indent 2"/>
    <w:basedOn w:val="5"/>
    <w:next w:val="7"/>
    <w:qFormat/>
    <w:uiPriority w:val="0"/>
    <w:pPr>
      <w:spacing w:after="0"/>
      <w:ind w:left="0" w:leftChars="0" w:firstLine="420" w:firstLineChars="200"/>
    </w:pPr>
    <w:rPr>
      <w:sz w:val="30"/>
      <w:szCs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unhideWhenUsed/>
    <w:qFormat/>
    <w:uiPriority w:val="99"/>
  </w:style>
  <w:style w:type="character" w:customStyle="1" w:styleId="20">
    <w:name w:val="批注框文本 Char"/>
    <w:basedOn w:val="17"/>
    <w:link w:val="8"/>
    <w:semiHidden/>
    <w:qFormat/>
    <w:uiPriority w:val="99"/>
    <w:rPr>
      <w:rFonts w:ascii="Times New Roman" w:hAnsi="Times New Roman" w:eastAsia="仿宋_GB2312" w:cs="Times New Roman"/>
      <w:sz w:val="18"/>
      <w:szCs w:val="18"/>
    </w:rPr>
  </w:style>
  <w:style w:type="character" w:customStyle="1" w:styleId="21">
    <w:name w:val="页脚 Char"/>
    <w:basedOn w:val="17"/>
    <w:link w:val="9"/>
    <w:qFormat/>
    <w:uiPriority w:val="99"/>
    <w:rPr>
      <w:rFonts w:ascii="Times New Roman" w:hAnsi="Times New Roman" w:eastAsia="仿宋_GB2312" w:cs="Times New Roman"/>
      <w:sz w:val="18"/>
      <w:szCs w:val="18"/>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paragraph" w:customStyle="1" w:styleId="23">
    <w:name w:val="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customStyle="1" w:styleId="24">
    <w:name w:val=" Char Char Char Char Char Char Char"/>
    <w:basedOn w:val="1"/>
    <w:qFormat/>
    <w:uiPriority w:val="0"/>
    <w:pPr>
      <w:widowControl/>
      <w:spacing w:after="160" w:line="240" w:lineRule="exact"/>
      <w:jc w:val="left"/>
    </w:pPr>
    <w:rPr>
      <w:rFonts w:eastAsia="宋体"/>
      <w:sz w:val="21"/>
      <w:szCs w:val="20"/>
    </w:rPr>
  </w:style>
  <w:style w:type="paragraph" w:customStyle="1" w:styleId="25">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List Paragraph"/>
    <w:basedOn w:val="1"/>
    <w:qFormat/>
    <w:uiPriority w:val="34"/>
    <w:pPr>
      <w:ind w:firstLine="420" w:firstLineChars="200"/>
    </w:pPr>
  </w:style>
  <w:style w:type="paragraph" w:customStyle="1" w:styleId="27">
    <w:name w:val="Char Char1"/>
    <w:basedOn w:val="1"/>
    <w:qFormat/>
    <w:uiPriority w:val="0"/>
    <w:pPr>
      <w:widowControl/>
      <w:spacing w:after="160" w:line="240" w:lineRule="exact"/>
      <w:jc w:val="left"/>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4382</Words>
  <Characters>4528</Characters>
  <Lines>60</Lines>
  <Paragraphs>17</Paragraphs>
  <TotalTime>0</TotalTime>
  <ScaleCrop>false</ScaleCrop>
  <LinksUpToDate>false</LinksUpToDate>
  <CharactersWithSpaces>4598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2019-01-12T10:00:00Z</dcterms:created>
  <dc:creator>dell</dc:creator>
  <cp:lastModifiedBy>user</cp:lastModifiedBy>
  <cp:lastPrinted>2023-03-09T03:28:00Z</cp:lastPrinted>
  <dcterms:modified xsi:type="dcterms:W3CDTF">2024-01-10T15:46:34Z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52E4FB8F79A765365A4B9E6555AAC653</vt:lpwstr>
  </property>
</Properties>
</file>