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南开区应急管理局2020</w:t>
      </w:r>
      <w:r>
        <w:rPr>
          <w:rFonts w:hint="eastAsia" w:ascii="方正小标宋简体" w:hAnsi="方正小标宋简体" w:eastAsia="方正小标宋简体" w:cs="方正小标宋简体"/>
          <w:b w:val="0"/>
          <w:bCs w:val="0"/>
          <w:sz w:val="44"/>
          <w:szCs w:val="44"/>
          <w:lang w:eastAsia="zh-CN"/>
        </w:rPr>
        <w:t>年度</w:t>
      </w:r>
      <w:r>
        <w:rPr>
          <w:rFonts w:hint="eastAsia" w:ascii="方正小标宋简体" w:hAnsi="方正小标宋简体" w:eastAsia="方正小标宋简体" w:cs="方正小标宋简体"/>
          <w:b w:val="0"/>
          <w:bCs w:val="0"/>
          <w:sz w:val="44"/>
          <w:szCs w:val="44"/>
        </w:rPr>
        <w:t>法治政府建设</w:t>
      </w:r>
      <w:r>
        <w:rPr>
          <w:rFonts w:hint="eastAsia" w:ascii="方正小标宋简体" w:hAnsi="方正小标宋简体" w:eastAsia="方正小标宋简体" w:cs="方正小标宋简体"/>
          <w:b w:val="0"/>
          <w:bCs w:val="0"/>
          <w:sz w:val="44"/>
          <w:szCs w:val="44"/>
          <w:lang w:eastAsia="zh-CN"/>
        </w:rPr>
        <w:t>情况报告</w:t>
      </w:r>
    </w:p>
    <w:p>
      <w:pPr>
        <w:keepNext w:val="0"/>
        <w:keepLines w:val="0"/>
        <w:pageBreakBefore w:val="0"/>
        <w:kinsoku/>
        <w:wordWrap/>
        <w:overflowPunct/>
        <w:topLinePunct w:val="0"/>
        <w:bidi w:val="0"/>
        <w:adjustRightInd w:val="0"/>
        <w:snapToGrid w:val="0"/>
        <w:spacing w:line="588" w:lineRule="exact"/>
        <w:ind w:firstLine="640" w:firstLineChars="200"/>
        <w:textAlignment w:val="auto"/>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bidi w:val="0"/>
        <w:adjustRightInd w:val="0"/>
        <w:snapToGrid w:val="0"/>
        <w:spacing w:line="588" w:lineRule="exact"/>
        <w:ind w:left="0" w:firstLine="680" w:firstLineChars="200"/>
        <w:jc w:val="both"/>
        <w:textAlignment w:val="auto"/>
        <w:rPr>
          <w:rFonts w:hint="eastAsia" w:ascii="仿宋" w:hAnsi="仿宋" w:eastAsia="仿宋" w:cs="仿宋"/>
          <w:sz w:val="34"/>
          <w:szCs w:val="34"/>
          <w:lang w:eastAsia="zh-CN"/>
        </w:rPr>
      </w:pPr>
      <w:r>
        <w:rPr>
          <w:rFonts w:hint="eastAsia" w:ascii="仿宋" w:hAnsi="仿宋" w:eastAsia="仿宋" w:cs="仿宋"/>
          <w:sz w:val="34"/>
          <w:szCs w:val="34"/>
        </w:rPr>
        <w:t>2020年</w:t>
      </w:r>
      <w:r>
        <w:rPr>
          <w:rFonts w:hint="eastAsia" w:ascii="仿宋" w:hAnsi="仿宋" w:eastAsia="仿宋" w:cs="仿宋"/>
          <w:sz w:val="34"/>
          <w:szCs w:val="34"/>
          <w:lang w:eastAsia="zh-CN"/>
        </w:rPr>
        <w:t>，</w:t>
      </w:r>
      <w:r>
        <w:rPr>
          <w:rFonts w:hint="eastAsia" w:ascii="仿宋" w:hAnsi="仿宋" w:eastAsia="仿宋" w:cs="仿宋"/>
          <w:sz w:val="34"/>
          <w:szCs w:val="34"/>
        </w:rPr>
        <w:t>区应急管理局在区委、区政府的正确领导下，在依法治区办的业务指导下，克服“疫情”困难，全面贯彻落实安全生产法律法规和《天津市行政执法监督规定》的要求，不断完善行政执法工作责任制，加强行政执法监督，完善机关内部管理，规范一线执法科室执法行为，以天津市法治政府建设示范指标体系有关标准要求为工作标准，狠抓政策法规落实，确保执法队伍法制意识全面提高，依法行政能力显著增强。现将</w:t>
      </w:r>
      <w:r>
        <w:rPr>
          <w:rFonts w:hint="eastAsia" w:ascii="仿宋" w:hAnsi="仿宋" w:eastAsia="仿宋" w:cs="仿宋"/>
          <w:sz w:val="34"/>
          <w:szCs w:val="34"/>
          <w:lang w:val="en-US" w:eastAsia="zh-CN"/>
        </w:rPr>
        <w:t>2020</w:t>
      </w:r>
      <w:r>
        <w:rPr>
          <w:rFonts w:hint="eastAsia" w:ascii="仿宋" w:hAnsi="仿宋" w:eastAsia="仿宋" w:cs="仿宋"/>
          <w:sz w:val="34"/>
          <w:szCs w:val="34"/>
        </w:rPr>
        <w:t>年度法治政府建设情况报告如下</w:t>
      </w:r>
      <w:r>
        <w:rPr>
          <w:rFonts w:hint="eastAsia" w:ascii="仿宋" w:hAnsi="仿宋" w:eastAsia="仿宋" w:cs="仿宋"/>
          <w:sz w:val="34"/>
          <w:szCs w:val="34"/>
          <w:lang w:eastAsia="zh-CN"/>
        </w:rPr>
        <w:t>：</w:t>
      </w:r>
    </w:p>
    <w:p>
      <w:pPr>
        <w:keepNext w:val="0"/>
        <w:keepLines w:val="0"/>
        <w:pageBreakBefore w:val="0"/>
        <w:kinsoku/>
        <w:wordWrap/>
        <w:overflowPunct/>
        <w:topLinePunct w:val="0"/>
        <w:bidi w:val="0"/>
        <w:adjustRightInd w:val="0"/>
        <w:snapToGrid w:val="0"/>
        <w:spacing w:line="588" w:lineRule="exact"/>
        <w:ind w:left="0" w:firstLine="680" w:firstLineChars="200"/>
        <w:jc w:val="both"/>
        <w:textAlignment w:val="auto"/>
        <w:rPr>
          <w:rFonts w:hint="eastAsia" w:ascii="仿宋" w:hAnsi="仿宋" w:eastAsia="仿宋" w:cs="仿宋"/>
          <w:sz w:val="34"/>
          <w:szCs w:val="34"/>
          <w:lang w:eastAsia="zh-CN"/>
        </w:rPr>
      </w:pPr>
      <w:r>
        <w:rPr>
          <w:rFonts w:hint="eastAsia" w:ascii="黑体" w:hAnsi="黑体" w:eastAsia="黑体" w:cs="黑体"/>
          <w:sz w:val="34"/>
          <w:szCs w:val="34"/>
          <w:lang w:eastAsia="zh-CN"/>
        </w:rPr>
        <w:t>一、</w:t>
      </w:r>
      <w:r>
        <w:rPr>
          <w:rFonts w:hint="eastAsia" w:ascii="黑体" w:hAnsi="黑体" w:eastAsia="黑体" w:cs="黑体"/>
          <w:sz w:val="34"/>
          <w:szCs w:val="34"/>
          <w:lang w:val="en-US" w:eastAsia="zh-CN"/>
        </w:rPr>
        <w:t>2020</w:t>
      </w:r>
      <w:r>
        <w:rPr>
          <w:rFonts w:hint="eastAsia" w:ascii="黑体" w:hAnsi="黑体" w:eastAsia="黑体" w:cs="黑体"/>
          <w:sz w:val="34"/>
          <w:szCs w:val="34"/>
          <w:lang w:eastAsia="zh-CN"/>
        </w:rPr>
        <w:t>年推进法治政府建设的主要举措和成效</w:t>
      </w:r>
    </w:p>
    <w:p>
      <w:pPr>
        <w:pStyle w:val="15"/>
        <w:keepNext w:val="0"/>
        <w:keepLines w:val="0"/>
        <w:pageBreakBefore w:val="0"/>
        <w:numPr>
          <w:ilvl w:val="0"/>
          <w:numId w:val="0"/>
        </w:numPr>
        <w:kinsoku/>
        <w:wordWrap/>
        <w:overflowPunct/>
        <w:topLinePunct w:val="0"/>
        <w:bidi w:val="0"/>
        <w:adjustRightInd w:val="0"/>
        <w:snapToGrid w:val="0"/>
        <w:spacing w:line="588" w:lineRule="exact"/>
        <w:ind w:left="0" w:leftChars="0" w:firstLine="680" w:firstLineChars="200"/>
        <w:jc w:val="both"/>
        <w:textAlignment w:val="auto"/>
        <w:rPr>
          <w:rFonts w:hint="eastAsia" w:ascii="楷体" w:hAnsi="楷体" w:eastAsia="楷体" w:cs="楷体"/>
          <w:b w:val="0"/>
          <w:bCs w:val="0"/>
          <w:color w:val="000000"/>
          <w:sz w:val="34"/>
          <w:szCs w:val="34"/>
        </w:rPr>
      </w:pPr>
      <w:r>
        <w:rPr>
          <w:rFonts w:hint="eastAsia" w:ascii="楷体" w:hAnsi="楷体" w:eastAsia="楷体" w:cs="楷体"/>
          <w:b w:val="0"/>
          <w:bCs w:val="0"/>
          <w:color w:val="000000"/>
          <w:sz w:val="34"/>
          <w:szCs w:val="34"/>
          <w:lang w:eastAsia="zh-CN"/>
        </w:rPr>
        <w:t>（一）</w:t>
      </w:r>
      <w:r>
        <w:rPr>
          <w:rFonts w:hint="eastAsia" w:ascii="楷体" w:hAnsi="楷体" w:eastAsia="楷体" w:cs="楷体"/>
          <w:b w:val="0"/>
          <w:bCs w:val="0"/>
          <w:color w:val="000000"/>
          <w:sz w:val="34"/>
          <w:szCs w:val="34"/>
        </w:rPr>
        <w:t>依法全面履行政府职能</w:t>
      </w:r>
    </w:p>
    <w:p>
      <w:pPr>
        <w:keepNext w:val="0"/>
        <w:keepLines w:val="0"/>
        <w:pageBreakBefore w:val="0"/>
        <w:kinsoku/>
        <w:wordWrap/>
        <w:overflowPunct/>
        <w:topLinePunct w:val="0"/>
        <w:bidi w:val="0"/>
        <w:adjustRightInd w:val="0"/>
        <w:snapToGrid w:val="0"/>
        <w:spacing w:line="588" w:lineRule="exact"/>
        <w:ind w:left="0" w:firstLine="682"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lang w:val="en-US" w:eastAsia="zh-CN"/>
        </w:rPr>
        <w:t>1.</w:t>
      </w:r>
      <w:r>
        <w:rPr>
          <w:rFonts w:hint="eastAsia" w:ascii="仿宋" w:hAnsi="仿宋" w:eastAsia="仿宋" w:cs="仿宋"/>
          <w:b/>
          <w:bCs/>
          <w:sz w:val="34"/>
          <w:szCs w:val="34"/>
        </w:rPr>
        <w:t>全面落实“双随机、一公开”监管</w:t>
      </w:r>
      <w:r>
        <w:rPr>
          <w:rFonts w:hint="eastAsia" w:ascii="仿宋" w:hAnsi="仿宋" w:eastAsia="仿宋" w:cs="仿宋"/>
          <w:b/>
          <w:bCs/>
          <w:sz w:val="34"/>
          <w:szCs w:val="34"/>
          <w:lang w:eastAsia="zh-CN"/>
        </w:rPr>
        <w:t>。</w:t>
      </w:r>
      <w:r>
        <w:rPr>
          <w:rFonts w:hint="eastAsia" w:ascii="仿宋" w:hAnsi="仿宋" w:eastAsia="仿宋" w:cs="仿宋"/>
          <w:sz w:val="34"/>
          <w:szCs w:val="34"/>
        </w:rPr>
        <w:t>我局高度重视联合检查工作，明确了分管领导和责任科室，要求责任科室严格按照市场监管局要求，积极报送信息、认真参与检查，落实好联合检查工作，2020年牵头，区市场监管局、区人社局、公安南开分局、区税务局和公积金管理中心等部门参加，对辖区内危化品经营单位（不带储存）进行了双随机检查，共检查6家单位并将检查情况</w:t>
      </w:r>
      <w:r>
        <w:rPr>
          <w:rFonts w:hint="eastAsia" w:ascii="仿宋" w:hAnsi="仿宋" w:eastAsia="仿宋" w:cs="仿宋"/>
          <w:sz w:val="34"/>
          <w:szCs w:val="34"/>
          <w:lang w:eastAsia="zh-CN"/>
        </w:rPr>
        <w:t>及</w:t>
      </w:r>
      <w:r>
        <w:rPr>
          <w:rFonts w:hint="eastAsia" w:ascii="仿宋" w:hAnsi="仿宋" w:eastAsia="仿宋" w:cs="仿宋"/>
          <w:sz w:val="34"/>
          <w:szCs w:val="34"/>
        </w:rPr>
        <w:t>存在</w:t>
      </w:r>
      <w:r>
        <w:rPr>
          <w:rFonts w:hint="eastAsia" w:ascii="仿宋" w:hAnsi="仿宋" w:eastAsia="仿宋" w:cs="仿宋"/>
          <w:sz w:val="34"/>
          <w:szCs w:val="34"/>
          <w:lang w:eastAsia="zh-CN"/>
        </w:rPr>
        <w:t>的</w:t>
      </w:r>
      <w:r>
        <w:rPr>
          <w:rFonts w:hint="eastAsia" w:ascii="仿宋" w:hAnsi="仿宋" w:eastAsia="仿宋" w:cs="仿宋"/>
          <w:sz w:val="34"/>
          <w:szCs w:val="34"/>
        </w:rPr>
        <w:t>问题</w:t>
      </w:r>
      <w:r>
        <w:rPr>
          <w:rFonts w:hint="eastAsia" w:ascii="仿宋" w:hAnsi="仿宋" w:eastAsia="仿宋" w:cs="仿宋"/>
          <w:sz w:val="34"/>
          <w:szCs w:val="34"/>
          <w:lang w:eastAsia="zh-CN"/>
        </w:rPr>
        <w:t>等情况</w:t>
      </w:r>
      <w:r>
        <w:rPr>
          <w:rFonts w:hint="eastAsia" w:ascii="仿宋" w:hAnsi="仿宋" w:eastAsia="仿宋" w:cs="仿宋"/>
          <w:sz w:val="34"/>
          <w:szCs w:val="34"/>
        </w:rPr>
        <w:t>在我局官网公布。</w:t>
      </w:r>
    </w:p>
    <w:p>
      <w:pPr>
        <w:keepNext w:val="0"/>
        <w:keepLines w:val="0"/>
        <w:pageBreakBefore w:val="0"/>
        <w:kinsoku/>
        <w:wordWrap/>
        <w:overflowPunct/>
        <w:topLinePunct w:val="0"/>
        <w:bidi w:val="0"/>
        <w:adjustRightInd w:val="0"/>
        <w:snapToGrid w:val="0"/>
        <w:spacing w:line="588" w:lineRule="exact"/>
        <w:ind w:left="0" w:firstLine="682"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lang w:val="en-US" w:eastAsia="zh-CN"/>
        </w:rPr>
        <w:t>2.</w:t>
      </w:r>
      <w:r>
        <w:rPr>
          <w:rFonts w:hint="eastAsia" w:ascii="仿宋" w:hAnsi="仿宋" w:eastAsia="仿宋" w:cs="仿宋"/>
          <w:b/>
          <w:bCs/>
          <w:sz w:val="34"/>
          <w:szCs w:val="34"/>
        </w:rPr>
        <w:t>加强信用监管</w:t>
      </w:r>
      <w:r>
        <w:rPr>
          <w:rFonts w:hint="eastAsia" w:ascii="仿宋" w:hAnsi="仿宋" w:eastAsia="仿宋" w:cs="仿宋"/>
          <w:b/>
          <w:bCs/>
          <w:sz w:val="34"/>
          <w:szCs w:val="34"/>
          <w:lang w:eastAsia="zh-CN"/>
        </w:rPr>
        <w:t>。</w:t>
      </w:r>
      <w:r>
        <w:rPr>
          <w:rFonts w:hint="eastAsia" w:ascii="仿宋" w:hAnsi="仿宋" w:eastAsia="仿宋" w:cs="仿宋"/>
          <w:sz w:val="34"/>
          <w:szCs w:val="34"/>
        </w:rPr>
        <w:t>积极落实国务院《关于建立完善守信联合激励和失信联合惩戒制度加快推进社会诚信建设的指导意见》，依据原国家安监总局印发的《对安全生产领域失信行为开展联合惩戒的实施办法》（安监总办〔2017〕49号）和《天津市安全生产领域失信行为联合惩戒信息管理制度》（津安监管法〔2017〕59号）的规定，每月按时向市应急管理局报送《天津市安全生产领域失信行为联合惩戒的单位及其人员名单》。继续深入贯彻落实“天津市应急管理局转发应急管理部办公厅关于修订《冶金有色建材机械</w:t>
      </w:r>
      <w:r>
        <w:rPr>
          <w:rFonts w:hint="eastAsia" w:ascii="仿宋" w:hAnsi="仿宋" w:eastAsia="仿宋" w:cs="仿宋"/>
          <w:sz w:val="34"/>
          <w:szCs w:val="34"/>
          <w:lang w:eastAsia="zh-CN"/>
        </w:rPr>
        <w:t>轻工</w:t>
      </w:r>
      <w:bookmarkStart w:id="0" w:name="_GoBack"/>
      <w:bookmarkEnd w:id="0"/>
      <w:r>
        <w:rPr>
          <w:rFonts w:hint="eastAsia" w:ascii="仿宋" w:hAnsi="仿宋" w:eastAsia="仿宋" w:cs="仿宋"/>
          <w:sz w:val="34"/>
          <w:szCs w:val="34"/>
        </w:rPr>
        <w:t>纺织烟草商贸行业安全监管分类标准（试行）》的通知（津应急【2019】4号）”要求，明确监管界限并将八大领域生产经营单位纳入失信行为联合惩戒考察范围，对涉嫌失信行为的相关单位绝不姑息，严格执法，做到市场主体“一处违法、处处受限”，2020年我区安全生产领域失信行为联合惩戒单位和人员为零。</w:t>
      </w:r>
    </w:p>
    <w:p>
      <w:pPr>
        <w:keepNext w:val="0"/>
        <w:keepLines w:val="0"/>
        <w:pageBreakBefore w:val="0"/>
        <w:kinsoku/>
        <w:wordWrap/>
        <w:overflowPunct/>
        <w:topLinePunct w:val="0"/>
        <w:bidi w:val="0"/>
        <w:adjustRightInd w:val="0"/>
        <w:snapToGrid w:val="0"/>
        <w:spacing w:line="588" w:lineRule="exact"/>
        <w:ind w:left="0" w:firstLine="682"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lang w:val="en-US" w:eastAsia="zh-CN"/>
        </w:rPr>
        <w:t>3.</w:t>
      </w:r>
      <w:r>
        <w:rPr>
          <w:rFonts w:hint="eastAsia" w:ascii="仿宋" w:hAnsi="仿宋" w:eastAsia="仿宋" w:cs="仿宋"/>
          <w:b/>
          <w:bCs/>
          <w:sz w:val="34"/>
          <w:szCs w:val="34"/>
        </w:rPr>
        <w:t>优化法治营商环境</w:t>
      </w:r>
      <w:r>
        <w:rPr>
          <w:rFonts w:hint="eastAsia" w:ascii="仿宋" w:hAnsi="仿宋" w:eastAsia="仿宋" w:cs="仿宋"/>
          <w:b/>
          <w:bCs/>
          <w:sz w:val="34"/>
          <w:szCs w:val="34"/>
          <w:lang w:eastAsia="zh-CN"/>
        </w:rPr>
        <w:t>。</w:t>
      </w:r>
      <w:r>
        <w:rPr>
          <w:rFonts w:hint="eastAsia" w:ascii="仿宋" w:hAnsi="仿宋" w:eastAsia="仿宋" w:cs="仿宋"/>
          <w:sz w:val="34"/>
          <w:szCs w:val="34"/>
        </w:rPr>
        <w:t>我局积极配合做好全区营造法治化营商环境保护民营企业发展工作，疫情期间保障各企业安全有序复工复产，行政执法工作减少不必要的行政执法事项，提高服务意识，对发现的隐患以督促整改为主。在区发改委和区商务局协助下，区应急局对提出复产复工企业进行检查，重点对复工企业复工前隐患排查、员工安全教育等安全生产措施落实情况进行检查。共出动30车次、累计派出60人次、帮扶指导楼宇80座、企业61家，保证疫情防控、安全生产“双到位”。</w:t>
      </w:r>
    </w:p>
    <w:p>
      <w:pPr>
        <w:keepNext w:val="0"/>
        <w:keepLines w:val="0"/>
        <w:pageBreakBefore w:val="0"/>
        <w:kinsoku/>
        <w:wordWrap/>
        <w:overflowPunct/>
        <w:topLinePunct w:val="0"/>
        <w:bidi w:val="0"/>
        <w:adjustRightInd w:val="0"/>
        <w:snapToGrid w:val="0"/>
        <w:spacing w:line="588" w:lineRule="exact"/>
        <w:ind w:left="0" w:firstLine="680" w:firstLineChars="200"/>
        <w:jc w:val="both"/>
        <w:textAlignment w:val="auto"/>
        <w:rPr>
          <w:rFonts w:hint="eastAsia" w:ascii="仿宋" w:hAnsi="仿宋" w:eastAsia="仿宋" w:cs="仿宋"/>
          <w:sz w:val="34"/>
          <w:szCs w:val="34"/>
        </w:rPr>
      </w:pPr>
      <w:r>
        <w:rPr>
          <w:rFonts w:hint="eastAsia" w:ascii="仿宋" w:hAnsi="仿宋" w:eastAsia="仿宋" w:cs="仿宋"/>
          <w:sz w:val="34"/>
          <w:szCs w:val="34"/>
        </w:rPr>
        <w:t>坚持“护幼容错不赦罪”原则，严格落实《市应急管理局关于印发&lt;天津市安全生产轻微违法违规行为免罚清单（试行）&gt;的通知》要求，对首次发现、情节轻微、没有造成后果和立即整改的违法违规行为实施容错机制，严防执法“一刀切”现象。对立案企业进行行政罚款处罚时严格遵循自由裁量标准，对配合执法工作积极整改的企业进行自由裁量的下限处罚，2020年我局对44家违规单位下达了行政罚款处罚决定书，没有因处罚裁量标准引起行政诉讼和行政复议。</w:t>
      </w:r>
    </w:p>
    <w:p>
      <w:pPr>
        <w:keepNext w:val="0"/>
        <w:keepLines w:val="0"/>
        <w:pageBreakBefore w:val="0"/>
        <w:kinsoku/>
        <w:wordWrap/>
        <w:overflowPunct/>
        <w:topLinePunct w:val="0"/>
        <w:bidi w:val="0"/>
        <w:adjustRightInd w:val="0"/>
        <w:snapToGrid w:val="0"/>
        <w:spacing w:line="588" w:lineRule="exact"/>
        <w:ind w:left="0" w:firstLine="680" w:firstLineChars="200"/>
        <w:jc w:val="both"/>
        <w:textAlignment w:val="auto"/>
        <w:rPr>
          <w:rFonts w:hint="eastAsia" w:ascii="楷体" w:hAnsi="楷体" w:eastAsia="楷体" w:cs="楷体"/>
          <w:b w:val="0"/>
          <w:bCs w:val="0"/>
          <w:color w:val="000000"/>
          <w:sz w:val="34"/>
          <w:szCs w:val="34"/>
        </w:rPr>
      </w:pPr>
      <w:r>
        <w:rPr>
          <w:rFonts w:hint="eastAsia" w:ascii="楷体" w:hAnsi="楷体" w:eastAsia="楷体" w:cs="楷体"/>
          <w:b w:val="0"/>
          <w:bCs w:val="0"/>
          <w:color w:val="000000"/>
          <w:sz w:val="34"/>
          <w:szCs w:val="34"/>
          <w:lang w:eastAsia="zh-CN"/>
        </w:rPr>
        <w:t>（二）</w:t>
      </w:r>
      <w:r>
        <w:rPr>
          <w:rFonts w:hint="eastAsia" w:ascii="楷体" w:hAnsi="楷体" w:eastAsia="楷体" w:cs="楷体"/>
          <w:b w:val="0"/>
          <w:bCs w:val="0"/>
          <w:color w:val="000000"/>
          <w:sz w:val="34"/>
          <w:szCs w:val="34"/>
        </w:rPr>
        <w:t>严格落实行政执法“三项制度”，提升行政执法规范化水平</w:t>
      </w:r>
    </w:p>
    <w:p>
      <w:pPr>
        <w:keepNext w:val="0"/>
        <w:keepLines w:val="0"/>
        <w:pageBreakBefore w:val="0"/>
        <w:kinsoku/>
        <w:wordWrap/>
        <w:overflowPunct/>
        <w:topLinePunct w:val="0"/>
        <w:bidi w:val="0"/>
        <w:adjustRightInd w:val="0"/>
        <w:snapToGrid w:val="0"/>
        <w:spacing w:line="588" w:lineRule="exact"/>
        <w:ind w:left="0" w:firstLine="682" w:firstLineChars="200"/>
        <w:jc w:val="both"/>
        <w:textAlignment w:val="auto"/>
        <w:rPr>
          <w:rFonts w:hint="eastAsia" w:ascii="仿宋" w:hAnsi="仿宋" w:eastAsia="仿宋" w:cs="仿宋"/>
          <w:b/>
          <w:bCs/>
          <w:sz w:val="34"/>
          <w:szCs w:val="34"/>
        </w:rPr>
      </w:pPr>
      <w:r>
        <w:rPr>
          <w:rFonts w:hint="eastAsia" w:ascii="仿宋" w:hAnsi="仿宋" w:eastAsia="仿宋" w:cs="仿宋"/>
          <w:b/>
          <w:bCs/>
          <w:sz w:val="34"/>
          <w:szCs w:val="34"/>
          <w:lang w:val="en-US" w:eastAsia="zh-CN"/>
        </w:rPr>
        <w:t>1.</w:t>
      </w:r>
      <w:r>
        <w:rPr>
          <w:rFonts w:hint="eastAsia" w:ascii="仿宋" w:hAnsi="仿宋" w:eastAsia="仿宋" w:cs="仿宋"/>
          <w:b/>
          <w:bCs/>
          <w:sz w:val="34"/>
          <w:szCs w:val="34"/>
        </w:rPr>
        <w:t>严格落实行政执法公示制度</w:t>
      </w:r>
    </w:p>
    <w:p>
      <w:pPr>
        <w:keepNext w:val="0"/>
        <w:keepLines w:val="0"/>
        <w:pageBreakBefore w:val="0"/>
        <w:kinsoku/>
        <w:wordWrap/>
        <w:overflowPunct/>
        <w:topLinePunct w:val="0"/>
        <w:bidi w:val="0"/>
        <w:adjustRightInd w:val="0"/>
        <w:snapToGrid w:val="0"/>
        <w:spacing w:line="588" w:lineRule="exact"/>
        <w:ind w:left="0" w:firstLine="682"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rPr>
        <w:t>一是</w:t>
      </w:r>
      <w:r>
        <w:rPr>
          <w:rFonts w:hint="eastAsia" w:ascii="仿宋" w:hAnsi="仿宋" w:eastAsia="仿宋" w:cs="仿宋"/>
          <w:sz w:val="34"/>
          <w:szCs w:val="34"/>
        </w:rPr>
        <w:t>加强事前公开，在南开政务网公开行政许可、行政处罚、行政强制、行政检查及其他类别的权责清单，公开行政执法主体、职权名称、法定依据、实施机构、管理权限、运行流程、责任事项、监督方式等信息。规范事中公示，行政执法人员从事执法活动，要佩戴或者出示执法证件，并就执法活动向被检查对象告知说明，能够以执法文书告知的，应当出示执法文书。</w:t>
      </w:r>
      <w:r>
        <w:rPr>
          <w:rFonts w:hint="eastAsia" w:ascii="仿宋" w:hAnsi="仿宋" w:eastAsia="仿宋" w:cs="仿宋"/>
          <w:b/>
          <w:bCs/>
          <w:sz w:val="34"/>
          <w:szCs w:val="34"/>
        </w:rPr>
        <w:t>二是</w:t>
      </w:r>
      <w:r>
        <w:rPr>
          <w:rFonts w:hint="eastAsia" w:ascii="仿宋" w:hAnsi="仿宋" w:eastAsia="仿宋" w:cs="仿宋"/>
          <w:sz w:val="34"/>
          <w:szCs w:val="34"/>
        </w:rPr>
        <w:t>规范行政执法文书，严格按照《安全生产监管执法手册》（2020版）的要求，使用统一的制式行政执法文书。在执法活动中按规定出具执法文书，告知行政相对人执法事由、执法依据、权利义务等内容。</w:t>
      </w:r>
      <w:r>
        <w:rPr>
          <w:rFonts w:hint="eastAsia" w:ascii="仿宋" w:hAnsi="仿宋" w:eastAsia="仿宋" w:cs="仿宋"/>
          <w:b/>
          <w:bCs/>
          <w:sz w:val="34"/>
          <w:szCs w:val="34"/>
        </w:rPr>
        <w:t>三是</w:t>
      </w:r>
      <w:r>
        <w:rPr>
          <w:rFonts w:hint="eastAsia" w:ascii="仿宋" w:hAnsi="仿宋" w:eastAsia="仿宋" w:cs="仿宋"/>
          <w:sz w:val="34"/>
          <w:szCs w:val="34"/>
        </w:rPr>
        <w:t>加强事后公开，依托南开政务网，行政执法决定应当在作出之日起20个工作日内向社会公开，接受社会监督，全年公示行政罚款处罚案件44件。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left="0" w:firstLine="682"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lang w:val="en-US" w:eastAsia="zh-CN"/>
        </w:rPr>
        <w:t>2.</w:t>
      </w:r>
      <w:r>
        <w:rPr>
          <w:rFonts w:hint="eastAsia" w:ascii="仿宋" w:hAnsi="仿宋" w:eastAsia="仿宋" w:cs="仿宋"/>
          <w:b/>
          <w:bCs/>
          <w:sz w:val="34"/>
          <w:szCs w:val="34"/>
        </w:rPr>
        <w:t>全面执行执法全过程记录。</w:t>
      </w:r>
      <w:r>
        <w:rPr>
          <w:rFonts w:hint="eastAsia" w:ascii="仿宋" w:hAnsi="仿宋" w:eastAsia="仿宋" w:cs="仿宋"/>
          <w:sz w:val="34"/>
          <w:szCs w:val="34"/>
        </w:rPr>
        <w:t>全局一线执法科室配备20台执法记录仪对现场执法活动、留置送达、公告送达和执法场所进行全过程音像记录，取消纸质执法文书全面使用执法终端，利用天津市应急执法管理系统开展执法检查。规范音像记录，以执法科室为单位，对音像记录进行编号，编号与执法文书编号的规则一致，注明案件编号、采集时间、采集地点、采集人、证明对象等基本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left="0" w:firstLine="682" w:firstLineChars="200"/>
        <w:jc w:val="both"/>
        <w:textAlignment w:val="auto"/>
        <w:rPr>
          <w:rFonts w:hint="eastAsia" w:ascii="仿宋" w:hAnsi="仿宋" w:eastAsia="仿宋" w:cs="仿宋"/>
          <w:sz w:val="34"/>
          <w:szCs w:val="34"/>
        </w:rPr>
      </w:pPr>
      <w:r>
        <w:rPr>
          <w:rFonts w:hint="eastAsia" w:ascii="仿宋" w:hAnsi="仿宋" w:eastAsia="仿宋" w:cs="仿宋"/>
          <w:b/>
          <w:bCs/>
          <w:sz w:val="34"/>
          <w:szCs w:val="34"/>
          <w:lang w:val="en-US" w:eastAsia="zh-CN"/>
        </w:rPr>
        <w:t>3.</w:t>
      </w:r>
      <w:r>
        <w:rPr>
          <w:rFonts w:hint="eastAsia" w:ascii="仿宋" w:hAnsi="仿宋" w:eastAsia="仿宋" w:cs="仿宋"/>
          <w:b/>
          <w:bCs/>
          <w:sz w:val="34"/>
          <w:szCs w:val="34"/>
        </w:rPr>
        <w:t>推行重大执法决定法制审核制度。一是</w:t>
      </w:r>
      <w:r>
        <w:rPr>
          <w:rFonts w:hint="eastAsia" w:ascii="仿宋" w:hAnsi="仿宋" w:eastAsia="仿宋" w:cs="仿宋"/>
          <w:sz w:val="34"/>
          <w:szCs w:val="34"/>
        </w:rPr>
        <w:t>我局重大执法决定法制审核的工作机构为法制宣传科，按照法制审核人员不少于本单位执法人员总数5%的要求，我局法制宣传科设置两名专职人员负责法制审核工作。</w:t>
      </w:r>
      <w:r>
        <w:rPr>
          <w:rFonts w:hint="eastAsia" w:ascii="仿宋" w:hAnsi="仿宋" w:eastAsia="仿宋" w:cs="仿宋"/>
          <w:b/>
          <w:bCs/>
          <w:sz w:val="34"/>
          <w:szCs w:val="34"/>
        </w:rPr>
        <w:t>二是</w:t>
      </w:r>
      <w:r>
        <w:rPr>
          <w:rFonts w:hint="eastAsia" w:ascii="仿宋" w:hAnsi="仿宋" w:eastAsia="仿宋" w:cs="仿宋"/>
          <w:sz w:val="34"/>
          <w:szCs w:val="34"/>
        </w:rPr>
        <w:t>明确审核范围，凡涉及重大公共利益，可能造成重大社会影响或引发社会风险，直接关系行政相对人或第三人重大权益，经过听证程序作出行政执法决定，以及案件情况疑难复杂、涉及多个法律关系的，都要进行法制审核。</w:t>
      </w:r>
      <w:r>
        <w:rPr>
          <w:rFonts w:hint="eastAsia" w:ascii="仿宋" w:hAnsi="仿宋" w:eastAsia="仿宋" w:cs="仿宋"/>
          <w:b/>
          <w:bCs/>
          <w:sz w:val="34"/>
          <w:szCs w:val="34"/>
        </w:rPr>
        <w:t>三是</w:t>
      </w:r>
      <w:r>
        <w:rPr>
          <w:rFonts w:hint="eastAsia" w:ascii="仿宋" w:hAnsi="仿宋" w:eastAsia="仿宋" w:cs="仿宋"/>
          <w:sz w:val="34"/>
          <w:szCs w:val="34"/>
        </w:rPr>
        <w:t>明确审核内容，重大执法决定法制审核重点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w:t>
      </w:r>
      <w:r>
        <w:rPr>
          <w:rFonts w:hint="eastAsia" w:ascii="仿宋" w:hAnsi="仿宋" w:eastAsia="仿宋" w:cs="仿宋"/>
          <w:b/>
          <w:bCs/>
          <w:sz w:val="34"/>
          <w:szCs w:val="34"/>
        </w:rPr>
        <w:t>四是</w:t>
      </w:r>
      <w:r>
        <w:rPr>
          <w:rFonts w:hint="eastAsia" w:ascii="仿宋" w:hAnsi="仿宋" w:eastAsia="仿宋" w:cs="仿宋"/>
          <w:sz w:val="34"/>
          <w:szCs w:val="34"/>
        </w:rPr>
        <w:t>明确审核责任，我局法制审核是作出重大执法决定的必经程序，没有经过法制审核的，各执法科室不得作出执法决定，2020年法宣科共对44件安全生产违法案件行政罚款处罚进行了法制审核</w:t>
      </w:r>
      <w:r>
        <w:rPr>
          <w:rFonts w:hint="eastAsia" w:ascii="仿宋" w:hAnsi="仿宋" w:eastAsia="仿宋" w:cs="仿宋"/>
          <w:sz w:val="34"/>
          <w:szCs w:val="34"/>
          <w:lang w:eastAsia="zh-CN"/>
        </w:rPr>
        <w:t>，</w:t>
      </w:r>
      <w:r>
        <w:rPr>
          <w:rFonts w:hint="eastAsia" w:ascii="仿宋" w:hAnsi="仿宋" w:eastAsia="仿宋" w:cs="仿宋"/>
          <w:sz w:val="34"/>
          <w:szCs w:val="34"/>
        </w:rPr>
        <w:t>确保上述行政处罚案件没有产生行政复议和行政诉讼。</w:t>
      </w:r>
    </w:p>
    <w:p>
      <w:pPr>
        <w:keepNext w:val="0"/>
        <w:keepLines w:val="0"/>
        <w:pageBreakBefore w:val="0"/>
        <w:kinsoku/>
        <w:wordWrap/>
        <w:overflowPunct/>
        <w:topLinePunct w:val="0"/>
        <w:bidi w:val="0"/>
        <w:adjustRightInd w:val="0"/>
        <w:snapToGrid w:val="0"/>
        <w:spacing w:line="588" w:lineRule="exact"/>
        <w:ind w:left="0" w:firstLine="680" w:firstLineChars="200"/>
        <w:jc w:val="both"/>
        <w:textAlignment w:val="auto"/>
        <w:rPr>
          <w:rFonts w:hint="eastAsia" w:ascii="楷体" w:hAnsi="楷体" w:eastAsia="楷体" w:cs="楷体"/>
          <w:b w:val="0"/>
          <w:bCs w:val="0"/>
          <w:color w:val="000000"/>
          <w:sz w:val="34"/>
          <w:szCs w:val="34"/>
        </w:rPr>
      </w:pPr>
      <w:r>
        <w:rPr>
          <w:rFonts w:hint="eastAsia" w:ascii="楷体" w:hAnsi="楷体" w:eastAsia="楷体" w:cs="楷体"/>
          <w:b w:val="0"/>
          <w:bCs w:val="0"/>
          <w:color w:val="000000"/>
          <w:sz w:val="34"/>
          <w:szCs w:val="34"/>
          <w:lang w:eastAsia="zh-CN"/>
        </w:rPr>
        <w:t>（三）</w:t>
      </w:r>
      <w:r>
        <w:rPr>
          <w:rFonts w:hint="eastAsia" w:ascii="楷体" w:hAnsi="楷体" w:eastAsia="楷体" w:cs="楷体"/>
          <w:b w:val="0"/>
          <w:bCs w:val="0"/>
          <w:color w:val="000000"/>
          <w:sz w:val="34"/>
          <w:szCs w:val="34"/>
        </w:rPr>
        <w:t>加强执法人员培训，提升执法能力</w:t>
      </w:r>
    </w:p>
    <w:p>
      <w:pPr>
        <w:keepNext w:val="0"/>
        <w:keepLines w:val="0"/>
        <w:pageBreakBefore w:val="0"/>
        <w:widowControl/>
        <w:kinsoku/>
        <w:wordWrap/>
        <w:overflowPunct/>
        <w:topLinePunct w:val="0"/>
        <w:bidi w:val="0"/>
        <w:adjustRightInd w:val="0"/>
        <w:snapToGrid w:val="0"/>
        <w:spacing w:line="588" w:lineRule="exact"/>
        <w:ind w:left="0" w:firstLine="680" w:firstLineChars="200"/>
        <w:jc w:val="both"/>
        <w:textAlignment w:val="auto"/>
        <w:rPr>
          <w:rFonts w:hint="eastAsia" w:ascii="仿宋" w:hAnsi="仿宋" w:eastAsia="仿宋" w:cs="仿宋"/>
          <w:sz w:val="34"/>
          <w:szCs w:val="34"/>
        </w:rPr>
      </w:pPr>
      <w:r>
        <w:rPr>
          <w:rFonts w:hint="eastAsia" w:ascii="仿宋" w:hAnsi="仿宋" w:eastAsia="仿宋" w:cs="仿宋"/>
          <w:sz w:val="34"/>
          <w:szCs w:val="34"/>
        </w:rPr>
        <w:t>2020年为了适应“疫情”防控工作，区应急管理</w:t>
      </w:r>
      <w:r>
        <w:rPr>
          <w:rFonts w:hint="eastAsia" w:ascii="仿宋" w:hAnsi="仿宋" w:eastAsia="仿宋" w:cs="仿宋"/>
          <w:sz w:val="34"/>
          <w:szCs w:val="34"/>
          <w:lang w:eastAsia="zh-CN"/>
        </w:rPr>
        <w:t>局</w:t>
      </w:r>
      <w:r>
        <w:rPr>
          <w:rFonts w:hint="eastAsia" w:ascii="仿宋" w:hAnsi="仿宋" w:eastAsia="仿宋" w:cs="仿宋"/>
          <w:sz w:val="34"/>
          <w:szCs w:val="34"/>
        </w:rPr>
        <w:t>加强了对一线执法人员疫情防控教育，了解疫情防控要求。按照区疫情防控指挥部各项要求积极开展对全区各疫情防控隔离点和复工复产的生产经营单位的安全检查，同时我局</w:t>
      </w:r>
      <w:r>
        <w:rPr>
          <w:rFonts w:hint="eastAsia" w:ascii="仿宋" w:hAnsi="仿宋" w:eastAsia="仿宋" w:cs="仿宋"/>
          <w:sz w:val="34"/>
          <w:szCs w:val="34"/>
          <w:lang w:eastAsia="zh-CN"/>
        </w:rPr>
        <w:t>组织</w:t>
      </w:r>
      <w:r>
        <w:rPr>
          <w:rFonts w:hint="eastAsia" w:ascii="仿宋" w:hAnsi="仿宋" w:eastAsia="仿宋" w:cs="仿宋"/>
          <w:sz w:val="34"/>
          <w:szCs w:val="34"/>
        </w:rPr>
        <w:t>一线执法科室干部</w:t>
      </w:r>
      <w:r>
        <w:rPr>
          <w:rFonts w:hint="eastAsia" w:ascii="仿宋" w:hAnsi="仿宋" w:eastAsia="仿宋" w:cs="仿宋"/>
          <w:sz w:val="34"/>
          <w:szCs w:val="34"/>
          <w:lang w:eastAsia="zh-CN"/>
        </w:rPr>
        <w:t>积极</w:t>
      </w:r>
      <w:r>
        <w:rPr>
          <w:rFonts w:hint="eastAsia" w:ascii="仿宋" w:hAnsi="仿宋" w:eastAsia="仿宋" w:cs="仿宋"/>
          <w:sz w:val="34"/>
          <w:szCs w:val="34"/>
        </w:rPr>
        <w:t>参加由市应急局组织的工贸危化、防灾减灾</w:t>
      </w:r>
      <w:r>
        <w:rPr>
          <w:rFonts w:hint="eastAsia" w:ascii="仿宋" w:hAnsi="仿宋" w:eastAsia="仿宋" w:cs="仿宋"/>
          <w:sz w:val="34"/>
          <w:szCs w:val="34"/>
          <w:lang w:eastAsia="zh-CN"/>
        </w:rPr>
        <w:t>等</w:t>
      </w:r>
      <w:r>
        <w:rPr>
          <w:rFonts w:hint="eastAsia" w:ascii="仿宋" w:hAnsi="仿宋" w:eastAsia="仿宋" w:cs="仿宋"/>
          <w:sz w:val="34"/>
          <w:szCs w:val="34"/>
        </w:rPr>
        <w:t>专业技能业务培训班，</w:t>
      </w:r>
      <w:r>
        <w:rPr>
          <w:rFonts w:hint="eastAsia" w:ascii="仿宋" w:hAnsi="仿宋" w:eastAsia="仿宋" w:cs="仿宋"/>
          <w:sz w:val="34"/>
          <w:szCs w:val="34"/>
          <w:lang w:eastAsia="zh-CN"/>
        </w:rPr>
        <w:t>分</w:t>
      </w:r>
      <w:r>
        <w:rPr>
          <w:rFonts w:hint="eastAsia" w:ascii="仿宋" w:hAnsi="仿宋" w:eastAsia="仿宋" w:cs="仿宋"/>
          <w:sz w:val="34"/>
          <w:szCs w:val="34"/>
          <w:lang w:val="en-US" w:eastAsia="zh-CN"/>
        </w:rPr>
        <w:t>6</w:t>
      </w:r>
      <w:r>
        <w:rPr>
          <w:rFonts w:hint="eastAsia" w:ascii="仿宋" w:hAnsi="仿宋" w:eastAsia="仿宋" w:cs="仿宋"/>
          <w:sz w:val="34"/>
          <w:szCs w:val="34"/>
          <w:lang w:eastAsia="zh-CN"/>
        </w:rPr>
        <w:t>次举办了针对街道公共安全办和安委办成员单位安全管理人员安全生产法律法规等知识的业务培训。</w:t>
      </w:r>
      <w:r>
        <w:rPr>
          <w:rFonts w:hint="eastAsia" w:ascii="仿宋" w:hAnsi="仿宋" w:eastAsia="仿宋" w:cs="仿宋"/>
          <w:sz w:val="34"/>
          <w:szCs w:val="34"/>
        </w:rPr>
        <w:t>通过</w:t>
      </w:r>
      <w:r>
        <w:rPr>
          <w:rFonts w:hint="eastAsia" w:ascii="仿宋" w:hAnsi="仿宋" w:eastAsia="仿宋" w:cs="仿宋"/>
          <w:sz w:val="34"/>
          <w:szCs w:val="34"/>
          <w:lang w:eastAsia="zh-CN"/>
        </w:rPr>
        <w:t>上述</w:t>
      </w:r>
      <w:r>
        <w:rPr>
          <w:rFonts w:hint="eastAsia" w:ascii="仿宋" w:hAnsi="仿宋" w:eastAsia="仿宋" w:cs="仿宋"/>
          <w:sz w:val="34"/>
          <w:szCs w:val="34"/>
        </w:rPr>
        <w:t>一系列有针对性的培训，不断提升我局行政执法能力</w:t>
      </w:r>
      <w:r>
        <w:rPr>
          <w:rFonts w:hint="eastAsia" w:ascii="仿宋" w:hAnsi="仿宋" w:eastAsia="仿宋" w:cs="仿宋"/>
          <w:sz w:val="34"/>
          <w:szCs w:val="34"/>
          <w:lang w:eastAsia="zh-CN"/>
        </w:rPr>
        <w:t>和全区基层安全管理水平</w:t>
      </w:r>
      <w:r>
        <w:rPr>
          <w:rFonts w:hint="eastAsia" w:ascii="仿宋" w:hAnsi="仿宋" w:eastAsia="仿宋" w:cs="仿宋"/>
          <w:sz w:val="34"/>
          <w:szCs w:val="34"/>
        </w:rPr>
        <w:t>。</w:t>
      </w:r>
    </w:p>
    <w:p>
      <w:pPr>
        <w:pStyle w:val="17"/>
        <w:keepNext w:val="0"/>
        <w:keepLines w:val="0"/>
        <w:pageBreakBefore w:val="0"/>
        <w:widowControl w:val="0"/>
        <w:kinsoku/>
        <w:wordWrap/>
        <w:overflowPunct/>
        <w:topLinePunct w:val="0"/>
        <w:autoSpaceDE w:val="0"/>
        <w:autoSpaceDN w:val="0"/>
        <w:bidi w:val="0"/>
        <w:adjustRightInd w:val="0"/>
        <w:snapToGrid w:val="0"/>
        <w:spacing w:line="588" w:lineRule="exact"/>
        <w:ind w:left="0" w:firstLine="680" w:firstLineChars="200"/>
        <w:jc w:val="both"/>
        <w:textAlignment w:val="auto"/>
        <w:rPr>
          <w:rFonts w:hint="eastAsia" w:ascii="黑体" w:hAnsi="黑体" w:eastAsia="黑体" w:cs="黑体"/>
          <w:b w:val="0"/>
          <w:bCs/>
          <w:color w:val="auto"/>
          <w:kern w:val="2"/>
          <w:sz w:val="34"/>
          <w:szCs w:val="34"/>
          <w:highlight w:val="none"/>
          <w:lang w:val="en-US" w:eastAsia="zh-CN" w:bidi="ar-SA"/>
        </w:rPr>
      </w:pPr>
      <w:r>
        <w:rPr>
          <w:rFonts w:hint="eastAsia" w:ascii="黑体" w:hAnsi="黑体" w:eastAsia="黑体" w:cs="黑体"/>
          <w:b w:val="0"/>
          <w:bCs/>
          <w:color w:val="auto"/>
          <w:kern w:val="2"/>
          <w:sz w:val="34"/>
          <w:szCs w:val="34"/>
          <w:highlight w:val="none"/>
          <w:lang w:val="en-US" w:eastAsia="zh-CN" w:bidi="ar-SA"/>
        </w:rPr>
        <w:t>二、2020年推进法治政府建设存在的不足和原因</w:t>
      </w:r>
    </w:p>
    <w:p>
      <w:pPr>
        <w:pStyle w:val="17"/>
        <w:keepNext w:val="0"/>
        <w:keepLines w:val="0"/>
        <w:pageBreakBefore w:val="0"/>
        <w:widowControl w:val="0"/>
        <w:kinsoku/>
        <w:wordWrap/>
        <w:overflowPunct/>
        <w:topLinePunct w:val="0"/>
        <w:autoSpaceDE w:val="0"/>
        <w:autoSpaceDN w:val="0"/>
        <w:bidi w:val="0"/>
        <w:adjustRightInd w:val="0"/>
        <w:snapToGrid w:val="0"/>
        <w:spacing w:line="588" w:lineRule="exact"/>
        <w:ind w:left="0" w:firstLine="680" w:firstLineChars="200"/>
        <w:jc w:val="both"/>
        <w:textAlignment w:val="auto"/>
        <w:rPr>
          <w:rFonts w:hint="default" w:ascii="仿宋" w:hAnsi="仿宋" w:eastAsia="仿宋" w:cs="仿宋"/>
          <w:color w:val="auto"/>
          <w:kern w:val="2"/>
          <w:sz w:val="34"/>
          <w:szCs w:val="34"/>
          <w:lang w:val="en" w:eastAsia="zh-CN" w:bidi="ar-SA"/>
        </w:rPr>
      </w:pPr>
      <w:r>
        <w:rPr>
          <w:rFonts w:hint="eastAsia" w:ascii="仿宋" w:hAnsi="仿宋" w:eastAsia="仿宋" w:cs="仿宋"/>
          <w:color w:val="auto"/>
          <w:kern w:val="2"/>
          <w:sz w:val="34"/>
          <w:szCs w:val="34"/>
          <w:lang w:val="en-US" w:eastAsia="zh-CN" w:bidi="ar-SA"/>
        </w:rPr>
        <w:t>一是由于疫情原因，一些法治宣传培训活动被迫推迟、转为线上、内容和规模缩水乃至取消，活动质量有所下降，宣传培训效果不尽如人意。二是对局执法人员培训不够充分，执法人员培训缺少全盘性统筹性规划，思路不够清晰，培训内容与当前安全形势结合不够紧密，培训质量不够高，培训效果还不够明显。</w:t>
      </w:r>
    </w:p>
    <w:p>
      <w:pPr>
        <w:keepNext w:val="0"/>
        <w:keepLines w:val="0"/>
        <w:pageBreakBefore w:val="0"/>
        <w:widowControl/>
        <w:suppressLineNumbers w:val="0"/>
        <w:kinsoku/>
        <w:wordWrap/>
        <w:overflowPunct/>
        <w:topLinePunct w:val="0"/>
        <w:bidi w:val="0"/>
        <w:adjustRightInd w:val="0"/>
        <w:snapToGrid w:val="0"/>
        <w:spacing w:line="588" w:lineRule="exact"/>
        <w:ind w:left="0" w:firstLine="680" w:firstLineChars="200"/>
        <w:jc w:val="both"/>
        <w:textAlignment w:val="auto"/>
        <w:rPr>
          <w:rFonts w:hint="eastAsia" w:ascii="黑体" w:hAnsi="黑体" w:eastAsia="黑体" w:cs="黑体"/>
          <w:b w:val="0"/>
          <w:bCs/>
          <w:color w:val="auto"/>
          <w:kern w:val="2"/>
          <w:sz w:val="34"/>
          <w:szCs w:val="34"/>
          <w:highlight w:val="none"/>
          <w:lang w:val="en-US" w:eastAsia="zh-CN" w:bidi="ar-SA"/>
        </w:rPr>
      </w:pPr>
      <w:r>
        <w:rPr>
          <w:rFonts w:hint="eastAsia" w:ascii="黑体" w:hAnsi="黑体" w:eastAsia="黑体" w:cs="黑体"/>
          <w:b w:val="0"/>
          <w:bCs/>
          <w:color w:val="auto"/>
          <w:kern w:val="2"/>
          <w:sz w:val="34"/>
          <w:szCs w:val="34"/>
          <w:highlight w:val="none"/>
          <w:lang w:val="en-US" w:eastAsia="zh-CN" w:bidi="ar-SA"/>
        </w:rPr>
        <w:t>三、2020年南开区应急管理局主要负责人履行推进法治政府建设第一责任人职责、加强法治政府建设有关情况</w:t>
      </w:r>
    </w:p>
    <w:p>
      <w:pPr>
        <w:pStyle w:val="17"/>
        <w:keepNext w:val="0"/>
        <w:keepLines w:val="0"/>
        <w:pageBreakBefore w:val="0"/>
        <w:widowControl w:val="0"/>
        <w:kinsoku/>
        <w:wordWrap/>
        <w:overflowPunct/>
        <w:topLinePunct w:val="0"/>
        <w:autoSpaceDE w:val="0"/>
        <w:autoSpaceDN w:val="0"/>
        <w:bidi w:val="0"/>
        <w:adjustRightInd w:val="0"/>
        <w:snapToGrid w:val="0"/>
        <w:spacing w:line="588" w:lineRule="exact"/>
        <w:ind w:left="0" w:firstLine="680" w:firstLineChars="200"/>
        <w:jc w:val="both"/>
        <w:textAlignment w:val="auto"/>
        <w:rPr>
          <w:rFonts w:hint="eastAsia" w:ascii="仿宋" w:hAnsi="仿宋" w:eastAsia="仿宋" w:cs="仿宋"/>
          <w:color w:val="auto"/>
          <w:kern w:val="2"/>
          <w:sz w:val="34"/>
          <w:szCs w:val="34"/>
          <w:lang w:val="en-US" w:eastAsia="zh-CN" w:bidi="ar-SA"/>
        </w:rPr>
      </w:pPr>
      <w:r>
        <w:rPr>
          <w:rFonts w:hint="eastAsia" w:ascii="仿宋" w:hAnsi="仿宋" w:eastAsia="仿宋" w:cs="仿宋"/>
          <w:color w:val="auto"/>
          <w:kern w:val="2"/>
          <w:sz w:val="34"/>
          <w:szCs w:val="34"/>
          <w:lang w:val="en-US" w:eastAsia="zh-CN" w:bidi="ar-SA"/>
        </w:rPr>
        <w:t>大力加强习近平法治思想学习，在学懂弄通做实上下功夫，法治思想相关内容纳入“三会一课”学习11次，纳入中心组学习研讨5次。4月14日，区应急管理局党委理论学习中心组围绕《坚决维护国家主权、安全、发展利益——关于新时代坚持总体国家安全观》作专题辅导报告。6月23日，区应急管理局党委理论学习中心组围绕《民法典》开展集中研讨交流。9月15日，区应急管理局党委理论学习中心组围绕《习近平论全面依法治国（2020年）》和《中国共产党机构编制工作条例》开展集中研讨交流。10月27日，区应急管理局党委理论学习中心组围绕《中华人民共和国公职人员政务处分法》作专题辅导报告。12月17日，区应急管理局党委理论学习中心组围绕《中国共产党重大事项请示报告条例》开展集中研讨交流。</w:t>
      </w:r>
    </w:p>
    <w:p>
      <w:pPr>
        <w:pStyle w:val="17"/>
        <w:keepNext w:val="0"/>
        <w:keepLines w:val="0"/>
        <w:pageBreakBefore w:val="0"/>
        <w:widowControl w:val="0"/>
        <w:kinsoku/>
        <w:wordWrap/>
        <w:overflowPunct/>
        <w:topLinePunct w:val="0"/>
        <w:autoSpaceDE w:val="0"/>
        <w:autoSpaceDN w:val="0"/>
        <w:bidi w:val="0"/>
        <w:adjustRightInd w:val="0"/>
        <w:snapToGrid w:val="0"/>
        <w:spacing w:line="588" w:lineRule="exact"/>
        <w:ind w:left="0" w:firstLine="680" w:firstLineChars="200"/>
        <w:jc w:val="both"/>
        <w:textAlignment w:val="auto"/>
        <w:rPr>
          <w:rFonts w:hint="default" w:ascii="仿宋" w:hAnsi="仿宋" w:eastAsia="仿宋" w:cs="仿宋"/>
          <w:color w:val="auto"/>
          <w:kern w:val="2"/>
          <w:sz w:val="34"/>
          <w:szCs w:val="34"/>
          <w:lang w:val="en-US" w:eastAsia="zh-CN" w:bidi="ar-SA"/>
        </w:rPr>
      </w:pPr>
      <w:r>
        <w:rPr>
          <w:rFonts w:hint="eastAsia" w:ascii="仿宋" w:hAnsi="仿宋" w:eastAsia="仿宋" w:cs="仿宋"/>
          <w:color w:val="auto"/>
          <w:kern w:val="2"/>
          <w:sz w:val="34"/>
          <w:szCs w:val="34"/>
          <w:lang w:val="en-US" w:eastAsia="zh-CN" w:bidi="ar-SA"/>
        </w:rPr>
        <w:t>及时传达学习贯彻习近平全面依法治国新理念新思想新战略，2月15日召开班子会学习研究学习贯彻落实习近平在中央全面依法治国委员会第三次会议上的讲话精神。</w:t>
      </w:r>
    </w:p>
    <w:p>
      <w:pPr>
        <w:pStyle w:val="17"/>
        <w:keepNext w:val="0"/>
        <w:keepLines w:val="0"/>
        <w:pageBreakBefore w:val="0"/>
        <w:widowControl w:val="0"/>
        <w:kinsoku/>
        <w:wordWrap/>
        <w:overflowPunct/>
        <w:topLinePunct w:val="0"/>
        <w:autoSpaceDE w:val="0"/>
        <w:autoSpaceDN w:val="0"/>
        <w:bidi w:val="0"/>
        <w:adjustRightInd w:val="0"/>
        <w:snapToGrid w:val="0"/>
        <w:spacing w:line="588" w:lineRule="exact"/>
        <w:ind w:left="0" w:firstLine="680" w:firstLineChars="200"/>
        <w:jc w:val="both"/>
        <w:textAlignment w:val="auto"/>
        <w:rPr>
          <w:rFonts w:hint="eastAsia" w:ascii="仿宋" w:hAnsi="仿宋" w:eastAsia="仿宋" w:cs="仿宋"/>
          <w:color w:val="auto"/>
          <w:kern w:val="2"/>
          <w:sz w:val="34"/>
          <w:szCs w:val="34"/>
          <w:lang w:val="en-US" w:eastAsia="zh-CN" w:bidi="ar-SA"/>
        </w:rPr>
      </w:pPr>
      <w:r>
        <w:rPr>
          <w:rFonts w:hint="eastAsia" w:ascii="仿宋" w:hAnsi="仿宋" w:eastAsia="仿宋" w:cs="仿宋"/>
          <w:color w:val="auto"/>
          <w:kern w:val="2"/>
          <w:sz w:val="34"/>
          <w:szCs w:val="34"/>
          <w:lang w:val="en-US" w:eastAsia="zh-CN" w:bidi="ar-SA"/>
        </w:rPr>
        <w:t>持续开展疫情期间安全服务保障检查，加大对重点点位、隔离点和人员密集场所的检查力度。疫情初期带队到区疑似病例隔离区提供重点点位的安全服务,对加油站进行了安全指导检查，强化各项安全防范措施。1月31日至2月8日由局领导带队共出动14组28人次对我区疑似病例隔离区、超市卖场、医院等重点单位进行了检查服务。</w:t>
      </w:r>
    </w:p>
    <w:p>
      <w:pPr>
        <w:keepNext w:val="0"/>
        <w:keepLines w:val="0"/>
        <w:pageBreakBefore w:val="0"/>
        <w:widowControl w:val="0"/>
        <w:kinsoku/>
        <w:wordWrap/>
        <w:overflowPunct/>
        <w:topLinePunct w:val="0"/>
        <w:autoSpaceDE/>
        <w:autoSpaceDN/>
        <w:bidi w:val="0"/>
        <w:adjustRightInd w:val="0"/>
        <w:snapToGrid w:val="0"/>
        <w:spacing w:before="0" w:after="0" w:line="588" w:lineRule="exact"/>
        <w:ind w:left="0" w:leftChars="0" w:right="0" w:rightChars="0" w:firstLine="680" w:firstLineChars="200"/>
        <w:jc w:val="both"/>
        <w:textAlignment w:val="auto"/>
        <w:outlineLvl w:val="9"/>
        <w:rPr>
          <w:rFonts w:hint="eastAsia" w:ascii="仿宋" w:hAnsi="仿宋" w:eastAsia="仿宋" w:cs="仿宋"/>
          <w:color w:val="auto"/>
          <w:sz w:val="34"/>
          <w:szCs w:val="34"/>
        </w:rPr>
      </w:pPr>
      <w:r>
        <w:rPr>
          <w:rFonts w:hint="eastAsia" w:ascii="黑体" w:hAnsi="黑体" w:eastAsia="黑体" w:cs="黑体"/>
          <w:spacing w:val="0"/>
          <w:sz w:val="34"/>
          <w:szCs w:val="34"/>
          <w:lang w:val="en-US" w:eastAsia="zh-CN"/>
        </w:rPr>
        <w:t>四、</w:t>
      </w:r>
      <w:r>
        <w:rPr>
          <w:rFonts w:hint="eastAsia" w:ascii="Times New Roman" w:hAnsi="仿宋" w:eastAsia="仿宋" w:cs="Times New Roman"/>
          <w:b w:val="0"/>
          <w:bCs/>
          <w:color w:val="auto"/>
          <w:kern w:val="0"/>
          <w:sz w:val="34"/>
          <w:szCs w:val="34"/>
          <w:highlight w:val="none"/>
          <w:lang w:val="en-US" w:eastAsia="zh-CN"/>
        </w:rPr>
        <w:t>2021</w:t>
      </w:r>
      <w:r>
        <w:rPr>
          <w:rFonts w:hint="eastAsia" w:ascii="黑体" w:hAnsi="黑体" w:eastAsia="黑体" w:cs="黑体"/>
          <w:spacing w:val="0"/>
          <w:sz w:val="34"/>
          <w:szCs w:val="34"/>
          <w:lang w:val="en-US" w:eastAsia="zh-CN"/>
        </w:rPr>
        <w:t>年推进法治政府建设的主要安排</w:t>
      </w:r>
    </w:p>
    <w:p>
      <w:pPr>
        <w:keepNext w:val="0"/>
        <w:keepLines w:val="0"/>
        <w:pageBreakBefore w:val="0"/>
        <w:kinsoku/>
        <w:wordWrap/>
        <w:overflowPunct/>
        <w:topLinePunct w:val="0"/>
        <w:bidi w:val="0"/>
        <w:adjustRightInd w:val="0"/>
        <w:snapToGrid w:val="0"/>
        <w:spacing w:line="588" w:lineRule="exact"/>
        <w:ind w:left="0" w:firstLine="680" w:firstLineChars="200"/>
        <w:jc w:val="both"/>
        <w:textAlignment w:val="auto"/>
        <w:rPr>
          <w:rFonts w:hint="eastAsia" w:ascii="仿宋" w:hAnsi="仿宋" w:eastAsia="仿宋" w:cs="仿宋"/>
          <w:color w:val="auto"/>
          <w:kern w:val="2"/>
          <w:sz w:val="34"/>
          <w:szCs w:val="34"/>
          <w:lang w:val="en-US" w:eastAsia="zh-CN" w:bidi="ar-SA"/>
        </w:rPr>
      </w:pPr>
      <w:r>
        <w:rPr>
          <w:rFonts w:hint="eastAsia" w:ascii="仿宋" w:hAnsi="仿宋" w:eastAsia="仿宋" w:cs="仿宋"/>
          <w:color w:val="auto"/>
          <w:kern w:val="2"/>
          <w:sz w:val="34"/>
          <w:szCs w:val="34"/>
          <w:lang w:val="en-US" w:eastAsia="zh-CN" w:bidi="ar-SA"/>
        </w:rPr>
        <w:t>2021年，我局将确保政府赋予的职能依法得到履行，全面推行“双随机、一公开”监管，加强信用体系建设；严格落实行政执法“三项制度”全面实现执法信息公开透明、执法全过程留痕、执法决定合法有效；充分利用现有条件，尽可能做好法治宣传培训活动；健全执法人员培训机制，制定完善并落实好培训计划，配备完善执法装备，充分发挥应急管理执法平台和移动执法系统的技术特点，全面提升执法水平。</w:t>
      </w:r>
    </w:p>
    <w:p>
      <w:pPr>
        <w:keepNext w:val="0"/>
        <w:keepLines w:val="0"/>
        <w:pageBreakBefore w:val="0"/>
        <w:kinsoku/>
        <w:wordWrap/>
        <w:overflowPunct/>
        <w:topLinePunct w:val="0"/>
        <w:bidi w:val="0"/>
        <w:adjustRightInd w:val="0"/>
        <w:snapToGrid w:val="0"/>
        <w:spacing w:line="588" w:lineRule="exact"/>
        <w:ind w:firstLine="680" w:firstLineChars="200"/>
        <w:textAlignment w:val="auto"/>
        <w:rPr>
          <w:rFonts w:hint="eastAsia" w:ascii="仿宋" w:hAnsi="仿宋" w:eastAsia="仿宋" w:cs="仿宋"/>
          <w:sz w:val="34"/>
          <w:szCs w:val="34"/>
        </w:rPr>
      </w:pPr>
    </w:p>
    <w:p>
      <w:pPr>
        <w:keepNext w:val="0"/>
        <w:keepLines w:val="0"/>
        <w:pageBreakBefore w:val="0"/>
        <w:kinsoku/>
        <w:wordWrap/>
        <w:overflowPunct/>
        <w:topLinePunct w:val="0"/>
        <w:bidi w:val="0"/>
        <w:adjustRightInd w:val="0"/>
        <w:snapToGrid w:val="0"/>
        <w:spacing w:line="588" w:lineRule="exact"/>
        <w:ind w:firstLine="680" w:firstLineChars="200"/>
        <w:textAlignment w:val="auto"/>
        <w:rPr>
          <w:rFonts w:hint="eastAsia" w:ascii="仿宋" w:hAnsi="仿宋" w:eastAsia="仿宋" w:cs="仿宋"/>
          <w:sz w:val="34"/>
          <w:szCs w:val="34"/>
        </w:rPr>
      </w:pPr>
    </w:p>
    <w:p>
      <w:pPr>
        <w:keepNext w:val="0"/>
        <w:keepLines w:val="0"/>
        <w:pageBreakBefore w:val="0"/>
        <w:kinsoku/>
        <w:wordWrap/>
        <w:overflowPunct/>
        <w:topLinePunct w:val="0"/>
        <w:bidi w:val="0"/>
        <w:adjustRightInd w:val="0"/>
        <w:snapToGrid w:val="0"/>
        <w:spacing w:line="588" w:lineRule="exact"/>
        <w:ind w:firstLine="680" w:firstLineChars="200"/>
        <w:jc w:val="right"/>
        <w:textAlignment w:val="auto"/>
        <w:rPr>
          <w:rFonts w:hint="eastAsia" w:ascii="仿宋" w:hAnsi="仿宋" w:eastAsia="仿宋" w:cs="仿宋"/>
          <w:sz w:val="34"/>
          <w:szCs w:val="34"/>
        </w:rPr>
      </w:pPr>
      <w:r>
        <w:rPr>
          <w:rFonts w:hint="eastAsia" w:ascii="仿宋" w:hAnsi="仿宋" w:eastAsia="仿宋" w:cs="仿宋"/>
          <w:sz w:val="34"/>
          <w:szCs w:val="34"/>
        </w:rPr>
        <w:t>南开区应急管理局</w:t>
      </w:r>
    </w:p>
    <w:p>
      <w:pPr>
        <w:keepNext w:val="0"/>
        <w:keepLines w:val="0"/>
        <w:pageBreakBefore w:val="0"/>
        <w:kinsoku/>
        <w:wordWrap/>
        <w:overflowPunct/>
        <w:topLinePunct w:val="0"/>
        <w:bidi w:val="0"/>
        <w:adjustRightInd w:val="0"/>
        <w:snapToGrid w:val="0"/>
        <w:spacing w:line="588" w:lineRule="exact"/>
        <w:jc w:val="right"/>
        <w:textAlignment w:val="auto"/>
        <w:rPr>
          <w:rFonts w:hint="eastAsia" w:ascii="仿宋" w:hAnsi="仿宋" w:eastAsia="仿宋" w:cs="仿宋"/>
          <w:sz w:val="34"/>
          <w:szCs w:val="34"/>
        </w:rPr>
      </w:pPr>
      <w:r>
        <w:rPr>
          <w:rFonts w:hint="eastAsia" w:ascii="仿宋" w:hAnsi="仿宋" w:eastAsia="仿宋" w:cs="仿宋"/>
          <w:sz w:val="34"/>
          <w:szCs w:val="34"/>
        </w:rPr>
        <w:t xml:space="preserve">  2020年12月28日</w:t>
      </w:r>
    </w:p>
    <w:p>
      <w:pPr>
        <w:keepNext w:val="0"/>
        <w:keepLines w:val="0"/>
        <w:pageBreakBefore w:val="0"/>
        <w:kinsoku/>
        <w:wordWrap/>
        <w:overflowPunct/>
        <w:topLinePunct w:val="0"/>
        <w:bidi w:val="0"/>
        <w:adjustRightInd w:val="0"/>
        <w:snapToGrid w:val="0"/>
        <w:spacing w:line="588" w:lineRule="exact"/>
        <w:ind w:firstLine="6120" w:firstLineChars="1800"/>
        <w:textAlignment w:val="auto"/>
        <w:rPr>
          <w:rFonts w:hint="eastAsia" w:ascii="仿宋" w:hAnsi="仿宋" w:eastAsia="仿宋" w:cs="仿宋"/>
          <w:sz w:val="34"/>
          <w:szCs w:val="3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452"/>
    </w:sdtPr>
    <w:sdtContent>
      <w:p>
        <w:pPr>
          <w:pStyle w:val="9"/>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0F"/>
    <w:rsid w:val="00014717"/>
    <w:rsid w:val="0005703B"/>
    <w:rsid w:val="00061E40"/>
    <w:rsid w:val="0007420F"/>
    <w:rsid w:val="00084F12"/>
    <w:rsid w:val="000C0597"/>
    <w:rsid w:val="000C4ACC"/>
    <w:rsid w:val="000F26FD"/>
    <w:rsid w:val="0013279C"/>
    <w:rsid w:val="00137EC8"/>
    <w:rsid w:val="00191A0F"/>
    <w:rsid w:val="001B60D4"/>
    <w:rsid w:val="001E0C39"/>
    <w:rsid w:val="001F573C"/>
    <w:rsid w:val="001F7C07"/>
    <w:rsid w:val="00201777"/>
    <w:rsid w:val="00242010"/>
    <w:rsid w:val="00267A31"/>
    <w:rsid w:val="002709EB"/>
    <w:rsid w:val="002A02D0"/>
    <w:rsid w:val="0035520C"/>
    <w:rsid w:val="003A43A3"/>
    <w:rsid w:val="003B3FBE"/>
    <w:rsid w:val="003D755F"/>
    <w:rsid w:val="003E3DAB"/>
    <w:rsid w:val="003E7EF1"/>
    <w:rsid w:val="00411645"/>
    <w:rsid w:val="00437C8A"/>
    <w:rsid w:val="00441F1D"/>
    <w:rsid w:val="00474658"/>
    <w:rsid w:val="00482C81"/>
    <w:rsid w:val="00534701"/>
    <w:rsid w:val="00540540"/>
    <w:rsid w:val="0055105C"/>
    <w:rsid w:val="005A5488"/>
    <w:rsid w:val="005A6F2C"/>
    <w:rsid w:val="005C6DD9"/>
    <w:rsid w:val="005D2CB8"/>
    <w:rsid w:val="005F659F"/>
    <w:rsid w:val="00606C25"/>
    <w:rsid w:val="00616FAF"/>
    <w:rsid w:val="00627AF4"/>
    <w:rsid w:val="006320C1"/>
    <w:rsid w:val="00650637"/>
    <w:rsid w:val="00660F5B"/>
    <w:rsid w:val="00667CE0"/>
    <w:rsid w:val="006828B3"/>
    <w:rsid w:val="006B3B12"/>
    <w:rsid w:val="006C0316"/>
    <w:rsid w:val="006E5A4F"/>
    <w:rsid w:val="006F1612"/>
    <w:rsid w:val="007310D5"/>
    <w:rsid w:val="00754E8A"/>
    <w:rsid w:val="00781612"/>
    <w:rsid w:val="007F10C5"/>
    <w:rsid w:val="00833F37"/>
    <w:rsid w:val="00842789"/>
    <w:rsid w:val="008465B7"/>
    <w:rsid w:val="0085780B"/>
    <w:rsid w:val="00874A4F"/>
    <w:rsid w:val="008762DD"/>
    <w:rsid w:val="00893406"/>
    <w:rsid w:val="008F1BA5"/>
    <w:rsid w:val="00A07280"/>
    <w:rsid w:val="00A12853"/>
    <w:rsid w:val="00A23608"/>
    <w:rsid w:val="00A32905"/>
    <w:rsid w:val="00A515B8"/>
    <w:rsid w:val="00A75DFE"/>
    <w:rsid w:val="00AC63CC"/>
    <w:rsid w:val="00B03D11"/>
    <w:rsid w:val="00B13521"/>
    <w:rsid w:val="00B36D37"/>
    <w:rsid w:val="00B44F11"/>
    <w:rsid w:val="00B469DF"/>
    <w:rsid w:val="00B81AE2"/>
    <w:rsid w:val="00B81CFA"/>
    <w:rsid w:val="00B83CFA"/>
    <w:rsid w:val="00BC2418"/>
    <w:rsid w:val="00BC785E"/>
    <w:rsid w:val="00BD77E2"/>
    <w:rsid w:val="00C043FB"/>
    <w:rsid w:val="00C474EE"/>
    <w:rsid w:val="00C71EAC"/>
    <w:rsid w:val="00C80CC7"/>
    <w:rsid w:val="00C96568"/>
    <w:rsid w:val="00CA6C6A"/>
    <w:rsid w:val="00CC6DA3"/>
    <w:rsid w:val="00CD4C78"/>
    <w:rsid w:val="00CE7B6C"/>
    <w:rsid w:val="00D14590"/>
    <w:rsid w:val="00D4167B"/>
    <w:rsid w:val="00DD0308"/>
    <w:rsid w:val="00DF3998"/>
    <w:rsid w:val="00DF5171"/>
    <w:rsid w:val="00E138ED"/>
    <w:rsid w:val="00E2578D"/>
    <w:rsid w:val="00EA48B7"/>
    <w:rsid w:val="00ED6093"/>
    <w:rsid w:val="00F0264D"/>
    <w:rsid w:val="00F13087"/>
    <w:rsid w:val="00F4377B"/>
    <w:rsid w:val="00F50961"/>
    <w:rsid w:val="00F61A41"/>
    <w:rsid w:val="00F73D08"/>
    <w:rsid w:val="00F97E27"/>
    <w:rsid w:val="00FA0612"/>
    <w:rsid w:val="00FA6FEF"/>
    <w:rsid w:val="00FA7FDA"/>
    <w:rsid w:val="05A33D56"/>
    <w:rsid w:val="186B2D8B"/>
    <w:rsid w:val="1CB7A5CB"/>
    <w:rsid w:val="1D2C076B"/>
    <w:rsid w:val="31D652B9"/>
    <w:rsid w:val="447843AF"/>
    <w:rsid w:val="45DE6F3E"/>
    <w:rsid w:val="4AA146C8"/>
    <w:rsid w:val="4C0B793F"/>
    <w:rsid w:val="5C9D96BF"/>
    <w:rsid w:val="62B421A9"/>
    <w:rsid w:val="64CDF577"/>
    <w:rsid w:val="6AEE57F2"/>
    <w:rsid w:val="6DEB1CF9"/>
    <w:rsid w:val="735F78CD"/>
    <w:rsid w:val="752B2EAD"/>
    <w:rsid w:val="79C97234"/>
    <w:rsid w:val="7B7F6B29"/>
    <w:rsid w:val="7B9F92B2"/>
    <w:rsid w:val="7CFD644D"/>
    <w:rsid w:val="7DDCCA82"/>
    <w:rsid w:val="7F7CDCC4"/>
    <w:rsid w:val="7F7DBEE4"/>
    <w:rsid w:val="94F5B0EB"/>
    <w:rsid w:val="B7CEC00F"/>
    <w:rsid w:val="D35762B6"/>
    <w:rsid w:val="DF72DAC0"/>
    <w:rsid w:val="DFFF67DD"/>
    <w:rsid w:val="EDF25649"/>
    <w:rsid w:val="F3F7248E"/>
    <w:rsid w:val="F53E3048"/>
    <w:rsid w:val="F7E787B6"/>
    <w:rsid w:val="F7EF5080"/>
    <w:rsid w:val="F9B15C49"/>
    <w:rsid w:val="FBF75174"/>
    <w:rsid w:val="FBFFFC76"/>
    <w:rsid w:val="FDFB4597"/>
    <w:rsid w:val="FDFD15C5"/>
    <w:rsid w:val="FFBD1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line="576" w:lineRule="auto"/>
      <w:outlineLvl w:val="0"/>
    </w:pPr>
    <w:rPr>
      <w:b/>
      <w:kern w:val="44"/>
      <w:sz w:val="44"/>
    </w:rPr>
  </w:style>
  <w:style w:type="paragraph" w:styleId="6">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7">
    <w:name w:val="heading 3"/>
    <w:basedOn w:val="1"/>
    <w:next w:val="1"/>
    <w:unhideWhenUsed/>
    <w:qFormat/>
    <w:uiPriority w:val="9"/>
    <w:pPr>
      <w:keepNext/>
      <w:keepLines/>
      <w:spacing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0"/>
      <w:ind w:left="0" w:leftChars="0" w:firstLine="420" w:firstLineChars="200"/>
    </w:pPr>
    <w:rPr>
      <w:sz w:val="30"/>
      <w:szCs w:val="24"/>
    </w:rPr>
  </w:style>
  <w:style w:type="paragraph" w:styleId="3">
    <w:name w:val="Body Text Indent"/>
    <w:basedOn w:val="1"/>
    <w:qFormat/>
    <w:uiPriority w:val="99"/>
    <w:pPr>
      <w:ind w:firstLine="600"/>
    </w:pPr>
    <w:rPr>
      <w:sz w:val="30"/>
    </w:rPr>
  </w:style>
  <w:style w:type="paragraph" w:styleId="4">
    <w:name w:val="Date"/>
    <w:basedOn w:val="1"/>
    <w:next w:val="1"/>
    <w:qFormat/>
    <w:uiPriority w:val="0"/>
    <w:pPr>
      <w:ind w:left="100" w:leftChars="2500"/>
    </w:pPr>
  </w:style>
  <w:style w:type="paragraph" w:styleId="8">
    <w:name w:val="Balloon Text"/>
    <w:basedOn w:val="1"/>
    <w:link w:val="16"/>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rPr>
  </w:style>
  <w:style w:type="character" w:customStyle="1" w:styleId="13">
    <w:name w:val="页眉 Char"/>
    <w:basedOn w:val="12"/>
    <w:link w:val="10"/>
    <w:qFormat/>
    <w:uiPriority w:val="99"/>
    <w:rPr>
      <w:sz w:val="18"/>
      <w:szCs w:val="22"/>
    </w:rPr>
  </w:style>
  <w:style w:type="character" w:customStyle="1" w:styleId="14">
    <w:name w:val="页脚 Char"/>
    <w:basedOn w:val="12"/>
    <w:link w:val="9"/>
    <w:qFormat/>
    <w:uiPriority w:val="99"/>
    <w:rPr>
      <w:sz w:val="18"/>
      <w:szCs w:val="22"/>
    </w:rPr>
  </w:style>
  <w:style w:type="paragraph" w:customStyle="1" w:styleId="15">
    <w:name w:val="列出段落1"/>
    <w:basedOn w:val="1"/>
    <w:qFormat/>
    <w:uiPriority w:val="34"/>
    <w:pPr>
      <w:ind w:firstLine="420" w:firstLineChars="200"/>
    </w:pPr>
  </w:style>
  <w:style w:type="character" w:customStyle="1" w:styleId="16">
    <w:name w:val="批注框文本 Char"/>
    <w:basedOn w:val="12"/>
    <w:link w:val="8"/>
    <w:semiHidden/>
    <w:qFormat/>
    <w:uiPriority w:val="99"/>
    <w:rPr>
      <w:sz w:val="18"/>
      <w:szCs w:val="18"/>
      <w:lang w:bidi="ar-SA"/>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395</Words>
  <Characters>2257</Characters>
  <Lines>18</Lines>
  <Paragraphs>5</Paragraphs>
  <TotalTime>41</TotalTime>
  <ScaleCrop>false</ScaleCrop>
  <LinksUpToDate>false</LinksUpToDate>
  <CharactersWithSpaces>2647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2021-08-08T17:27:00Z</dcterms:created>
  <dc:creator>USER-</dc:creator>
  <cp:lastModifiedBy>kylin</cp:lastModifiedBy>
  <cp:lastPrinted>2023-07-13T09:09:00Z</cp:lastPrinted>
  <dcterms:modified xsi:type="dcterms:W3CDTF">2023-07-14T18:03:23Z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