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南开区体育中心街道办事处2021年度法治政府建设情况报告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2021年，我街在区委、区政府的领导下，全面深入推进法治政府建设各项工作，坚持以依法行政为核心，以依法执法为基础，高度落实相关法治工作，现将2021年法治政府相关工作报告如下：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一、2021年推进法治政府建设的主要举措和成效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54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（一）不断加强组织领导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健全完善法治政府建设组织体系，认真落实党风廉政建设责任制和领导干部“一岗双责”制度，履行“第一责任人”职责，严格执行重大决策程序，确保思想不滑坡、工作不断档、责任不落空。明确工作目标，细化工作任务，构建上下联动、齐抓共管、协同推进的工作格局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   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（二）全面提高执法水平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2021年，在各级领导指导下，我街执法部门思想上坚定信念，行动上令行禁止，转变工作方式，提高执法能力，以进一步深化开展争创文明卫生城市为契机，结合拆违计划等大方向，改进工作方式，以服务为主、管理为辅代替以往的单纯管理和执法，以当时发现，当时处理的积极态度使城市环境面貌有了较大改观。严格履行执法队工作职能，维护城市管理秩序，尤其是路面环境、违建治理、环保治理三个方面，结合《天津市文明行为促进条例》，做到严格执法、文明执法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2021年，执法队累计督办完成8890督办单1000余件、依据《天津市文明行为促进条例》对违规行为作出行政处罚23件，累计罚款87000元。其中，对违法建筑行政处罚4件，堆物占路等行政处罚19件。广大群众践行文明行为，积极参与不文明行为治理，以法治力量推进城市文明建设取得明显成效。得到了广大居民的认可，《条例》发挥重要作用，不文明行为持续减少。截至目前，累计治理占路经营600余起，清理违章布标90余处，治理马路餐桌100余处，铲除乱贴乱画400余处，清理道路沿线堆物堆料50余车，为我街市容环境的综合整治打下良好基础。累计拆除违法建筑2600余平米，其中时代奥城A3写字楼楼顶2000余平方米违建，在执法队耐心细致的工作下，相对人迫于法律压力自行拆除。执法队伍形成强大执法震慑力，确保新增违章零容忍，发现一起，拆除一起。有力避免了新增违章建筑的产生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（三）强化行政能力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2021年我街行政应诉共 9 件，与去年同期相比，应诉案件略有增加，数量增加的同时，我们同样增加了相关经验，并在此过程中不断提升应诉能力。在接到行政诉讼时，我街配合律师做好开庭审理工作，接到法院传票后，迅速确定出庭应诉人员，并充分做好庭前准备工作，了解事件事实和证据，配合法院调查。严格遵守法庭纪律，积极参与相关程序我街领导同样积极履行出庭应诉职责，严格按照行政机关负责人出庭应诉要求，履行行政应诉职责，保证我街负责人出庭应诉比例在100%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我街行政复议共有24件，我街工作人员在接到行政复议时，积极与申请人沟通，了解申请人需求，在此之后，严格按照相关法律法规对申请人进行答复，如遇到模糊不清状况时，积极询问区里相关部门，力求让申请人得到满意的答复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（四）积极宣传法律法规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我街积极组织宣传法律活动，设置公益广告宣传、发放宣传资料。在各大重要节点，组织开展形式多样的宣传教育活动，加大宣传贯彻力度，普及法律知识。扎实推进基层法治示范和法治文化建设，切实提高全民法律素养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二、2021年推进法治政府建设的不足和原因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70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（一）法治政府体系建设有待提高。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法治建设工作体系还不够完备，中长期规划不具体，属地特色不明显，存在“上下一般粗”的问题，原因主要在于缺乏专业的法律人才。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70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（二）法治队伍建设有待夯实。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缺乏从事法治工作的专业工作人员，工作人员皆为兼职开展工作，执法人员的业务水平不能及时保持推进，原因主要在于法律专业的骨干力量尚未建设起来，干部队伍整体学法用法水平还不高。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三、2021年体育中心街道主要负责人履行推进法治政府建设第一责任人职责、加强法治政府建设有关情况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深入推进学习宣传习近平法治思想，以习近平法治思想引领全民普法工作，将其作为理论中心组、基层党组织、全民学法的重要内容，充分发挥领导干部的模范带头作用，引导全体党员干部全面准确把握习近平法治思想的核心内容，自觉运用法治思维和法治方式推动工作。进一步完善规章制度，加强队伍建设，不断提升执法能力，组织好本单位执法人员的业务培训及新增执法人员的培训工作，加强对业务科室的工作要求，不断提升党员干部服务大局、依法行政的能力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四、2022年推进法治政府建设主要安排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下一步，我街将认真总结2021年工作经验重点做好以下工作：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70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（一）加强执法能力。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进一步强化宗旨意识和公仆意识，端正执法思想，创新执法理念，规范执法行为，努力提高执法水平、服务水平，认真解决好“为谁用权、为谁执法、为谁服务”的执法思想问题。在执法活动中要严格依法办事，依法行政，在结果上追求公正，在方式上讲究文明。真正做到有法可依、违法必究、执法必严、执法必公，从而使民心归法，只有公正执法，才能体现执法的人性化。但人性化执法绝不是法外施恩，无论如何人性化都必须在法律规定的范围之内，必须用制度加以规范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 （二）积极宣传法治。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紧抓领导干部这一“关键少数”，深入学习法律法规，不断提升工作能力，着力提高依法行政能力和水平。将严格依照法律履职尽责作为工作常态，把严格依法行政作为日常工作的基本方式，自觉运用法治思维和法治方式解决问题、推动工作、促进发展，努力营造办事依法、遇事找法、解决问题用法、化解矛盾靠法的良好法治环境。          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  </w:t>
      </w:r>
      <w:bookmarkStart w:id="0" w:name="_GoBack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（三）全面发挥法律顾问效能。</w:t>
      </w:r>
      <w:bookmarkEnd w:id="0"/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继续聘请具有多年行政诉讼经验的律师作为法律顾问，并且积极与司法所律师沟通，提高法律顾问参与度，让“智囊”作用得到充分发挥，邀请法律顾问全程参与诉讼案件并提供法律咨询、出具法律意见，提升规避法律风险的能力，增强依法行政的主动性和自觉性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right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            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南开区人民政府体育中心街道办事处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4"/>
          <w:szCs w:val="34"/>
        </w:rPr>
      </w:pP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  <w:t xml:space="preserve">           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</w:rPr>
        <w:t> 2022年2月11日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jA4MGRmNGZlNTc0MmVjMzJhZGRhNmFiMzYzMDgifQ=="/>
  </w:docVars>
  <w:rsids>
    <w:rsidRoot w:val="00000000"/>
    <w:rsid w:val="17D46191"/>
    <w:rsid w:val="2D0471AF"/>
    <w:rsid w:val="2EE63891"/>
    <w:rsid w:val="54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2023-12-19T10:57:09Z</dcterms:created>
  <dc:creator>asus</dc:creator>
  <cp:lastModifiedBy>asus</cp:lastModifiedBy>
  <dcterms:modified xsi:type="dcterms:W3CDTF">2023-12-19T11:07:24Z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45214D22C5224437A49955D3255574EF_12</vt:lpwstr>
  </property>
</Properties>
</file>