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5"/>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color w:val="auto"/>
                <w:kern w:val="0"/>
                <w:sz w:val="18"/>
                <w:szCs w:val="18"/>
              </w:rPr>
            </w:pPr>
            <w:r>
              <w:rPr>
                <w:rFonts w:hint="eastAsia" w:ascii="黑体" w:hAnsi="宋体" w:eastAsia="黑体" w:cs="宋体"/>
                <w:color w:val="auto"/>
                <w:kern w:val="0"/>
                <w:sz w:val="22"/>
              </w:rPr>
              <w:t>序号</w:t>
            </w:r>
          </w:p>
        </w:tc>
        <w:tc>
          <w:tcPr>
            <w:tcW w:w="1676"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3364"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2340"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620"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w:t>
            </w:r>
          </w:p>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时限</w:t>
            </w:r>
          </w:p>
        </w:tc>
        <w:tc>
          <w:tcPr>
            <w:tcW w:w="95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w:t>
            </w:r>
          </w:p>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主体</w:t>
            </w:r>
          </w:p>
        </w:tc>
        <w:tc>
          <w:tcPr>
            <w:tcW w:w="185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620"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688"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olor w:val="auto"/>
                <w:kern w:val="0"/>
                <w:sz w:val="18"/>
                <w:szCs w:val="18"/>
              </w:rPr>
            </w:pPr>
          </w:p>
        </w:tc>
        <w:tc>
          <w:tcPr>
            <w:tcW w:w="90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776"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3364" w:type="dxa"/>
            <w:vMerge w:val="continue"/>
            <w:vAlign w:val="center"/>
          </w:tcPr>
          <w:p>
            <w:pPr>
              <w:widowControl/>
              <w:jc w:val="left"/>
              <w:rPr>
                <w:rFonts w:ascii="黑体" w:hAnsi="宋体" w:eastAsia="黑体" w:cs="宋体"/>
                <w:color w:val="auto"/>
                <w:kern w:val="0"/>
                <w:sz w:val="22"/>
              </w:rPr>
            </w:pPr>
          </w:p>
        </w:tc>
        <w:tc>
          <w:tcPr>
            <w:tcW w:w="2340" w:type="dxa"/>
            <w:vMerge w:val="continue"/>
            <w:vAlign w:val="center"/>
          </w:tcPr>
          <w:p>
            <w:pPr>
              <w:widowControl/>
              <w:jc w:val="left"/>
              <w:rPr>
                <w:rFonts w:ascii="黑体" w:hAnsi="宋体" w:eastAsia="黑体" w:cs="宋体"/>
                <w:color w:val="auto"/>
                <w:kern w:val="0"/>
                <w:sz w:val="22"/>
              </w:rPr>
            </w:pPr>
          </w:p>
        </w:tc>
        <w:tc>
          <w:tcPr>
            <w:tcW w:w="1620" w:type="dxa"/>
            <w:vMerge w:val="continue"/>
            <w:vAlign w:val="center"/>
          </w:tcPr>
          <w:p>
            <w:pPr>
              <w:widowControl/>
              <w:jc w:val="left"/>
              <w:rPr>
                <w:rFonts w:ascii="黑体" w:hAnsi="宋体" w:eastAsia="黑体" w:cs="宋体"/>
                <w:color w:val="auto"/>
                <w:kern w:val="0"/>
                <w:sz w:val="22"/>
              </w:rPr>
            </w:pPr>
          </w:p>
        </w:tc>
        <w:tc>
          <w:tcPr>
            <w:tcW w:w="956" w:type="dxa"/>
            <w:vMerge w:val="continue"/>
            <w:vAlign w:val="center"/>
          </w:tcPr>
          <w:p>
            <w:pPr>
              <w:widowControl/>
              <w:jc w:val="left"/>
              <w:rPr>
                <w:rFonts w:ascii="黑体" w:hAnsi="宋体" w:eastAsia="黑体" w:cs="宋体"/>
                <w:color w:val="auto"/>
                <w:kern w:val="0"/>
                <w:sz w:val="22"/>
              </w:rPr>
            </w:pPr>
          </w:p>
        </w:tc>
        <w:tc>
          <w:tcPr>
            <w:tcW w:w="1856" w:type="dxa"/>
            <w:vMerge w:val="continue"/>
            <w:vAlign w:val="center"/>
          </w:tcPr>
          <w:p>
            <w:pPr>
              <w:widowControl/>
              <w:jc w:val="left"/>
              <w:rPr>
                <w:rFonts w:ascii="黑体" w:hAnsi="宋体" w:eastAsia="黑体" w:cs="宋体"/>
                <w:color w:val="auto"/>
                <w:kern w:val="0"/>
                <w:sz w:val="22"/>
              </w:rPr>
            </w:pPr>
          </w:p>
        </w:tc>
        <w:tc>
          <w:tcPr>
            <w:tcW w:w="72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90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w:t>
            </w:r>
          </w:p>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群众</w:t>
            </w:r>
          </w:p>
        </w:tc>
        <w:tc>
          <w:tcPr>
            <w:tcW w:w="788"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90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auto"/>
                <w:sz w:val="18"/>
                <w:szCs w:val="18"/>
              </w:rPr>
            </w:pPr>
            <w:r>
              <w:rPr>
                <w:rFonts w:hint="eastAsia" w:ascii="仿宋_GB2312" w:eastAsia="仿宋_GB2312"/>
                <w:color w:val="auto"/>
                <w:sz w:val="18"/>
                <w:szCs w:val="18"/>
              </w:rPr>
              <w:t>1</w:t>
            </w:r>
          </w:p>
        </w:tc>
        <w:tc>
          <w:tcPr>
            <w:tcW w:w="900" w:type="dxa"/>
            <w:vAlign w:val="center"/>
          </w:tcPr>
          <w:p>
            <w:pPr>
              <w:jc w:val="center"/>
              <w:rPr>
                <w:rFonts w:ascii="仿宋_GB2312" w:hAnsi="宋体" w:eastAsia="仿宋_GB2312" w:cs="宋体"/>
                <w:color w:val="auto"/>
                <w:sz w:val="18"/>
                <w:szCs w:val="18"/>
              </w:rPr>
            </w:pPr>
            <w:r>
              <w:rPr>
                <w:rFonts w:hint="eastAsia" w:ascii="仿宋_GB2312" w:hAnsi="宋体" w:eastAsia="仿宋_GB2312"/>
                <w:color w:val="auto"/>
                <w:sz w:val="18"/>
                <w:szCs w:val="18"/>
              </w:rPr>
              <w:t>工程建设项目招标投标信息</w:t>
            </w:r>
          </w:p>
        </w:tc>
        <w:tc>
          <w:tcPr>
            <w:tcW w:w="776"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审批核准信息</w:t>
            </w:r>
          </w:p>
        </w:tc>
        <w:tc>
          <w:tcPr>
            <w:tcW w:w="3364"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《招标投标法实施条例》、《政府信息公开条例》、《国务院办公厅关于推进公共资源配置领域政府信息公开的意见》</w:t>
            </w:r>
          </w:p>
        </w:tc>
        <w:tc>
          <w:tcPr>
            <w:tcW w:w="162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信息形成之日起20个工作</w:t>
            </w:r>
            <w:bookmarkStart w:id="1" w:name="_GoBack"/>
            <w:bookmarkEnd w:id="1"/>
            <w:r>
              <w:rPr>
                <w:rFonts w:hint="eastAsia" w:ascii="仿宋_GB2312" w:hAnsi="宋体" w:eastAsia="仿宋_GB2312"/>
                <w:color w:val="auto"/>
                <w:sz w:val="18"/>
                <w:szCs w:val="18"/>
              </w:rPr>
              <w:t>日内</w:t>
            </w:r>
          </w:p>
        </w:tc>
        <w:tc>
          <w:tcPr>
            <w:tcW w:w="9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南开区住建委牵头，负责管理的部门分别公开</w:t>
            </w:r>
          </w:p>
        </w:tc>
        <w:tc>
          <w:tcPr>
            <w:tcW w:w="18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w:t>
            </w:r>
          </w:p>
          <w:p>
            <w:pPr>
              <w:rPr>
                <w:rFonts w:ascii="仿宋_GB2312" w:hAnsi="宋体" w:eastAsia="仿宋_GB2312"/>
                <w:color w:val="auto"/>
                <w:sz w:val="18"/>
                <w:szCs w:val="18"/>
              </w:rPr>
            </w:pPr>
            <w:r>
              <w:rPr>
                <w:rFonts w:hint="eastAsia" w:ascii="仿宋_GB2312" w:hAnsi="宋体" w:eastAsia="仿宋_GB2312"/>
                <w:color w:val="auto"/>
                <w:sz w:val="18"/>
                <w:szCs w:val="18"/>
              </w:rPr>
              <w:t>■管理部门网站</w:t>
            </w:r>
          </w:p>
        </w:tc>
        <w:tc>
          <w:tcPr>
            <w:tcW w:w="7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8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auto"/>
                <w:sz w:val="18"/>
                <w:szCs w:val="18"/>
              </w:rPr>
            </w:pPr>
            <w:r>
              <w:rPr>
                <w:rFonts w:hint="eastAsia" w:ascii="仿宋_GB2312" w:eastAsia="仿宋_GB2312"/>
                <w:color w:val="auto"/>
                <w:sz w:val="18"/>
                <w:szCs w:val="18"/>
              </w:rPr>
              <w:t>2</w:t>
            </w:r>
          </w:p>
        </w:tc>
        <w:tc>
          <w:tcPr>
            <w:tcW w:w="900" w:type="dxa"/>
            <w:vAlign w:val="center"/>
          </w:tcPr>
          <w:p>
            <w:pPr>
              <w:jc w:val="center"/>
              <w:rPr>
                <w:rFonts w:ascii="仿宋_GB2312" w:hAnsi="宋体" w:eastAsia="仿宋_GB2312" w:cs="宋体"/>
                <w:color w:val="auto"/>
                <w:sz w:val="18"/>
                <w:szCs w:val="18"/>
              </w:rPr>
            </w:pPr>
            <w:r>
              <w:rPr>
                <w:rFonts w:hint="eastAsia" w:ascii="仿宋_GB2312" w:hAnsi="宋体" w:eastAsia="仿宋_GB2312"/>
                <w:color w:val="auto"/>
                <w:sz w:val="18"/>
                <w:szCs w:val="18"/>
              </w:rPr>
              <w:t>工程建设项目招标投标信息　</w:t>
            </w:r>
          </w:p>
        </w:tc>
        <w:tc>
          <w:tcPr>
            <w:tcW w:w="776"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资格预审公告</w:t>
            </w:r>
          </w:p>
        </w:tc>
        <w:tc>
          <w:tcPr>
            <w:tcW w:w="3364"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及时公开</w:t>
            </w:r>
          </w:p>
        </w:tc>
        <w:tc>
          <w:tcPr>
            <w:tcW w:w="9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招标人或者其委托的招标代理机构</w:t>
            </w:r>
          </w:p>
        </w:tc>
        <w:tc>
          <w:tcPr>
            <w:tcW w:w="18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■招标投标公共服务平台</w:t>
            </w:r>
          </w:p>
          <w:p>
            <w:pPr>
              <w:rPr>
                <w:rFonts w:ascii="仿宋_GB2312" w:hAnsi="宋体" w:eastAsia="仿宋_GB2312"/>
                <w:color w:val="auto"/>
                <w:sz w:val="18"/>
                <w:szCs w:val="18"/>
              </w:rPr>
            </w:pPr>
            <w:r>
              <w:rPr>
                <w:rFonts w:hint="eastAsia" w:ascii="仿宋_GB2312" w:hAnsi="宋体" w:eastAsia="仿宋_GB2312"/>
                <w:color w:val="auto"/>
                <w:sz w:val="18"/>
                <w:szCs w:val="18"/>
              </w:rPr>
              <w:t>■公共资源交易平台</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■电子招标投标交易平台</w:t>
            </w:r>
          </w:p>
        </w:tc>
        <w:tc>
          <w:tcPr>
            <w:tcW w:w="7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8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auto"/>
                <w:sz w:val="18"/>
                <w:szCs w:val="18"/>
              </w:rPr>
            </w:pPr>
            <w:r>
              <w:rPr>
                <w:rFonts w:hint="eastAsia" w:ascii="仿宋_GB2312" w:eastAsia="仿宋_GB2312"/>
                <w:color w:val="auto"/>
                <w:sz w:val="18"/>
                <w:szCs w:val="18"/>
              </w:rPr>
              <w:t>3</w:t>
            </w:r>
          </w:p>
        </w:tc>
        <w:tc>
          <w:tcPr>
            <w:tcW w:w="900" w:type="dxa"/>
            <w:vMerge w:val="restart"/>
            <w:vAlign w:val="center"/>
          </w:tcPr>
          <w:p>
            <w:pPr>
              <w:jc w:val="center"/>
              <w:rPr>
                <w:rFonts w:ascii="仿宋_GB2312" w:hAnsi="宋体" w:eastAsia="仿宋_GB2312" w:cs="宋体"/>
                <w:color w:val="auto"/>
                <w:sz w:val="18"/>
                <w:szCs w:val="18"/>
              </w:rPr>
            </w:pPr>
            <w:r>
              <w:rPr>
                <w:rFonts w:hint="eastAsia" w:ascii="仿宋_GB2312" w:hAnsi="宋体" w:eastAsia="仿宋_GB2312"/>
                <w:color w:val="auto"/>
                <w:sz w:val="18"/>
                <w:szCs w:val="18"/>
              </w:rPr>
              <w:t>工程建设项目招标投标信息　</w:t>
            </w:r>
          </w:p>
          <w:p>
            <w:pPr>
              <w:jc w:val="center"/>
              <w:rPr>
                <w:rFonts w:ascii="仿宋_GB2312" w:hAnsi="宋体" w:eastAsia="仿宋_GB2312" w:cs="宋体"/>
                <w:color w:val="auto"/>
                <w:sz w:val="18"/>
                <w:szCs w:val="18"/>
              </w:rPr>
            </w:pPr>
            <w:r>
              <w:rPr>
                <w:rFonts w:hint="eastAsia" w:ascii="仿宋_GB2312" w:hAnsi="宋体" w:eastAsia="仿宋_GB2312"/>
                <w:color w:val="auto"/>
                <w:sz w:val="18"/>
                <w:szCs w:val="18"/>
              </w:rPr>
              <w:t>　</w:t>
            </w:r>
          </w:p>
        </w:tc>
        <w:tc>
          <w:tcPr>
            <w:tcW w:w="776"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招标公告</w:t>
            </w:r>
          </w:p>
        </w:tc>
        <w:tc>
          <w:tcPr>
            <w:tcW w:w="3364"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及时公开</w:t>
            </w:r>
          </w:p>
        </w:tc>
        <w:tc>
          <w:tcPr>
            <w:tcW w:w="9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招标人或者其委托的招标代理机构</w:t>
            </w:r>
          </w:p>
        </w:tc>
        <w:tc>
          <w:tcPr>
            <w:tcW w:w="18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■招标投标公共服务平台</w:t>
            </w:r>
          </w:p>
          <w:p>
            <w:pPr>
              <w:rPr>
                <w:rFonts w:ascii="仿宋_GB2312" w:hAnsi="宋体" w:eastAsia="仿宋_GB2312"/>
                <w:color w:val="auto"/>
                <w:sz w:val="18"/>
                <w:szCs w:val="18"/>
              </w:rPr>
            </w:pPr>
            <w:r>
              <w:rPr>
                <w:rFonts w:hint="eastAsia" w:ascii="仿宋_GB2312" w:hAnsi="宋体" w:eastAsia="仿宋_GB2312"/>
                <w:color w:val="auto"/>
                <w:sz w:val="18"/>
                <w:szCs w:val="18"/>
              </w:rPr>
              <w:t>■公共资源交易平台</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■电子招标投标交易平台</w:t>
            </w:r>
          </w:p>
        </w:tc>
        <w:tc>
          <w:tcPr>
            <w:tcW w:w="7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8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auto"/>
                <w:sz w:val="18"/>
                <w:szCs w:val="18"/>
              </w:rPr>
            </w:pPr>
            <w:r>
              <w:rPr>
                <w:rFonts w:hint="eastAsia" w:ascii="仿宋_GB2312" w:eastAsia="仿宋_GB2312"/>
                <w:color w:val="auto"/>
                <w:sz w:val="18"/>
                <w:szCs w:val="18"/>
              </w:rPr>
              <w:t>4</w:t>
            </w:r>
          </w:p>
        </w:tc>
        <w:tc>
          <w:tcPr>
            <w:tcW w:w="900" w:type="dxa"/>
            <w:vMerge w:val="continue"/>
            <w:vAlign w:val="center"/>
          </w:tcPr>
          <w:p>
            <w:pPr>
              <w:jc w:val="center"/>
              <w:rPr>
                <w:rFonts w:ascii="仿宋_GB2312" w:hAnsi="宋体" w:eastAsia="仿宋_GB2312" w:cs="宋体"/>
                <w:color w:val="auto"/>
                <w:sz w:val="18"/>
                <w:szCs w:val="18"/>
              </w:rPr>
            </w:pPr>
          </w:p>
        </w:tc>
        <w:tc>
          <w:tcPr>
            <w:tcW w:w="776"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中标候选人公示</w:t>
            </w:r>
          </w:p>
        </w:tc>
        <w:tc>
          <w:tcPr>
            <w:tcW w:w="3364" w:type="dxa"/>
            <w:vAlign w:val="center"/>
          </w:tcPr>
          <w:p>
            <w:pPr>
              <w:rPr>
                <w:rFonts w:ascii="仿宋_GB2312" w:hAnsi="宋体" w:eastAsia="仿宋_GB2312" w:cs="宋体"/>
                <w:color w:val="auto"/>
                <w:sz w:val="18"/>
                <w:szCs w:val="18"/>
              </w:rPr>
            </w:pPr>
            <w:r>
              <w:rPr>
                <w:rFonts w:hint="eastAsia" w:ascii="仿宋_GB2312" w:hAnsi="宋体" w:eastAsia="仿宋_GB2312"/>
                <w:color w:val="auto"/>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招标文件规定公示的其他内容。</w:t>
            </w:r>
          </w:p>
        </w:tc>
        <w:tc>
          <w:tcPr>
            <w:tcW w:w="2340" w:type="dxa"/>
            <w:vMerge w:val="continue"/>
            <w:vAlign w:val="center"/>
          </w:tcPr>
          <w:p>
            <w:pPr>
              <w:rPr>
                <w:rFonts w:ascii="仿宋_GB2312" w:hAnsi="宋体" w:eastAsia="仿宋_GB2312"/>
                <w:color w:val="auto"/>
                <w:sz w:val="18"/>
                <w:szCs w:val="18"/>
              </w:rPr>
            </w:pPr>
          </w:p>
        </w:tc>
        <w:tc>
          <w:tcPr>
            <w:tcW w:w="162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招标人或者其委托的招标代理机构</w:t>
            </w:r>
          </w:p>
        </w:tc>
        <w:tc>
          <w:tcPr>
            <w:tcW w:w="18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■招标投标公共服务平台</w:t>
            </w:r>
          </w:p>
          <w:p>
            <w:pPr>
              <w:rPr>
                <w:rFonts w:ascii="仿宋_GB2312" w:hAnsi="宋体" w:eastAsia="仿宋_GB2312"/>
                <w:color w:val="auto"/>
                <w:sz w:val="18"/>
                <w:szCs w:val="18"/>
              </w:rPr>
            </w:pPr>
            <w:r>
              <w:rPr>
                <w:rFonts w:hint="eastAsia" w:ascii="仿宋_GB2312" w:hAnsi="宋体" w:eastAsia="仿宋_GB2312"/>
                <w:color w:val="auto"/>
                <w:sz w:val="18"/>
                <w:szCs w:val="18"/>
              </w:rPr>
              <w:t>■公共资源交易平台</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■电子招标投标交易平台</w:t>
            </w:r>
          </w:p>
        </w:tc>
        <w:tc>
          <w:tcPr>
            <w:tcW w:w="7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8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5</w:t>
            </w:r>
          </w:p>
        </w:tc>
        <w:tc>
          <w:tcPr>
            <w:tcW w:w="900" w:type="dxa"/>
            <w:vMerge w:val="restart"/>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工程建设项目招标投标信息　</w:t>
            </w:r>
          </w:p>
        </w:tc>
        <w:tc>
          <w:tcPr>
            <w:tcW w:w="77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中标结果</w:t>
            </w:r>
          </w:p>
        </w:tc>
        <w:tc>
          <w:tcPr>
            <w:tcW w:w="3364"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招标项目名称、中标人名称、中标价、工期、项目负责人、中标内容。</w:t>
            </w:r>
          </w:p>
        </w:tc>
        <w:tc>
          <w:tcPr>
            <w:tcW w:w="234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及时公开</w:t>
            </w:r>
          </w:p>
        </w:tc>
        <w:tc>
          <w:tcPr>
            <w:tcW w:w="9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招标人或者其委托的招标代理机构</w:t>
            </w:r>
          </w:p>
        </w:tc>
        <w:tc>
          <w:tcPr>
            <w:tcW w:w="185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■招标投标公共服务平台</w:t>
            </w:r>
          </w:p>
          <w:p>
            <w:pPr>
              <w:rPr>
                <w:rFonts w:ascii="仿宋_GB2312" w:hAnsi="宋体" w:eastAsia="仿宋_GB2312"/>
                <w:color w:val="auto"/>
                <w:sz w:val="18"/>
                <w:szCs w:val="18"/>
              </w:rPr>
            </w:pPr>
            <w:r>
              <w:rPr>
                <w:rFonts w:hint="eastAsia" w:ascii="仿宋_GB2312" w:hAnsi="宋体" w:eastAsia="仿宋_GB2312"/>
                <w:color w:val="auto"/>
                <w:sz w:val="18"/>
                <w:szCs w:val="18"/>
              </w:rPr>
              <w:t>■公共资源交易平台</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■电子招标投标交易平台</w:t>
            </w:r>
          </w:p>
        </w:tc>
        <w:tc>
          <w:tcPr>
            <w:tcW w:w="7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8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color w:val="auto"/>
                <w:sz w:val="18"/>
                <w:szCs w:val="18"/>
              </w:rPr>
            </w:pPr>
            <w:r>
              <w:rPr>
                <w:rFonts w:hint="eastAsia" w:ascii="仿宋_GB2312" w:eastAsia="仿宋_GB2312"/>
                <w:color w:val="auto"/>
                <w:sz w:val="18"/>
                <w:szCs w:val="18"/>
              </w:rPr>
              <w:t>6</w:t>
            </w:r>
          </w:p>
        </w:tc>
        <w:tc>
          <w:tcPr>
            <w:tcW w:w="900" w:type="dxa"/>
            <w:vMerge w:val="continue"/>
            <w:vAlign w:val="center"/>
          </w:tcPr>
          <w:p>
            <w:pPr>
              <w:jc w:val="center"/>
              <w:rPr>
                <w:rFonts w:ascii="仿宋_GB2312" w:hAnsi="宋体" w:eastAsia="仿宋_GB2312"/>
                <w:color w:val="auto"/>
                <w:sz w:val="18"/>
                <w:szCs w:val="18"/>
              </w:rPr>
            </w:pPr>
          </w:p>
        </w:tc>
        <w:tc>
          <w:tcPr>
            <w:tcW w:w="77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合同订立信息</w:t>
            </w:r>
          </w:p>
        </w:tc>
        <w:tc>
          <w:tcPr>
            <w:tcW w:w="3364"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包括项目名称、合同双方名称、合同价款、签约时间、合同期限。</w:t>
            </w:r>
          </w:p>
        </w:tc>
        <w:tc>
          <w:tcPr>
            <w:tcW w:w="2340" w:type="dxa"/>
            <w:vMerge w:val="restart"/>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合同当事人</w:t>
            </w:r>
          </w:p>
        </w:tc>
        <w:tc>
          <w:tcPr>
            <w:tcW w:w="1856"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■招标投标公共服务平台</w:t>
            </w:r>
          </w:p>
          <w:p>
            <w:pPr>
              <w:rPr>
                <w:rFonts w:ascii="仿宋_GB2312" w:hAnsi="宋体" w:eastAsia="仿宋_GB2312"/>
                <w:color w:val="auto"/>
                <w:sz w:val="18"/>
                <w:szCs w:val="18"/>
              </w:rPr>
            </w:pPr>
            <w:r>
              <w:rPr>
                <w:rFonts w:hint="eastAsia" w:ascii="仿宋_GB2312" w:hAnsi="宋体" w:eastAsia="仿宋_GB2312"/>
                <w:color w:val="auto"/>
                <w:sz w:val="18"/>
                <w:szCs w:val="18"/>
              </w:rPr>
              <w:t>■公共资源交易平台</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■电子招标投标交易平台</w:t>
            </w:r>
          </w:p>
        </w:tc>
        <w:tc>
          <w:tcPr>
            <w:tcW w:w="72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8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ascii="仿宋_GB2312" w:hAnsi="宋体" w:eastAsia="仿宋_GB2312" w:cs="宋体"/>
                <w:color w:val="auto"/>
                <w:sz w:val="18"/>
                <w:szCs w:val="18"/>
              </w:rPr>
            </w:pPr>
            <w:r>
              <w:rPr>
                <w:rFonts w:hint="eastAsia" w:ascii="仿宋_GB2312" w:eastAsia="仿宋_GB2312"/>
                <w:color w:val="auto"/>
                <w:sz w:val="18"/>
                <w:szCs w:val="18"/>
              </w:rPr>
              <w:t>7</w:t>
            </w:r>
          </w:p>
        </w:tc>
        <w:tc>
          <w:tcPr>
            <w:tcW w:w="900" w:type="dxa"/>
            <w:vMerge w:val="continue"/>
            <w:vAlign w:val="center"/>
          </w:tcPr>
          <w:p>
            <w:pPr>
              <w:jc w:val="center"/>
              <w:rPr>
                <w:rFonts w:ascii="仿宋_GB2312" w:hAnsi="宋体" w:eastAsia="仿宋_GB2312" w:cs="宋体"/>
                <w:color w:val="auto"/>
                <w:sz w:val="18"/>
                <w:szCs w:val="18"/>
              </w:rPr>
            </w:pPr>
          </w:p>
        </w:tc>
        <w:tc>
          <w:tcPr>
            <w:tcW w:w="776" w:type="dxa"/>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合同履行及变更信息</w:t>
            </w:r>
          </w:p>
        </w:tc>
        <w:tc>
          <w:tcPr>
            <w:tcW w:w="3364" w:type="dxa"/>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ascii="仿宋_GB2312" w:eastAsia="仿宋_GB2312"/>
                <w:color w:val="auto"/>
                <w:sz w:val="18"/>
                <w:szCs w:val="18"/>
              </w:rPr>
            </w:pP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鼓励及时公开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合同当事人</w:t>
            </w:r>
          </w:p>
        </w:tc>
        <w:tc>
          <w:tcPr>
            <w:tcW w:w="1856" w:type="dxa"/>
            <w:vMerge w:val="continue"/>
            <w:vAlign w:val="center"/>
          </w:tcPr>
          <w:p>
            <w:pPr>
              <w:rPr>
                <w:rFonts w:ascii="Wingdings 2" w:hAnsi="Wingdings 2" w:cs="宋体"/>
                <w:color w:val="auto"/>
                <w:sz w:val="18"/>
                <w:szCs w:val="18"/>
              </w:rPr>
            </w:pPr>
          </w:p>
        </w:tc>
        <w:tc>
          <w:tcPr>
            <w:tcW w:w="720" w:type="dxa"/>
            <w:vAlign w:val="center"/>
          </w:tcPr>
          <w:p>
            <w:pPr>
              <w:jc w:val="center"/>
              <w:rPr>
                <w:rFonts w:ascii="宋体" w:hAnsi="宋体" w:cs="宋体"/>
                <w:color w:val="auto"/>
                <w:sz w:val="18"/>
                <w:szCs w:val="18"/>
              </w:rPr>
            </w:pPr>
            <w:r>
              <w:rPr>
                <w:rFonts w:hint="eastAsia"/>
                <w:color w:val="auto"/>
                <w:sz w:val="18"/>
                <w:szCs w:val="18"/>
              </w:rPr>
              <w:t>√</w:t>
            </w:r>
          </w:p>
        </w:tc>
        <w:tc>
          <w:tcPr>
            <w:tcW w:w="900" w:type="dxa"/>
            <w:vAlign w:val="center"/>
          </w:tcPr>
          <w:p>
            <w:pPr>
              <w:jc w:val="center"/>
              <w:rPr>
                <w:rFonts w:ascii="宋体" w:hAnsi="宋体" w:cs="宋体"/>
                <w:color w:val="auto"/>
                <w:sz w:val="18"/>
                <w:szCs w:val="18"/>
              </w:rPr>
            </w:pPr>
            <w:r>
              <w:rPr>
                <w:rFonts w:hint="eastAsia"/>
                <w:color w:val="auto"/>
                <w:sz w:val="18"/>
                <w:szCs w:val="18"/>
              </w:rPr>
              <w:t>　</w:t>
            </w:r>
          </w:p>
        </w:tc>
        <w:tc>
          <w:tcPr>
            <w:tcW w:w="788" w:type="dxa"/>
            <w:vAlign w:val="center"/>
          </w:tcPr>
          <w:p>
            <w:pPr>
              <w:jc w:val="center"/>
              <w:rPr>
                <w:rFonts w:ascii="宋体" w:hAnsi="宋体" w:cs="宋体"/>
                <w:color w:val="auto"/>
                <w:sz w:val="18"/>
                <w:szCs w:val="18"/>
              </w:rPr>
            </w:pPr>
            <w:r>
              <w:rPr>
                <w:rFonts w:hint="eastAsia"/>
                <w:color w:val="auto"/>
                <w:sz w:val="18"/>
                <w:szCs w:val="18"/>
              </w:rPr>
              <w:t>√</w:t>
            </w:r>
          </w:p>
        </w:tc>
        <w:tc>
          <w:tcPr>
            <w:tcW w:w="900" w:type="dxa"/>
            <w:vAlign w:val="center"/>
          </w:tcPr>
          <w:p>
            <w:pP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8</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工程建设项目招标投标信息</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资格预审文件、招标文件澄清或修改</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《招标投标法》、《招标投标法实施条例》、《电子招标投标办法》</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招标人或者其委托的招标代理机构</w:t>
            </w:r>
          </w:p>
        </w:tc>
        <w:tc>
          <w:tcPr>
            <w:tcW w:w="1856" w:type="dxa"/>
            <w:vAlign w:val="center"/>
          </w:tcPr>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招标投标公共服务平台</w:t>
            </w:r>
          </w:p>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r>
              <w:rPr>
                <w:rFonts w:ascii="仿宋_GB2312" w:eastAsia="仿宋_GB2312"/>
                <w:color w:val="auto"/>
                <w:sz w:val="18"/>
                <w:szCs w:val="18"/>
              </w:rPr>
              <w:br w:type="textWrapping"/>
            </w:r>
            <w:r>
              <w:rPr>
                <w:rFonts w:hint="eastAsia" w:ascii="仿宋_GB2312" w:hAnsi="宋体" w:eastAsia="仿宋_GB2312"/>
                <w:color w:val="auto"/>
                <w:sz w:val="18"/>
                <w:szCs w:val="18"/>
              </w:rPr>
              <w:t>■</w:t>
            </w:r>
            <w:r>
              <w:rPr>
                <w:rFonts w:hint="eastAsia" w:ascii="仿宋_GB2312" w:eastAsia="仿宋_GB2312"/>
                <w:color w:val="auto"/>
                <w:sz w:val="18"/>
                <w:szCs w:val="18"/>
              </w:rPr>
              <w:t>电子招标投标交易平台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9</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工程建设项目招标投标信息</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招标公告和公示信息澄清、修改</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《招标公告和公示信息发布管理办法》</w:t>
            </w: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招标人或者其委托的招标代理机构</w:t>
            </w:r>
          </w:p>
        </w:tc>
        <w:tc>
          <w:tcPr>
            <w:tcW w:w="1856" w:type="dxa"/>
            <w:vMerge w:val="restart"/>
            <w:vAlign w:val="center"/>
          </w:tcPr>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■招标投标公共服务平台</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■电子招标投标交易平台</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10</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暂停、终止招标</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《招标公告和公示信息发布管理办法》）</w:t>
            </w: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招标人或者其委托的招标代理机构</w:t>
            </w:r>
          </w:p>
        </w:tc>
        <w:tc>
          <w:tcPr>
            <w:tcW w:w="1856" w:type="dxa"/>
            <w:vMerge w:val="continue"/>
            <w:vAlign w:val="center"/>
          </w:tcPr>
          <w:p>
            <w:pPr>
              <w:rPr>
                <w:rFonts w:ascii="仿宋_GB2312" w:eastAsia="仿宋_GB2312"/>
                <w:color w:val="auto"/>
                <w:sz w:val="18"/>
                <w:szCs w:val="18"/>
              </w:rPr>
            </w:pP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11</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市场主体信用信息</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《行政处罚法》、《政府信息公开条例》、《国务院办公厅关于推进公共资源配置领域政府信息公开的意见》</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信息形成之日起20个工作日内</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区发改委及行业主管部门、各街道办事处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■公共资源交易平台</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■信用中国</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12</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w:t>
            </w:r>
          </w:p>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招标公告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color w:val="auto"/>
                <w:sz w:val="18"/>
                <w:szCs w:val="18"/>
              </w:rPr>
            </w:pPr>
            <w:r>
              <w:rPr>
                <w:rFonts w:hint="eastAsia" w:ascii="仿宋_GB2312" w:eastAsia="仿宋_GB2312"/>
                <w:color w:val="auto"/>
                <w:sz w:val="18"/>
                <w:szCs w:val="18"/>
              </w:rPr>
              <w:t>及时公开，公告期限为5个工作日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p>
            <w:pPr>
              <w:rPr>
                <w:rFonts w:ascii="仿宋_GB2312" w:eastAsia="仿宋_GB2312"/>
                <w:color w:val="auto"/>
                <w:sz w:val="18"/>
                <w:szCs w:val="18"/>
              </w:rPr>
            </w:pP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13</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资格预审公告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color w:val="auto"/>
                <w:sz w:val="18"/>
                <w:szCs w:val="18"/>
              </w:rPr>
            </w:pPr>
            <w:r>
              <w:rPr>
                <w:rFonts w:hint="eastAsia" w:ascii="仿宋_GB2312" w:eastAsia="仿宋_GB2312"/>
                <w:color w:val="auto"/>
                <w:sz w:val="18"/>
                <w:szCs w:val="18"/>
              </w:rPr>
              <w:t>及时公开，公告期限为5个工作日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14</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　</w:t>
            </w:r>
          </w:p>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竞争性谈判公告、竞争性磋商公告和询价公告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color w:val="auto"/>
                <w:sz w:val="18"/>
                <w:szCs w:val="18"/>
              </w:rPr>
            </w:pPr>
            <w:r>
              <w:rPr>
                <w:rFonts w:hint="eastAsia" w:ascii="仿宋_GB2312" w:eastAsia="仿宋_GB2312"/>
                <w:color w:val="auto"/>
                <w:sz w:val="18"/>
                <w:szCs w:val="18"/>
              </w:rPr>
              <w:t>及时公开，公告期限为3个工作日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Merge w:val="restart"/>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15</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采购项目预算金额</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随采购公告、采购文件公开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w:t>
            </w:r>
          </w:p>
        </w:tc>
        <w:tc>
          <w:tcPr>
            <w:tcW w:w="1856" w:type="dxa"/>
            <w:vMerge w:val="continue"/>
            <w:vAlign w:val="center"/>
          </w:tcPr>
          <w:p>
            <w:pPr>
              <w:rPr>
                <w:rFonts w:ascii="仿宋_GB2312" w:eastAsia="仿宋_GB2312"/>
                <w:color w:val="auto"/>
                <w:sz w:val="18"/>
                <w:szCs w:val="18"/>
              </w:rPr>
            </w:pP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16</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　</w:t>
            </w:r>
          </w:p>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采购文件</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招标文件、竞争性谈判文件、竞争性磋商文件和询价通知书。</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随中标、成交结果同时公告。中标、成交结果公告前采购文件已公告的，不再重复公告</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17</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采购信息更正公告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18</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　</w:t>
            </w:r>
          </w:p>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单一来源公示</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color w:val="auto"/>
                <w:sz w:val="18"/>
                <w:szCs w:val="18"/>
              </w:rPr>
            </w:pPr>
            <w:r>
              <w:rPr>
                <w:rFonts w:hint="eastAsia" w:ascii="仿宋_GB2312" w:eastAsia="仿宋_GB2312"/>
                <w:color w:val="auto"/>
                <w:sz w:val="18"/>
                <w:szCs w:val="18"/>
              </w:rPr>
              <w:t>及时公开，公示期限不得少于5个工作日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19</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协议供货和定点采购的具体成交记录</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《关于进一步做好政府采购信息公开工作有关事项的通知》</w:t>
            </w: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w:t>
            </w:r>
          </w:p>
        </w:tc>
        <w:tc>
          <w:tcPr>
            <w:tcW w:w="1856" w:type="dxa"/>
            <w:vAlign w:val="center"/>
          </w:tcPr>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■中国政府采购网及其省级分网</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■省级（含计划单列市）财政部门指定的媒体</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■公共资源交易平台</w:t>
            </w:r>
          </w:p>
        </w:tc>
        <w:tc>
          <w:tcPr>
            <w:tcW w:w="720" w:type="dxa"/>
            <w:vAlign w:val="center"/>
          </w:tcPr>
          <w:p>
            <w:pPr>
              <w:spacing w:line="24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20</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　</w:t>
            </w:r>
          </w:p>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中标、成交结果</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color w:val="auto"/>
                <w:sz w:val="18"/>
                <w:szCs w:val="18"/>
              </w:rPr>
            </w:pPr>
            <w:r>
              <w:rPr>
                <w:rFonts w:hint="eastAsia" w:ascii="仿宋_GB2312" w:eastAsia="仿宋_GB2312"/>
                <w:color w:val="auto"/>
                <w:sz w:val="18"/>
                <w:szCs w:val="18"/>
              </w:rPr>
              <w:t>自中标、成交供应商确定之日起2个工作日内公告，公告期限为1个工作日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21</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采购合同</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采购人和采购代理机构名称、地址、联系方式；采购项目名称、编号，合同编号；供应商名称；合同内容。</w:t>
            </w:r>
            <w:r>
              <w:rPr>
                <w:rFonts w:hint="eastAsia" w:ascii="仿宋_GB2312" w:eastAsia="仿宋_GB2312"/>
                <w:color w:val="auto"/>
                <w:sz w:val="18"/>
                <w:szCs w:val="18"/>
              </w:rPr>
              <w:br w:type="textWrapping"/>
            </w:r>
            <w:r>
              <w:rPr>
                <w:rFonts w:hint="eastAsia" w:ascii="仿宋_GB2312" w:eastAsia="仿宋_GB2312"/>
                <w:color w:val="auto"/>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合同签订之日起2个工作日内</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spacing w:line="24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22</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　</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终止公告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采购人或者其委托的采购代理机构</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23</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公共服务项目采购需求</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及时公开</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w:t>
            </w:r>
          </w:p>
        </w:tc>
        <w:tc>
          <w:tcPr>
            <w:tcW w:w="1856" w:type="dxa"/>
            <w:vAlign w:val="center"/>
          </w:tcPr>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■中国政府采购网及其地方分网</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■《中国财经报》（《中国政府采购报》）</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■《中国政府采购杂志》</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■《中国财政杂志》</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24</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公共服务项目验收结果</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《财政部关于做好政府采购信息公开工作的通知》</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验收结束之日起2个工作日内</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采购人</w:t>
            </w:r>
          </w:p>
        </w:tc>
        <w:tc>
          <w:tcPr>
            <w:tcW w:w="1856" w:type="dxa"/>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中国政府采购网及其地方分网</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省级（含计划单列市）财政部门指定的媒体</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《中国财经报》（《中国政府采购报》）</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《中国政府采购杂志》</w:t>
            </w:r>
          </w:p>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《中国财政杂志》</w:t>
            </w:r>
          </w:p>
          <w:p>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25</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政府采购信息</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投诉、监督检查等处理决定公告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相关当事人名称及地址、投诉涉及采购项目名称及采购日期、投诉事项或监督检查主要事项、处理依据、处理结果、执法机关名称、公告日期等。</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完成并履行有关报审程序后5个工作日内</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南开区财政局</w:t>
            </w:r>
          </w:p>
        </w:tc>
        <w:tc>
          <w:tcPr>
            <w:tcW w:w="1856" w:type="dxa"/>
            <w:vMerge w:val="restart"/>
            <w:vAlign w:val="center"/>
          </w:tcPr>
          <w:p>
            <w:pPr>
              <w:spacing w:line="240" w:lineRule="exact"/>
              <w:rPr>
                <w:rFonts w:ascii="仿宋_GB2312" w:eastAsia="仿宋_GB2312"/>
                <w:color w:val="auto"/>
                <w:sz w:val="18"/>
                <w:szCs w:val="18"/>
              </w:rPr>
            </w:pPr>
            <w:r>
              <w:rPr>
                <w:rFonts w:hint="eastAsia" w:ascii="仿宋_GB2312" w:hAnsi="宋体" w:eastAsia="仿宋_GB2312"/>
                <w:color w:val="auto"/>
                <w:sz w:val="18"/>
                <w:szCs w:val="18"/>
              </w:rPr>
              <w:t>■省级（含计划单列市）财政部门指定的媒体</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26</w:t>
            </w:r>
          </w:p>
        </w:tc>
        <w:tc>
          <w:tcPr>
            <w:tcW w:w="900" w:type="dxa"/>
            <w:vMerge w:val="continue"/>
            <w:vAlign w:val="center"/>
          </w:tcPr>
          <w:p>
            <w:pPr>
              <w:jc w:val="cente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集中采购机构的考核结果公告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集中采购机构名称、考核内容、考核方法、考核结果、存在问题、考核单位等。</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同上</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完成并履行有关报审程序后5个工作日内</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南开区财政局</w:t>
            </w:r>
          </w:p>
        </w:tc>
        <w:tc>
          <w:tcPr>
            <w:tcW w:w="1856" w:type="dxa"/>
            <w:vMerge w:val="continue"/>
            <w:vAlign w:val="center"/>
          </w:tcPr>
          <w:p>
            <w:pPr>
              <w:rPr>
                <w:rFonts w:ascii="仿宋_GB2312" w:eastAsia="仿宋_GB2312"/>
                <w:color w:val="auto"/>
                <w:sz w:val="18"/>
                <w:szCs w:val="18"/>
              </w:rPr>
            </w:pP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27</w:t>
            </w:r>
          </w:p>
        </w:tc>
        <w:tc>
          <w:tcPr>
            <w:tcW w:w="90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国有产权交易信息</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国有企业产权转让信息预披露</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及时公开，正式披露信息时间不得少于20个工作日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南开区国资委，转让方</w:t>
            </w:r>
          </w:p>
        </w:tc>
        <w:tc>
          <w:tcPr>
            <w:tcW w:w="1856" w:type="dxa"/>
            <w:vAlign w:val="center"/>
          </w:tcPr>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产权交易机构网站</w:t>
            </w:r>
            <w:r>
              <w:rPr>
                <w:rFonts w:ascii="仿宋_GB2312" w:eastAsia="仿宋_GB2312"/>
                <w:color w:val="auto"/>
                <w:sz w:val="18"/>
                <w:szCs w:val="18"/>
              </w:rPr>
              <w:br w:type="textWrapping"/>
            </w: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trPr>
        <w:tc>
          <w:tcPr>
            <w:tcW w:w="540" w:type="dxa"/>
            <w:vAlign w:val="center"/>
          </w:tcPr>
          <w:p>
            <w:pPr>
              <w:jc w:val="center"/>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28</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国有产权交易信息</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国有企业产权转让信息披露</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及时公开，正式披露信息时间不得少于20个工作日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南开区国资委，转让方</w:t>
            </w:r>
          </w:p>
        </w:tc>
        <w:tc>
          <w:tcPr>
            <w:tcW w:w="1856" w:type="dxa"/>
            <w:vAlign w:val="center"/>
          </w:tcPr>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产权交易机构网站</w:t>
            </w:r>
            <w:r>
              <w:rPr>
                <w:rFonts w:ascii="仿宋_GB2312" w:eastAsia="仿宋_GB2312"/>
                <w:color w:val="auto"/>
                <w:sz w:val="18"/>
                <w:szCs w:val="18"/>
              </w:rPr>
              <w:br w:type="textWrapping"/>
            </w: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29</w:t>
            </w:r>
          </w:p>
        </w:tc>
        <w:tc>
          <w:tcPr>
            <w:tcW w:w="900" w:type="dxa"/>
            <w:vMerge w:val="continue"/>
            <w:vAlign w:val="center"/>
          </w:tcPr>
          <w:p>
            <w:pP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国有企业产权转让成交公告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交易标的名称、转让标的评估结果、转让底价、交易价格。</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及时公开，公告期不少于5个工作日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产权交易机构</w:t>
            </w:r>
          </w:p>
        </w:tc>
        <w:tc>
          <w:tcPr>
            <w:tcW w:w="1856" w:type="dxa"/>
            <w:vAlign w:val="center"/>
          </w:tcPr>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产权交易机构网站</w:t>
            </w: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30</w:t>
            </w:r>
          </w:p>
        </w:tc>
        <w:tc>
          <w:tcPr>
            <w:tcW w:w="900" w:type="dxa"/>
            <w:vMerge w:val="restart"/>
            <w:vAlign w:val="center"/>
          </w:tcPr>
          <w:p>
            <w:pPr>
              <w:jc w:val="center"/>
              <w:rPr>
                <w:rFonts w:ascii="仿宋_GB2312" w:eastAsia="仿宋_GB2312"/>
                <w:color w:val="auto"/>
                <w:sz w:val="18"/>
                <w:szCs w:val="18"/>
              </w:rPr>
            </w:pPr>
            <w:r>
              <w:rPr>
                <w:rFonts w:hint="eastAsia" w:ascii="仿宋_GB2312" w:eastAsia="仿宋_GB2312"/>
                <w:color w:val="auto"/>
                <w:sz w:val="18"/>
                <w:szCs w:val="18"/>
              </w:rPr>
              <w:t>国有产权交易信息</w:t>
            </w: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国有企业资产转让信息披露</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标的基本情况、交易条件、转让底价、竞价方式、受让方选择的相关评判标准等。</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南开区国资委，转让方</w:t>
            </w:r>
          </w:p>
        </w:tc>
        <w:tc>
          <w:tcPr>
            <w:tcW w:w="1856" w:type="dxa"/>
            <w:vAlign w:val="center"/>
          </w:tcPr>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产权交易机构网站</w:t>
            </w:r>
            <w:r>
              <w:rPr>
                <w:rFonts w:ascii="仿宋_GB2312" w:eastAsia="仿宋_GB2312"/>
                <w:color w:val="auto"/>
                <w:sz w:val="18"/>
                <w:szCs w:val="18"/>
              </w:rPr>
              <w:br w:type="textWrapping"/>
            </w: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color w:val="auto"/>
                <w:sz w:val="18"/>
                <w:szCs w:val="18"/>
                <w:lang w:eastAsia="zh-CN"/>
              </w:rPr>
            </w:pPr>
            <w:r>
              <w:rPr>
                <w:rFonts w:hint="eastAsia" w:ascii="仿宋_GB2312" w:eastAsia="仿宋_GB2312"/>
                <w:color w:val="auto"/>
                <w:sz w:val="18"/>
                <w:szCs w:val="18"/>
              </w:rPr>
              <w:t>3</w:t>
            </w:r>
            <w:r>
              <w:rPr>
                <w:rFonts w:hint="eastAsia" w:ascii="仿宋_GB2312" w:eastAsia="仿宋_GB2312"/>
                <w:color w:val="auto"/>
                <w:sz w:val="18"/>
                <w:szCs w:val="18"/>
                <w:lang w:val="en-US" w:eastAsia="zh-CN"/>
              </w:rPr>
              <w:t>1</w:t>
            </w:r>
          </w:p>
        </w:tc>
        <w:tc>
          <w:tcPr>
            <w:tcW w:w="900" w:type="dxa"/>
            <w:vMerge w:val="continue"/>
            <w:vAlign w:val="center"/>
          </w:tcPr>
          <w:p>
            <w:pPr>
              <w:rPr>
                <w:rFonts w:ascii="仿宋_GB2312" w:eastAsia="仿宋_GB2312"/>
                <w:color w:val="auto"/>
                <w:sz w:val="18"/>
                <w:szCs w:val="18"/>
              </w:rPr>
            </w:pPr>
          </w:p>
        </w:tc>
        <w:tc>
          <w:tcPr>
            <w:tcW w:w="776" w:type="dxa"/>
            <w:vAlign w:val="center"/>
          </w:tcPr>
          <w:p>
            <w:pPr>
              <w:rPr>
                <w:rFonts w:ascii="仿宋_GB2312" w:eastAsia="仿宋_GB2312"/>
                <w:color w:val="auto"/>
                <w:sz w:val="18"/>
                <w:szCs w:val="18"/>
              </w:rPr>
            </w:pPr>
            <w:r>
              <w:rPr>
                <w:rFonts w:hint="eastAsia" w:ascii="仿宋_GB2312" w:eastAsia="仿宋_GB2312"/>
                <w:color w:val="auto"/>
                <w:sz w:val="18"/>
                <w:szCs w:val="18"/>
              </w:rPr>
              <w:t>国有企业资产转让成交公告</w:t>
            </w:r>
          </w:p>
        </w:tc>
        <w:tc>
          <w:tcPr>
            <w:tcW w:w="3364" w:type="dxa"/>
            <w:vAlign w:val="center"/>
          </w:tcPr>
          <w:p>
            <w:pPr>
              <w:rPr>
                <w:rFonts w:ascii="仿宋_GB2312" w:eastAsia="仿宋_GB2312"/>
                <w:color w:val="auto"/>
                <w:sz w:val="18"/>
                <w:szCs w:val="18"/>
              </w:rPr>
            </w:pPr>
            <w:r>
              <w:rPr>
                <w:rFonts w:hint="eastAsia" w:ascii="仿宋_GB2312" w:eastAsia="仿宋_GB2312"/>
                <w:color w:val="auto"/>
                <w:sz w:val="18"/>
                <w:szCs w:val="18"/>
              </w:rPr>
              <w:t>交易标的名称、评估价格、转让底价、交易价格等。</w:t>
            </w:r>
          </w:p>
        </w:tc>
        <w:tc>
          <w:tcPr>
            <w:tcW w:w="2340" w:type="dxa"/>
            <w:vAlign w:val="center"/>
          </w:tcPr>
          <w:p>
            <w:pPr>
              <w:rPr>
                <w:rFonts w:ascii="仿宋_GB2312" w:eastAsia="仿宋_GB2312"/>
                <w:color w:val="auto"/>
                <w:sz w:val="18"/>
                <w:szCs w:val="18"/>
              </w:rPr>
            </w:pPr>
            <w:r>
              <w:rPr>
                <w:rFonts w:hint="eastAsia" w:ascii="仿宋_GB2312" w:eastAsia="仿宋_GB2312"/>
                <w:color w:val="auto"/>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color w:val="auto"/>
                <w:sz w:val="18"/>
                <w:szCs w:val="18"/>
              </w:rPr>
            </w:pPr>
            <w:r>
              <w:rPr>
                <w:rFonts w:hint="eastAsia" w:ascii="仿宋_GB2312" w:eastAsia="仿宋_GB2312"/>
                <w:color w:val="auto"/>
                <w:sz w:val="18"/>
                <w:szCs w:val="18"/>
              </w:rPr>
              <w:t>不少于5个工作日</w:t>
            </w:r>
          </w:p>
        </w:tc>
        <w:tc>
          <w:tcPr>
            <w:tcW w:w="956" w:type="dxa"/>
            <w:vAlign w:val="center"/>
          </w:tcPr>
          <w:p>
            <w:pPr>
              <w:rPr>
                <w:rFonts w:ascii="仿宋_GB2312" w:eastAsia="仿宋_GB2312"/>
                <w:color w:val="auto"/>
                <w:sz w:val="18"/>
                <w:szCs w:val="18"/>
              </w:rPr>
            </w:pPr>
            <w:r>
              <w:rPr>
                <w:rFonts w:hint="eastAsia" w:ascii="仿宋_GB2312" w:eastAsia="仿宋_GB2312"/>
                <w:color w:val="auto"/>
                <w:sz w:val="18"/>
                <w:szCs w:val="18"/>
              </w:rPr>
              <w:t>产权交易机构</w:t>
            </w:r>
          </w:p>
        </w:tc>
        <w:tc>
          <w:tcPr>
            <w:tcW w:w="1856" w:type="dxa"/>
            <w:vAlign w:val="center"/>
          </w:tcPr>
          <w:p>
            <w:pPr>
              <w:rPr>
                <w:rFonts w:ascii="仿宋_GB2312" w:eastAsia="仿宋_GB2312"/>
                <w:color w:val="auto"/>
                <w:sz w:val="18"/>
                <w:szCs w:val="18"/>
              </w:rPr>
            </w:pPr>
            <w:r>
              <w:rPr>
                <w:rFonts w:hint="eastAsia" w:ascii="仿宋_GB2312" w:hAnsi="宋体" w:eastAsia="仿宋_GB2312"/>
                <w:color w:val="auto"/>
                <w:sz w:val="18"/>
                <w:szCs w:val="18"/>
              </w:rPr>
              <w:t>■</w:t>
            </w:r>
            <w:r>
              <w:rPr>
                <w:rFonts w:hint="eastAsia" w:ascii="仿宋_GB2312" w:eastAsia="仿宋_GB2312"/>
                <w:color w:val="auto"/>
                <w:sz w:val="18"/>
                <w:szCs w:val="18"/>
              </w:rPr>
              <w:t>产权交易机构网站</w:t>
            </w:r>
            <w:r>
              <w:rPr>
                <w:rFonts w:ascii="仿宋_GB2312" w:eastAsia="仿宋_GB2312"/>
                <w:color w:val="auto"/>
                <w:sz w:val="18"/>
                <w:szCs w:val="18"/>
              </w:rPr>
              <w:br w:type="textWrapping"/>
            </w:r>
            <w:r>
              <w:rPr>
                <w:rFonts w:hint="eastAsia" w:ascii="仿宋_GB2312" w:hAnsi="宋体" w:eastAsia="仿宋_GB2312"/>
                <w:color w:val="auto"/>
                <w:sz w:val="18"/>
                <w:szCs w:val="18"/>
              </w:rPr>
              <w:t>■</w:t>
            </w:r>
            <w:r>
              <w:rPr>
                <w:rFonts w:hint="eastAsia" w:ascii="仿宋_GB2312" w:eastAsia="仿宋_GB2312"/>
                <w:color w:val="auto"/>
                <w:sz w:val="18"/>
                <w:szCs w:val="18"/>
              </w:rPr>
              <w:t>公共资源交易平台</w:t>
            </w:r>
          </w:p>
        </w:tc>
        <w:tc>
          <w:tcPr>
            <w:tcW w:w="720"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c>
          <w:tcPr>
            <w:tcW w:w="788" w:type="dxa"/>
            <w:vAlign w:val="center"/>
          </w:tcPr>
          <w:p>
            <w:pPr>
              <w:jc w:val="center"/>
              <w:rPr>
                <w:rFonts w:ascii="仿宋_GB2312" w:eastAsia="仿宋_GB2312"/>
                <w:color w:val="auto"/>
                <w:sz w:val="18"/>
                <w:szCs w:val="18"/>
              </w:rPr>
            </w:pPr>
            <w:r>
              <w:rPr>
                <w:rFonts w:hint="eastAsia" w:ascii="仿宋_GB2312" w:eastAsia="仿宋_GB2312"/>
                <w:color w:val="auto"/>
                <w:sz w:val="18"/>
                <w:szCs w:val="18"/>
              </w:rPr>
              <w:t>√</w:t>
            </w:r>
          </w:p>
        </w:tc>
        <w:tc>
          <w:tcPr>
            <w:tcW w:w="900" w:type="dxa"/>
            <w:vAlign w:val="center"/>
          </w:tcPr>
          <w:p>
            <w:pPr>
              <w:rPr>
                <w:rFonts w:ascii="仿宋_GB2312" w:eastAsia="仿宋_GB2312"/>
                <w:color w:val="auto"/>
                <w:sz w:val="18"/>
                <w:szCs w:val="18"/>
              </w:rPr>
            </w:pPr>
            <w:r>
              <w:rPr>
                <w:rFonts w:hint="eastAsia" w:ascii="仿宋_GB2312" w:eastAsia="仿宋_GB2312"/>
                <w:color w:val="auto"/>
                <w:sz w:val="18"/>
                <w:szCs w:val="18"/>
              </w:rPr>
              <w:t>　</w:t>
            </w:r>
          </w:p>
        </w:tc>
      </w:tr>
    </w:tbl>
    <w:p/>
    <w:sectPr>
      <w:pgSz w:w="16838" w:h="11906" w:orient="landscape"/>
      <w:pgMar w:top="1800" w:right="1440" w:bottom="1800" w:left="144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1"/>
  <w:bordersDoNotSurroundFooter w:val="1"/>
  <w:documentProtection w:enforcement="0"/>
  <w:defaultTabStop w:val="720"/>
  <w:drawingGridHorizontalSpacing w:val="105"/>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MjI3YmYwZGYxZTljODFlZWNjMjljZGQxM2Y2YmQ5NzcifQ=="/>
  </w:docVars>
  <w:rsids>
    <w:rsidRoot w:val="00CE5523"/>
    <w:rsid w:val="00053EF1"/>
    <w:rsid w:val="00077C31"/>
    <w:rsid w:val="000F1C7B"/>
    <w:rsid w:val="002375F4"/>
    <w:rsid w:val="002745F3"/>
    <w:rsid w:val="002E31A3"/>
    <w:rsid w:val="002F7538"/>
    <w:rsid w:val="00306311"/>
    <w:rsid w:val="00323B43"/>
    <w:rsid w:val="00367B85"/>
    <w:rsid w:val="0037174F"/>
    <w:rsid w:val="003D37D8"/>
    <w:rsid w:val="004358AB"/>
    <w:rsid w:val="00456FA5"/>
    <w:rsid w:val="0054243F"/>
    <w:rsid w:val="005537A9"/>
    <w:rsid w:val="00557F0A"/>
    <w:rsid w:val="00576446"/>
    <w:rsid w:val="00807B90"/>
    <w:rsid w:val="008B7726"/>
    <w:rsid w:val="008E682C"/>
    <w:rsid w:val="009A1679"/>
    <w:rsid w:val="00AA7FF1"/>
    <w:rsid w:val="00B125B1"/>
    <w:rsid w:val="00C0763E"/>
    <w:rsid w:val="00C53F5C"/>
    <w:rsid w:val="00C606E0"/>
    <w:rsid w:val="00CE5523"/>
    <w:rsid w:val="00D80F1A"/>
    <w:rsid w:val="00D86AC3"/>
    <w:rsid w:val="00DD208B"/>
    <w:rsid w:val="00E40E1E"/>
    <w:rsid w:val="00F60E33"/>
    <w:rsid w:val="00FA17FB"/>
    <w:rsid w:val="00FF0736"/>
    <w:rsid w:val="01921877"/>
    <w:rsid w:val="04853103"/>
    <w:rsid w:val="23A43D6A"/>
    <w:rsid w:val="3DA7549D"/>
    <w:rsid w:val="682F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pPr>
    <w:rPr>
      <w:rFonts w:ascii="Tahoma" w:hAnsi="Tahoma" w:eastAsia="微软雅黑"/>
      <w:kern w:val="0"/>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rFonts w:ascii="Tahoma" w:hAnsi="Tahoma" w:eastAsia="微软雅黑"/>
      <w:kern w:val="0"/>
      <w:sz w:val="18"/>
      <w:szCs w:val="18"/>
    </w:rPr>
  </w:style>
  <w:style w:type="character" w:customStyle="1" w:styleId="7">
    <w:name w:val="标题 1 Char"/>
    <w:link w:val="2"/>
    <w:qFormat/>
    <w:uiPriority w:val="0"/>
    <w:rPr>
      <w:rFonts w:ascii="Calibri" w:hAnsi="Calibri" w:eastAsia="宋体" w:cs="Times New Roman"/>
      <w:b/>
      <w:bCs/>
      <w:kern w:val="44"/>
      <w:sz w:val="44"/>
      <w:szCs w:val="44"/>
    </w:rPr>
  </w:style>
  <w:style w:type="character" w:customStyle="1" w:styleId="8">
    <w:name w:val="页脚 Char"/>
    <w:link w:val="3"/>
    <w:semiHidden/>
    <w:qFormat/>
    <w:uiPriority w:val="99"/>
    <w:rPr>
      <w:rFonts w:ascii="Tahoma" w:hAnsi="Tahoma"/>
      <w:sz w:val="18"/>
      <w:szCs w:val="18"/>
    </w:rPr>
  </w:style>
  <w:style w:type="character" w:customStyle="1" w:styleId="9">
    <w:name w:val="页眉 Char"/>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7015</Words>
  <Characters>7053</Characters>
  <Lines>62</Lines>
  <Paragraphs>17</Paragraphs>
  <TotalTime>0</TotalTime>
  <ScaleCrop>false</ScaleCrop>
  <LinksUpToDate>false</LinksUpToDate>
  <CharactersWithSpaces>7127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2020-11-23T03:34:00Z</dcterms:created>
  <dc:creator>Administrator</dc:creator>
  <cp:lastModifiedBy>soliel</cp:lastModifiedBy>
  <dcterms:modified xsi:type="dcterms:W3CDTF">2023-03-16T02:54:41Z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5917624007F847B9BE6FBA478258A374</vt:lpwstr>
  </property>
</Properties>
</file>