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676"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364"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3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时限</w:t>
            </w:r>
          </w:p>
        </w:tc>
        <w:tc>
          <w:tcPr>
            <w:tcW w:w="956"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主体</w:t>
            </w:r>
          </w:p>
        </w:tc>
        <w:tc>
          <w:tcPr>
            <w:tcW w:w="1856"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88"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auto"/>
                <w:kern w:val="0"/>
                <w:sz w:val="18"/>
                <w:szCs w:val="18"/>
              </w:rPr>
            </w:pP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76"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364" w:type="dxa"/>
            <w:vMerge w:val="continue"/>
            <w:vAlign w:val="center"/>
          </w:tcPr>
          <w:p>
            <w:pPr>
              <w:widowControl/>
              <w:jc w:val="left"/>
              <w:rPr>
                <w:rFonts w:ascii="黑体" w:hAnsi="宋体" w:eastAsia="黑体" w:cs="宋体"/>
                <w:color w:val="auto"/>
                <w:kern w:val="0"/>
                <w:sz w:val="22"/>
              </w:rPr>
            </w:pPr>
          </w:p>
        </w:tc>
        <w:tc>
          <w:tcPr>
            <w:tcW w:w="234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956" w:type="dxa"/>
            <w:vMerge w:val="continue"/>
            <w:vAlign w:val="center"/>
          </w:tcPr>
          <w:p>
            <w:pPr>
              <w:widowControl/>
              <w:jc w:val="left"/>
              <w:rPr>
                <w:rFonts w:ascii="黑体" w:hAnsi="宋体" w:eastAsia="黑体" w:cs="宋体"/>
                <w:color w:val="auto"/>
                <w:kern w:val="0"/>
                <w:sz w:val="22"/>
              </w:rPr>
            </w:pPr>
          </w:p>
        </w:tc>
        <w:tc>
          <w:tcPr>
            <w:tcW w:w="1856"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群众</w:t>
            </w:r>
          </w:p>
        </w:tc>
        <w:tc>
          <w:tcPr>
            <w:tcW w:w="788"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w:t>
            </w:r>
          </w:p>
        </w:tc>
        <w:tc>
          <w:tcPr>
            <w:tcW w:w="776"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审批核准信息</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《招标投标法实施条例》、《政府信息公开条例》、《国务院办公厅关于推进公共资源配置领域政府信息公开的意见》</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w:t>
            </w:r>
            <w:bookmarkStart w:id="1" w:name="_GoBack"/>
            <w:bookmarkEnd w:id="1"/>
            <w:r>
              <w:rPr>
                <w:rFonts w:hint="eastAsia" w:ascii="仿宋_GB2312" w:hAnsi="宋体" w:eastAsia="仿宋_GB2312"/>
                <w:color w:val="auto"/>
                <w:sz w:val="18"/>
                <w:szCs w:val="18"/>
              </w:rPr>
              <w:t>日内</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南开区住建委牵头，负责管理的部门分别公开</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p>
            <w:pPr>
              <w:rPr>
                <w:rFonts w:ascii="仿宋_GB2312" w:hAnsi="宋体" w:eastAsia="仿宋_GB2312"/>
                <w:color w:val="auto"/>
                <w:sz w:val="18"/>
                <w:szCs w:val="18"/>
              </w:rPr>
            </w:pPr>
            <w:r>
              <w:rPr>
                <w:rFonts w:hint="eastAsia" w:ascii="仿宋_GB2312" w:hAnsi="宋体" w:eastAsia="仿宋_GB2312"/>
                <w:color w:val="auto"/>
                <w:sz w:val="18"/>
                <w:szCs w:val="18"/>
              </w:rPr>
              <w:t>■管理部门网站</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　</w:t>
            </w:r>
          </w:p>
        </w:tc>
        <w:tc>
          <w:tcPr>
            <w:tcW w:w="776"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资格预审公告</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restart"/>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　</w:t>
            </w:r>
          </w:p>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　</w:t>
            </w:r>
          </w:p>
        </w:tc>
        <w:tc>
          <w:tcPr>
            <w:tcW w:w="776"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招标公告</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4</w:t>
            </w:r>
          </w:p>
        </w:tc>
        <w:tc>
          <w:tcPr>
            <w:tcW w:w="900" w:type="dxa"/>
            <w:vMerge w:val="continue"/>
            <w:vAlign w:val="center"/>
          </w:tcPr>
          <w:p>
            <w:pPr>
              <w:jc w:val="center"/>
              <w:rPr>
                <w:rFonts w:ascii="仿宋_GB2312" w:hAnsi="宋体" w:eastAsia="仿宋_GB2312" w:cs="宋体"/>
                <w:color w:val="auto"/>
                <w:sz w:val="18"/>
                <w:szCs w:val="18"/>
              </w:rPr>
            </w:pPr>
          </w:p>
        </w:tc>
        <w:tc>
          <w:tcPr>
            <w:tcW w:w="776"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中标候选人公示</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招标文件规定公示的其他内容。</w:t>
            </w:r>
          </w:p>
        </w:tc>
        <w:tc>
          <w:tcPr>
            <w:tcW w:w="2340" w:type="dxa"/>
            <w:vMerge w:val="continue"/>
            <w:vAlign w:val="center"/>
          </w:tcPr>
          <w:p>
            <w:pPr>
              <w:rPr>
                <w:rFonts w:ascii="仿宋_GB2312" w:hAnsi="宋体" w:eastAsia="仿宋_GB2312"/>
                <w:color w:val="auto"/>
                <w:sz w:val="18"/>
                <w:szCs w:val="18"/>
              </w:rPr>
            </w:pP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5</w:t>
            </w:r>
          </w:p>
        </w:tc>
        <w:tc>
          <w:tcPr>
            <w:tcW w:w="900"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工程建设项目招标投标信息　</w:t>
            </w:r>
          </w:p>
        </w:tc>
        <w:tc>
          <w:tcPr>
            <w:tcW w:w="77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中标结果</w:t>
            </w:r>
          </w:p>
        </w:tc>
        <w:tc>
          <w:tcPr>
            <w:tcW w:w="336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招标项目名称、中标人名称、中标价、工期、项目负责人、中标内容。</w:t>
            </w:r>
          </w:p>
        </w:tc>
        <w:tc>
          <w:tcPr>
            <w:tcW w:w="234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6</w:t>
            </w:r>
          </w:p>
        </w:tc>
        <w:tc>
          <w:tcPr>
            <w:tcW w:w="900" w:type="dxa"/>
            <w:vMerge w:val="continue"/>
            <w:vAlign w:val="center"/>
          </w:tcPr>
          <w:p>
            <w:pPr>
              <w:jc w:val="center"/>
              <w:rPr>
                <w:rFonts w:ascii="仿宋_GB2312" w:hAnsi="宋体" w:eastAsia="仿宋_GB2312"/>
                <w:color w:val="auto"/>
                <w:sz w:val="18"/>
                <w:szCs w:val="18"/>
              </w:rPr>
            </w:pPr>
          </w:p>
        </w:tc>
        <w:tc>
          <w:tcPr>
            <w:tcW w:w="77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合同订立信息</w:t>
            </w:r>
          </w:p>
        </w:tc>
        <w:tc>
          <w:tcPr>
            <w:tcW w:w="336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包括项目名称、合同双方名称、合同价款、签约时间、合同期限。</w:t>
            </w:r>
          </w:p>
        </w:tc>
        <w:tc>
          <w:tcPr>
            <w:tcW w:w="2340" w:type="dxa"/>
            <w:vMerge w:val="restart"/>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7</w:t>
            </w:r>
          </w:p>
        </w:tc>
        <w:tc>
          <w:tcPr>
            <w:tcW w:w="900" w:type="dxa"/>
            <w:vMerge w:val="continue"/>
            <w:vAlign w:val="center"/>
          </w:tcPr>
          <w:p>
            <w:pPr>
              <w:jc w:val="center"/>
              <w:rPr>
                <w:rFonts w:ascii="仿宋_GB2312" w:hAnsi="宋体" w:eastAsia="仿宋_GB2312" w:cs="宋体"/>
                <w:color w:val="auto"/>
                <w:sz w:val="18"/>
                <w:szCs w:val="18"/>
              </w:rPr>
            </w:pPr>
          </w:p>
        </w:tc>
        <w:tc>
          <w:tcPr>
            <w:tcW w:w="776" w:type="dxa"/>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合同履行及变更信息</w:t>
            </w:r>
          </w:p>
        </w:tc>
        <w:tc>
          <w:tcPr>
            <w:tcW w:w="3364" w:type="dxa"/>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color w:val="auto"/>
                <w:sz w:val="18"/>
                <w:szCs w:val="18"/>
              </w:rPr>
            </w:pP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鼓励及时公开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continue"/>
            <w:vAlign w:val="center"/>
          </w:tcPr>
          <w:p>
            <w:pPr>
              <w:rPr>
                <w:rFonts w:ascii="Wingdings 2" w:hAnsi="Wingdings 2" w:cs="宋体"/>
                <w:color w:val="auto"/>
                <w:sz w:val="18"/>
                <w:szCs w:val="18"/>
              </w:rPr>
            </w:pPr>
          </w:p>
        </w:tc>
        <w:tc>
          <w:tcPr>
            <w:tcW w:w="720" w:type="dxa"/>
            <w:vAlign w:val="center"/>
          </w:tcPr>
          <w:p>
            <w:pPr>
              <w:jc w:val="center"/>
              <w:rPr>
                <w:rFonts w:ascii="宋体" w:hAnsi="宋体" w:cs="宋体"/>
                <w:color w:val="auto"/>
                <w:sz w:val="18"/>
                <w:szCs w:val="18"/>
              </w:rPr>
            </w:pPr>
            <w:r>
              <w:rPr>
                <w:rFonts w:hint="eastAsia"/>
                <w:color w:val="auto"/>
                <w:sz w:val="18"/>
                <w:szCs w:val="18"/>
              </w:rPr>
              <w:t>√</w:t>
            </w:r>
          </w:p>
        </w:tc>
        <w:tc>
          <w:tcPr>
            <w:tcW w:w="900" w:type="dxa"/>
            <w:vAlign w:val="center"/>
          </w:tcPr>
          <w:p>
            <w:pPr>
              <w:jc w:val="center"/>
              <w:rPr>
                <w:rFonts w:ascii="宋体" w:hAnsi="宋体" w:cs="宋体"/>
                <w:color w:val="auto"/>
                <w:sz w:val="18"/>
                <w:szCs w:val="18"/>
              </w:rPr>
            </w:pPr>
            <w:r>
              <w:rPr>
                <w:rFonts w:hint="eastAsia"/>
                <w:color w:val="auto"/>
                <w:sz w:val="18"/>
                <w:szCs w:val="18"/>
              </w:rPr>
              <w:t>　</w:t>
            </w:r>
          </w:p>
        </w:tc>
        <w:tc>
          <w:tcPr>
            <w:tcW w:w="788" w:type="dxa"/>
            <w:vAlign w:val="center"/>
          </w:tcPr>
          <w:p>
            <w:pPr>
              <w:jc w:val="center"/>
              <w:rPr>
                <w:rFonts w:ascii="宋体" w:hAnsi="宋体" w:cs="宋体"/>
                <w:color w:val="auto"/>
                <w:sz w:val="18"/>
                <w:szCs w:val="18"/>
              </w:rPr>
            </w:pPr>
            <w:r>
              <w:rPr>
                <w:rFonts w:hint="eastAsia"/>
                <w:color w:val="auto"/>
                <w:sz w:val="18"/>
                <w:szCs w:val="18"/>
              </w:rPr>
              <w:t>√</w:t>
            </w:r>
          </w:p>
        </w:tc>
        <w:tc>
          <w:tcPr>
            <w:tcW w:w="900" w:type="dxa"/>
            <w:vAlign w:val="center"/>
          </w:tcPr>
          <w:p>
            <w:pP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8</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工程建设项目招标投标信息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资格预审文件、招标文件澄清或修改</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《招标投标法》、《招标投标法实施条例》、《电子招标投标办法》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招标投标公共服务平台</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电子招标投标交易平台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9</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工程建设项目招标投标信息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招标公告和公示信息澄清、修改</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restart"/>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10</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暂停、终止招标</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continue"/>
            <w:vAlign w:val="center"/>
          </w:tcPr>
          <w:p>
            <w:pPr>
              <w:rPr>
                <w:rFonts w:ascii="仿宋_GB2312" w:eastAsia="仿宋_GB2312"/>
                <w:color w:val="auto"/>
                <w:sz w:val="18"/>
                <w:szCs w:val="18"/>
              </w:rPr>
            </w:pP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11</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市场主体信用信息</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《行政处罚法》、《政府信息公开条例》、《国务院办公厅关于推进公共资源配置领域政府信息公开的意见》</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信息形成之日起20个工作日内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区发改委及行业主管部门、各街道办事处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■公共资源交易平台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■信用中国</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12</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p>
            <w:pPr>
              <w:rPr>
                <w:rFonts w:ascii="仿宋_GB2312" w:eastAsia="仿宋_GB2312"/>
                <w:color w:val="auto"/>
                <w:sz w:val="18"/>
                <w:szCs w:val="18"/>
              </w:rPr>
            </w:pP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13</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资格预审公告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14</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竞争性谈判公告、竞争性磋商公告和询价公告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及时公开，公告期限为3个工作日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Merge w:val="restart"/>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15</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采购项目预算金额</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随采购公告、采购文件公开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Merge w:val="continue"/>
            <w:vAlign w:val="center"/>
          </w:tcPr>
          <w:p>
            <w:pPr>
              <w:rPr>
                <w:rFonts w:ascii="仿宋_GB2312" w:eastAsia="仿宋_GB2312"/>
                <w:color w:val="auto"/>
                <w:sz w:val="18"/>
                <w:szCs w:val="18"/>
              </w:rPr>
            </w:pP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16</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采购文件</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招标文件、竞争性谈判文件、竞争性磋商文件和询价通知书。</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随中标、成交结果同时公告。中标、成交结果公告前采购文件已公告的，不再重复公告</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17</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采购信息更正公告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18</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单一来源公示</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及时公开，公示期限不得少于5个工作日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19</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协议供货和定点采购的具体成交记录</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《关于进一步做好政府采购信息公开工作有关事项的通知》</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■中国政府采购网及其省级分网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20</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中标、成交结果</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自中标、成交供应商确定之日起2个工作日内公告，公告期限为1个工作日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21</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采购合同</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采购人和采购代理机构名称、地址、联系方式；采购项目名称、编号，合同编号；供应商名称；合同内容。</w:t>
            </w:r>
            <w:r>
              <w:rPr>
                <w:rFonts w:hint="eastAsia" w:ascii="仿宋_GB2312" w:eastAsia="仿宋_GB2312"/>
                <w:color w:val="auto"/>
                <w:sz w:val="18"/>
                <w:szCs w:val="18"/>
              </w:rPr>
              <w:br w:type="textWrapping"/>
            </w:r>
            <w:r>
              <w:rPr>
                <w:rFonts w:hint="eastAsia" w:ascii="仿宋_GB2312" w:eastAsia="仿宋_GB2312"/>
                <w:color w:val="auto"/>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合同签订之日起2个工作日内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22</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终止公告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23</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公共服务项目采购需求</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24</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公共服务项目验收结果</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验收结束之日起2个工作日内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25</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投诉、监督检查等处理决定公告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南开区财政局</w:t>
            </w:r>
          </w:p>
        </w:tc>
        <w:tc>
          <w:tcPr>
            <w:tcW w:w="1856" w:type="dxa"/>
            <w:vMerge w:val="restart"/>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■省级（含计划单列市）财政部门指定的媒体</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26</w:t>
            </w:r>
          </w:p>
        </w:tc>
        <w:tc>
          <w:tcPr>
            <w:tcW w:w="900" w:type="dxa"/>
            <w:vMerge w:val="continue"/>
            <w:vAlign w:val="center"/>
          </w:tcPr>
          <w:p>
            <w:pPr>
              <w:jc w:val="cente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集中采购机构的考核结果公告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集中采购机构名称、考核内容、考核方法、考核结果、存在问题、考核单位等。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同上</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南开区财政局</w:t>
            </w:r>
          </w:p>
        </w:tc>
        <w:tc>
          <w:tcPr>
            <w:tcW w:w="1856" w:type="dxa"/>
            <w:vMerge w:val="continue"/>
            <w:vAlign w:val="center"/>
          </w:tcPr>
          <w:p>
            <w:pPr>
              <w:rPr>
                <w:rFonts w:ascii="仿宋_GB2312" w:eastAsia="仿宋_GB2312"/>
                <w:color w:val="auto"/>
                <w:sz w:val="18"/>
                <w:szCs w:val="18"/>
              </w:rPr>
            </w:pP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27</w:t>
            </w:r>
          </w:p>
        </w:tc>
        <w:tc>
          <w:tcPr>
            <w:tcW w:w="90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国有企业产权转让信息预披露</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及时公开，正式披露信息时间不得少于20个工作日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南开区国资委，转让方</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trPr>
        <w:tc>
          <w:tcPr>
            <w:tcW w:w="540" w:type="dxa"/>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28</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国有企业产权转让信息披露</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及时公开，正式披露信息时间不得少于20个工作日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南开区国资委，转让方</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29</w:t>
            </w:r>
          </w:p>
        </w:tc>
        <w:tc>
          <w:tcPr>
            <w:tcW w:w="900" w:type="dxa"/>
            <w:vMerge w:val="continue"/>
            <w:vAlign w:val="center"/>
          </w:tcPr>
          <w:p>
            <w:pP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国有企业产权转让成交公告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交易标的名称、转让标的评估结果、转让底价、交易价格。</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及时公开，公告期不少于5个工作日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产权交易机构</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30</w:t>
            </w:r>
          </w:p>
        </w:tc>
        <w:tc>
          <w:tcPr>
            <w:tcW w:w="900"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国有企业资产转让信息披露</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标的基本情况、交易条件、转让底价、竞价方式、受让方选择的相关评判标准等。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南开区国资委，转让方</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color w:val="auto"/>
                <w:sz w:val="18"/>
                <w:szCs w:val="18"/>
                <w:lang w:eastAsia="zh-CN"/>
              </w:rPr>
            </w:pPr>
            <w:r>
              <w:rPr>
                <w:rFonts w:hint="eastAsia" w:ascii="仿宋_GB2312" w:eastAsia="仿宋_GB2312"/>
                <w:color w:val="auto"/>
                <w:sz w:val="18"/>
                <w:szCs w:val="18"/>
              </w:rPr>
              <w:t>3</w:t>
            </w:r>
            <w:r>
              <w:rPr>
                <w:rFonts w:hint="eastAsia" w:ascii="仿宋_GB2312" w:eastAsia="仿宋_GB2312"/>
                <w:color w:val="auto"/>
                <w:sz w:val="18"/>
                <w:szCs w:val="18"/>
                <w:lang w:val="en-US" w:eastAsia="zh-CN"/>
              </w:rPr>
              <w:t>1</w:t>
            </w:r>
          </w:p>
        </w:tc>
        <w:tc>
          <w:tcPr>
            <w:tcW w:w="900" w:type="dxa"/>
            <w:vMerge w:val="continue"/>
            <w:vAlign w:val="center"/>
          </w:tcPr>
          <w:p>
            <w:pPr>
              <w:rPr>
                <w:rFonts w:ascii="仿宋_GB2312" w:eastAsia="仿宋_GB2312"/>
                <w:color w:val="auto"/>
                <w:sz w:val="18"/>
                <w:szCs w:val="18"/>
              </w:rPr>
            </w:pPr>
          </w:p>
        </w:tc>
        <w:tc>
          <w:tcPr>
            <w:tcW w:w="776" w:type="dxa"/>
            <w:vAlign w:val="center"/>
          </w:tcPr>
          <w:p>
            <w:pPr>
              <w:rPr>
                <w:rFonts w:ascii="仿宋_GB2312" w:eastAsia="仿宋_GB2312"/>
                <w:color w:val="auto"/>
                <w:sz w:val="18"/>
                <w:szCs w:val="18"/>
              </w:rPr>
            </w:pPr>
            <w:r>
              <w:rPr>
                <w:rFonts w:hint="eastAsia" w:ascii="仿宋_GB2312" w:eastAsia="仿宋_GB2312"/>
                <w:color w:val="auto"/>
                <w:sz w:val="18"/>
                <w:szCs w:val="18"/>
              </w:rPr>
              <w:t>国有企业资产转让成交公告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交易标的名称、评估价格、转让底价、交易价格等。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不少于5个工作日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产权交易机构</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bl>
    <w:p/>
    <w:sectPr>
      <w:pgSz w:w="16838" w:h="11906" w:orient="landscape"/>
      <w:pgMar w:top="1800" w:right="1440" w:bottom="1800" w:left="144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jI3YmYwZGYxZTljODFlZWNjMjljZGQxM2Y2YmQ5NzcifQ=="/>
  </w:docVars>
  <w:rsids>
    <w:rsidRoot w:val="00CE5523"/>
    <w:rsid w:val="00053EF1"/>
    <w:rsid w:val="00077C31"/>
    <w:rsid w:val="000F1C7B"/>
    <w:rsid w:val="002375F4"/>
    <w:rsid w:val="002745F3"/>
    <w:rsid w:val="002E31A3"/>
    <w:rsid w:val="002F7538"/>
    <w:rsid w:val="00306311"/>
    <w:rsid w:val="00323B43"/>
    <w:rsid w:val="00367B85"/>
    <w:rsid w:val="0037174F"/>
    <w:rsid w:val="003D37D8"/>
    <w:rsid w:val="004358AB"/>
    <w:rsid w:val="00456FA5"/>
    <w:rsid w:val="0054243F"/>
    <w:rsid w:val="005537A9"/>
    <w:rsid w:val="00557F0A"/>
    <w:rsid w:val="00576446"/>
    <w:rsid w:val="00807B90"/>
    <w:rsid w:val="008B7726"/>
    <w:rsid w:val="008E682C"/>
    <w:rsid w:val="009A1679"/>
    <w:rsid w:val="00AA7FF1"/>
    <w:rsid w:val="00B125B1"/>
    <w:rsid w:val="00C0763E"/>
    <w:rsid w:val="00C53F5C"/>
    <w:rsid w:val="00C606E0"/>
    <w:rsid w:val="00CE5523"/>
    <w:rsid w:val="00D80F1A"/>
    <w:rsid w:val="00D86AC3"/>
    <w:rsid w:val="00DD208B"/>
    <w:rsid w:val="00E40E1E"/>
    <w:rsid w:val="00F60E33"/>
    <w:rsid w:val="00FA17FB"/>
    <w:rsid w:val="00FF0736"/>
    <w:rsid w:val="01921877"/>
    <w:rsid w:val="04853103"/>
    <w:rsid w:val="23A43D6A"/>
    <w:rsid w:val="3DA7549D"/>
    <w:rsid w:val="682F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pPr>
    <w:rPr>
      <w:rFonts w:ascii="Tahoma" w:hAnsi="Tahoma" w:eastAsia="微软雅黑"/>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rFonts w:ascii="Tahoma" w:hAnsi="Tahoma" w:eastAsia="微软雅黑"/>
      <w:kern w:val="0"/>
      <w:sz w:val="18"/>
      <w:szCs w:val="18"/>
    </w:rPr>
  </w:style>
  <w:style w:type="character" w:customStyle="1" w:styleId="7">
    <w:name w:val="标题 1 Char"/>
    <w:link w:val="2"/>
    <w:qFormat/>
    <w:uiPriority w:val="0"/>
    <w:rPr>
      <w:rFonts w:ascii="Calibri" w:hAnsi="Calibri" w:eastAsia="宋体" w:cs="Times New Roman"/>
      <w:b/>
      <w:bCs/>
      <w:kern w:val="44"/>
      <w:sz w:val="44"/>
      <w:szCs w:val="44"/>
    </w:rPr>
  </w:style>
  <w:style w:type="character" w:customStyle="1" w:styleId="8">
    <w:name w:val="页脚 Char"/>
    <w:link w:val="3"/>
    <w:semiHidden/>
    <w:qFormat/>
    <w:uiPriority w:val="99"/>
    <w:rPr>
      <w:rFonts w:ascii="Tahoma" w:hAnsi="Tahoma"/>
      <w:sz w:val="18"/>
      <w:szCs w:val="18"/>
    </w:rPr>
  </w:style>
  <w:style w:type="character" w:customStyle="1" w:styleId="9">
    <w:name w:val="页眉 Char"/>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7015</Words>
  <Characters>7053</Characters>
  <Lines>62</Lines>
  <Paragraphs>17</Paragraphs>
  <TotalTime>0</TotalTime>
  <ScaleCrop>false</ScaleCrop>
  <LinksUpToDate>false</LinksUpToDate>
  <CharactersWithSpaces>7127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2020-11-23T03:34:00Z</dcterms:created>
  <dc:creator>Administrator</dc:creator>
  <cp:lastModifiedBy>soliel</cp:lastModifiedBy>
  <dcterms:modified xsi:type="dcterms:W3CDTF">2023-03-16T02:54:41Z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5917624007F847B9BE6FBA478258A374</vt:lpwstr>
  </property>
</Properties>
</file>