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F6" w:rsidRPr="00FD58F6" w:rsidRDefault="00FD58F6" w:rsidP="00FD58F6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</w:pPr>
      <w:r w:rsidRPr="00FD58F6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3"/>
          <w:szCs w:val="33"/>
        </w:rPr>
        <w:t>天津发布《免罚清单》 建立轻微违法行为容错纠错机制</w:t>
      </w:r>
    </w:p>
    <w:p w:rsidR="0059502D" w:rsidRDefault="0059502D">
      <w:pPr>
        <w:rPr>
          <w:rFonts w:hint="eastAsia"/>
        </w:rPr>
      </w:pP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为进一步深化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放管服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改革，打造宽松便利、开放包容、公平竞争的营商环境，探索建立市场主体轻微违法行为容错纠错机制，特别是在当前新冠疫情防控形势下，为大力支持企业复工复产复市，市市场监管委、</w:t>
      </w:r>
      <w:proofErr w:type="gramStart"/>
      <w:r>
        <w:rPr>
          <w:rFonts w:ascii="Helvetica" w:hAnsi="Helvetica" w:cs="Helvetica"/>
          <w:color w:val="333333"/>
          <w:spacing w:val="8"/>
          <w:sz w:val="27"/>
          <w:szCs w:val="27"/>
        </w:rPr>
        <w:t>市药监</w:t>
      </w:r>
      <w:proofErr w:type="gramEnd"/>
      <w:r>
        <w:rPr>
          <w:rFonts w:ascii="Helvetica" w:hAnsi="Helvetica" w:cs="Helvetica"/>
          <w:color w:val="333333"/>
          <w:spacing w:val="8"/>
          <w:sz w:val="27"/>
          <w:szCs w:val="27"/>
        </w:rPr>
        <w:t>局制定《天津市市场监管领域免罚清单》（以下简称《免罚清单》），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5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月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8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日起实施。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5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月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8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日，在天津市新冠肺炎疫情防控工作第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134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场发布会上，市市场监管委副主任石玉颖发布了《免罚清单》内容并进行了解读。</w:t>
      </w: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《免罚清单》的制定目的主要是推进包容审慎监管，建立轻微违法行为容错纠错机制，实行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小过错、及时改、不处罚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，鼓励中小</w:t>
      </w:r>
      <w:proofErr w:type="gramStart"/>
      <w:r>
        <w:rPr>
          <w:rFonts w:ascii="Helvetica" w:hAnsi="Helvetica" w:cs="Helvetica"/>
          <w:color w:val="333333"/>
          <w:spacing w:val="8"/>
          <w:sz w:val="27"/>
          <w:szCs w:val="27"/>
        </w:rPr>
        <w:t>微企业</w:t>
      </w:r>
      <w:proofErr w:type="gramEnd"/>
      <w:r>
        <w:rPr>
          <w:rFonts w:ascii="Helvetica" w:hAnsi="Helvetica" w:cs="Helvetica"/>
          <w:color w:val="333333"/>
          <w:spacing w:val="8"/>
          <w:sz w:val="27"/>
          <w:szCs w:val="27"/>
        </w:rPr>
        <w:t>等市场主体及时自我纠错，提高依法合</w:t>
      </w:r>
      <w:proofErr w:type="gramStart"/>
      <w:r>
        <w:rPr>
          <w:rFonts w:ascii="Helvetica" w:hAnsi="Helvetica" w:cs="Helvetica"/>
          <w:color w:val="333333"/>
          <w:spacing w:val="8"/>
          <w:sz w:val="27"/>
          <w:szCs w:val="27"/>
        </w:rPr>
        <w:t>规</w:t>
      </w:r>
      <w:proofErr w:type="gramEnd"/>
      <w:r>
        <w:rPr>
          <w:rFonts w:ascii="Helvetica" w:hAnsi="Helvetica" w:cs="Helvetica"/>
          <w:color w:val="333333"/>
          <w:spacing w:val="8"/>
          <w:sz w:val="27"/>
          <w:szCs w:val="27"/>
        </w:rPr>
        <w:t>经营的自觉性，让经营者感受到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执法的温度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，为市场主体成长和发展营造更加宽松的制度环境。制定《免罚清单》，是对《行政处罚法》第二十七条第二款规定的具体化，将执法实践中一些应该免予处罚的违法行为明确下来，通过清单方式公之于众，既便于执法人员执行，又指引经营者自我纠错。</w:t>
      </w: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《免罚清单》共确定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50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项免予处罚的违法行为，涉及市场主体登记管理、广告监督管理、价格监督管理、食品安全监督管理、商标监督管理、药品医疗器械监督管理等监管事项。根据法律法规规章</w:t>
      </w:r>
      <w:proofErr w:type="gramStart"/>
      <w:r>
        <w:rPr>
          <w:rFonts w:ascii="Helvetica" w:hAnsi="Helvetica" w:cs="Helvetica"/>
          <w:color w:val="333333"/>
          <w:spacing w:val="8"/>
          <w:sz w:val="27"/>
          <w:szCs w:val="27"/>
        </w:rPr>
        <w:lastRenderedPageBreak/>
        <w:t>立改废</w:t>
      </w:r>
      <w:proofErr w:type="gramEnd"/>
      <w:r>
        <w:rPr>
          <w:rFonts w:ascii="Helvetica" w:hAnsi="Helvetica" w:cs="Helvetica"/>
          <w:color w:val="333333"/>
          <w:spacing w:val="8"/>
          <w:sz w:val="27"/>
          <w:szCs w:val="27"/>
        </w:rPr>
        <w:t>和执法实践，需要增加、调整的项目，将适时对《免罚清单》进行修改，以更加契合企业发展实际需要。同时指出，《免罚清单》并不是免予处罚的全部情形，不意味着《免罚清单》之外的违法行为不能免罚；《免罚清单》未列明的违法行为，符合法定不予处罚条件的，同样应当免予处罚。</w:t>
      </w: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《免罚清单》确定的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50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项免予处罚的违法行为，具体可分为两类：一类是相关法律、法规、规章规定应当先行责令改正，责令改正后当事人及时改正的，免予行政处罚，共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23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项，例如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广告用语用字未按规定使用普通话和规范汉字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的行为；另一类是对于轻微违法行为及时纠正，没有造成实际危害后果或者不良社会影响的，免予行政处罚，共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27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项，例如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广告主通过其经营场所、自设网站、宣传单等自行发布广告，使用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‘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国家级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’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、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‘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最高级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’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、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‘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最佳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’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等用语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的行为。</w:t>
      </w: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这两类违法行为免予处罚的条件并不一样：当事人有第一类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23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项违法行为之一，已自行改正或者在市场监管部门责令改正的期限内改正的，即免予行政处罚；当事人有第二类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27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项违法行为之一，不但要达到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已自行改正或者在市场监管部门责令改正的期限内改正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的条件，且要符合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未造成实际危害后果或者不良社会影响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的条件，方可免予处罚。</w:t>
      </w: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免予处罚并不意味着免予监管。对于《免罚清单》所列违法行为，各级市场监管部门将通过责令改正、批评教育、告诫、约谈等措施，向当事人宣讲法律、法规、规章，教育引导当事人依法合</w:t>
      </w:r>
      <w:proofErr w:type="gramStart"/>
      <w:r>
        <w:rPr>
          <w:rFonts w:ascii="Helvetica" w:hAnsi="Helvetica" w:cs="Helvetica"/>
          <w:color w:val="333333"/>
          <w:spacing w:val="8"/>
          <w:sz w:val="27"/>
          <w:szCs w:val="27"/>
        </w:rPr>
        <w:t>规</w:t>
      </w:r>
      <w:proofErr w:type="gramEnd"/>
      <w:r>
        <w:rPr>
          <w:rFonts w:ascii="Helvetica" w:hAnsi="Helvetica" w:cs="Helvetica"/>
          <w:color w:val="333333"/>
          <w:spacing w:val="8"/>
          <w:sz w:val="27"/>
          <w:szCs w:val="27"/>
        </w:rPr>
        <w:t>开展经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lastRenderedPageBreak/>
        <w:t>营活动。责令当事人改正后，要对当事人改正情况进行复查；当事人未及时改正的，仍将依法给予行政处罚。</w:t>
      </w:r>
    </w:p>
    <w:p w:rsidR="00FD58F6" w:rsidRDefault="00FD58F6" w:rsidP="00FD58F6">
      <w:pPr>
        <w:pStyle w:val="a3"/>
        <w:shd w:val="clear" w:color="auto" w:fill="FAFBFC"/>
        <w:spacing w:before="0" w:after="0"/>
        <w:jc w:val="both"/>
        <w:rPr>
          <w:rFonts w:ascii="Helvetica" w:hAnsi="Helvetica" w:cs="Helvetica"/>
          <w:color w:val="333333"/>
          <w:spacing w:val="8"/>
          <w:sz w:val="27"/>
          <w:szCs w:val="27"/>
        </w:rPr>
      </w:pPr>
      <w:r>
        <w:rPr>
          <w:rFonts w:ascii="Helvetica" w:hAnsi="Helvetica" w:cs="Helvetica"/>
          <w:color w:val="333333"/>
          <w:spacing w:val="8"/>
          <w:sz w:val="27"/>
          <w:szCs w:val="27"/>
        </w:rPr>
        <w:t>不适用《免罚清单》的例外情形包括：当事人有《免罚清单》所列轻微违法行为，同时又存在从重处罚情节的，不适用免予处罚。例如，疫情期间实施不利于疫情防控的相关违法行为，或者一年内因同一性质的违法行为受过行政处罚又实施该违法行为，均属于具有从重处罚情节，不适用《免罚清单》；当事人有《免罚清单》所列轻微违法行为，免予处罚后又实施该违法行为的，不再适用免予处罚。也就是说，已经免罚的，再次重犯不再免罚，即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免罚一次、再次不免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。因为上次免罚时，当事人已知晓行为的违法性及如何改正，应当杜绝再次发生该违法行为，若再次实施该违法行为，属于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“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明知再犯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”</w:t>
      </w:r>
      <w:r>
        <w:rPr>
          <w:rFonts w:ascii="Helvetica" w:hAnsi="Helvetica" w:cs="Helvetica"/>
          <w:color w:val="333333"/>
          <w:spacing w:val="8"/>
          <w:sz w:val="27"/>
          <w:szCs w:val="27"/>
        </w:rPr>
        <w:t>，理应给予行政处罚，接受法律制裁。（作者单位：天津日报）</w:t>
      </w:r>
    </w:p>
    <w:p w:rsidR="00FD58F6" w:rsidRPr="00FD58F6" w:rsidRDefault="00FD58F6">
      <w:pPr>
        <w:rPr>
          <w:rFonts w:hint="eastAsia"/>
        </w:rPr>
      </w:pPr>
      <w:bookmarkStart w:id="0" w:name="_GoBack"/>
      <w:bookmarkEnd w:id="0"/>
    </w:p>
    <w:sectPr w:rsidR="00FD58F6" w:rsidRPr="00FD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23"/>
    <w:rsid w:val="0059502D"/>
    <w:rsid w:val="00C62D23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8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58F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5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8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58F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5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xzxk024</dc:creator>
  <cp:keywords/>
  <dc:description/>
  <cp:lastModifiedBy>xzxk024</cp:lastModifiedBy>
  <cp:revision>3</cp:revision>
  <dcterms:created xsi:type="dcterms:W3CDTF">2020-07-28T03:42:00Z</dcterms:created>
  <dcterms:modified xsi:type="dcterms:W3CDTF">2020-07-28T03:42:00Z</dcterms:modified>
</cp:coreProperties>
</file>