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F9" w:rsidRPr="005C5EF9" w:rsidRDefault="005C5EF9" w:rsidP="005C5EF9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</w:pPr>
      <w:r w:rsidRPr="005C5EF9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3"/>
          <w:szCs w:val="33"/>
        </w:rPr>
        <w:t>天津多部门联动 制定产业链、供应链、资金链“接链”专项行动计划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央广网</w:t>
      </w:r>
      <w:proofErr w:type="gramEnd"/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天津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5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月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18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日消息（记者刘阳）记者从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5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月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18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日召开的新闻发布会了解到，天津市制定了产业链、供应链、资金链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“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接链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”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专项行动计划，围绕产业、资金、用工等方面存在的问题，坚持龙头引领、专业配套、市区联动、产供销一体，延伸产业链、打通供应链、融通资金链，全力对冲疫情影响，努力实现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“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双战双赢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”</w:t>
      </w:r>
      <w:r>
        <w:rPr>
          <w:rFonts w:ascii="Microsoft Sans Serif" w:eastAsia="微软雅黑" w:hAnsi="Microsoft Sans Serif" w:cs="Microsoft Sans Serif"/>
          <w:color w:val="333333"/>
          <w:spacing w:val="8"/>
          <w:sz w:val="27"/>
          <w:szCs w:val="27"/>
          <w:shd w:val="clear" w:color="auto" w:fill="FFFFFF"/>
        </w:rPr>
        <w:t>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 w:hint="eastAsia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天津市工信局总经济师周胜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昔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介绍，接链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专项行动梳理解决企业实际困难，落实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援企稳企惠企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政策，全力做好市场开拓，推进精准招商对接，梯次培育优质企业。目前，天津市已经成功举办了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中小微企业银企对接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、汽车产业、动力电池三场撮合对接会，从企业和社会反应看，效果都非常好：中小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微企业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银企对接会上，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8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家金融机构负责同志和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家中小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微企业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代表参加会议；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16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个区分管领导和相关部门、企业家、金融机构参加分会场会议，累计签约资金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9295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万元；汽车产业对接会上，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一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汽丰田、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一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汽大众、长城汽车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3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家整车企业、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132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家上下游配套企业和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家相关金融机构代表参加了活动，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总授信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额度达到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100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亿元；动力电池产业对接会上，中电力神、三星电池、荣盛新能源以及全市约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80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家上下游配套企业、科研院所、金融机构，广东省电池行业协会以及广东省部分电池企业参加了活动，签署协议金额达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5.5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亿元，授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信金额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 xml:space="preserve">　　金融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“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活水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”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为企业</w:t>
      </w:r>
      <w:proofErr w:type="gramStart"/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纾</w:t>
      </w:r>
      <w:proofErr w:type="gramEnd"/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困解难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lastRenderedPageBreak/>
        <w:t xml:space="preserve">　　取得阶段性成绩离不开此次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接链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专项行动计划多部门联动。据了解，此次除天津市工信局外，天津市金融局、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人社局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、商务局、科技局等相关部门合力发挥各自优势，推出一系列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真金白银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政策补贴，切实为企业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纾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困解难。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天津市金融局党组成员、副局长黎红表示，政府搭建平台，撮合金融机构与企业精准对接，促进企业复工达产，助推天津市高质量发展。截至今年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4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月末，全市各项存款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3.31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万亿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元，同比增长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4.7%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，比年初增加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1360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亿元，同比多增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692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亿元；各项贷款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3.73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万亿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元，同比增长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7.0%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，比年初增加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1199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亿元，同比多增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402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打通金融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活水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，让企业资金链有保障，才能促进产业链蓬勃发展。黎红表示，推进金融机构通过加快审批速度、减少审批环节、降低融资成本等措施，解决中小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微企业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和个体工商户融资问题。目前，全市金融机构累计向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1.74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万户中小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微企业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和个体工商户发放贷款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1121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亿元；用好线上银税互动服务平台，实现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银税互动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产品申请、审批、授信、放贷的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线上一站式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办理。自去年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7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月上线至今年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4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月末，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共服务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企业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2322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家，授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信金额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13.56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亿元；加快推进企业上市，今年以来新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增建科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机械、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锐新科技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家创业板上市企业，全部为先进制造业企业，合计募集资金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7.26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亿元。截至目前，全市各类上市公司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73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家；促进政府性融资担保机构通过落实续贷续保政策、积极开展数据增信、降低担保服务收费等方式服务中小微企业，引导融资租赁公司通过简化手续、降低费用、创新产品、量身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lastRenderedPageBreak/>
        <w:t>定制个性化服务方案等方式为中小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微企业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提供高效、便捷、专业、优惠的融资租赁服务；海河产业基金促进产业转型升级。截至今年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4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月末，海河产业基金累计有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31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支母基金签署协议，协议认缴规模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1204.87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亿元。。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 xml:space="preserve">　多</w:t>
      </w:r>
      <w:proofErr w:type="gramStart"/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措</w:t>
      </w:r>
      <w:proofErr w:type="gramEnd"/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并举汇聚人才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 xml:space="preserve"> </w:t>
      </w:r>
      <w:r>
        <w:rPr>
          <w:rStyle w:val="a4"/>
          <w:rFonts w:ascii="Microsoft Sans Serif" w:hAnsi="Microsoft Sans Serif" w:cs="Microsoft Sans Serif"/>
          <w:color w:val="000000"/>
          <w:spacing w:val="8"/>
          <w:sz w:val="27"/>
          <w:szCs w:val="27"/>
        </w:rPr>
        <w:t>创新驱动助力发展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筑巢引凤，天津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接链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专项行动计划优化营商环境，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缩短政策兑现周期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就是其中的缩影。天津市科技局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副局长祖延辉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介绍，天津市科技局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缩短政策兑现周期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国家高新技术企业认定奖励，会同各区开展首次奖励名单落实，加快资金拨付，对于高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企享受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税收优惠政策，制定操作细则，开辟绿色通道。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同时，通过科技金融手段助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推企业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创新发展。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祖延辉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表示，一是加快开展雏鹰企业贷款奖励及瞪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、科技（培育）企业股改奖励兑现。二是引导鼓励银行、担保机构进一步加大对科技型企业融资支持。指导担保机构推出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同心贷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、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抗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疫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复工应急贷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等融资担保专项产品，与企业共抗疫情。市科技局注资的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3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家担保机构为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31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家企业提供担保贷款支持，担保额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1.09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亿元。三是做好科技金融服务。指导科技金融对接服务平台充分利用信息化手段，开展线上融资对接，做好科技金融服务。目前举办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75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场活动，服务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5516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人次，成功对接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55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项，融资额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6.35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亿元。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天津市人社局党组成员、副局长李惠廷表示，天津市人社局建立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24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小时用工调度机制，组织系列线上招聘活动，推行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不见面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公共就业服务，组织农民工返岗运输，取得阶段性成效。截至目前，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lastRenderedPageBreak/>
        <w:t>开展线上招聘会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150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场，已为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6500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多家用人单位发布岗位信息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12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万条，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21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万人线上求职。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人才留得住，企业才能有蓄能；品牌叫得响，企业才能扩大影响力。天津市商务局党组成员、副局长周路表示，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6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月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15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至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24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日，市商务局将组织天津外贸企业参加网上举办的第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127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届广交会。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7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月下旬，将在网上举办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2020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津洽会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，设立外贸商品展区，帮助外贸企业拓展国内市场。另外，还推荐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210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家优秀企业参加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网媒暖津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·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中小企业品牌宣传百日扶持计划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主题活动，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促进线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上经济发展，提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振消费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信心。</w:t>
      </w:r>
    </w:p>
    <w:p w:rsidR="005C5EF9" w:rsidRDefault="005C5EF9" w:rsidP="005C5EF9">
      <w:pPr>
        <w:pStyle w:val="a3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 xml:space="preserve">　　一系列的商贸活动把天津企业推向全国乃至全球市场，打造天津品牌。产业链、供应链、资金链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接链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是打通链条内堵点，完善链条产业类型，推动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29</w:t>
      </w:r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条产业链条向系统化、生态化不断跃进，蓬勃发展。周胜昔表示，下一步，市工信局将持续</w:t>
      </w:r>
      <w:proofErr w:type="gramStart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推进接链专项</w:t>
      </w:r>
      <w:proofErr w:type="gramEnd"/>
      <w:r>
        <w:rPr>
          <w:rFonts w:ascii="Microsoft Sans Serif" w:hAnsi="Microsoft Sans Serif" w:cs="Microsoft Sans Serif"/>
          <w:color w:val="333333"/>
          <w:spacing w:val="8"/>
          <w:sz w:val="27"/>
          <w:szCs w:val="27"/>
        </w:rPr>
        <w:t>行动，为更多的企业提供支持帮助，助力产业脱困发展。</w:t>
      </w:r>
    </w:p>
    <w:p w:rsidR="0076070D" w:rsidRPr="005C5EF9" w:rsidRDefault="0076070D">
      <w:pPr>
        <w:rPr>
          <w:rFonts w:hint="eastAsia"/>
        </w:rPr>
      </w:pPr>
      <w:bookmarkStart w:id="0" w:name="_GoBack"/>
      <w:bookmarkEnd w:id="0"/>
    </w:p>
    <w:sectPr w:rsidR="0076070D" w:rsidRPr="005C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D"/>
    <w:rsid w:val="0046685D"/>
    <w:rsid w:val="005C5EF9"/>
    <w:rsid w:val="007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5E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C5EF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C5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5E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5E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C5EF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C5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5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xzxk024</dc:creator>
  <cp:keywords/>
  <dc:description/>
  <cp:lastModifiedBy>xzxk024</cp:lastModifiedBy>
  <cp:revision>2</cp:revision>
  <dcterms:created xsi:type="dcterms:W3CDTF">2020-07-28T03:46:00Z</dcterms:created>
  <dcterms:modified xsi:type="dcterms:W3CDTF">2020-07-28T03:46:00Z</dcterms:modified>
</cp:coreProperties>
</file>