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D9004">
      <w:pPr>
        <w:spacing w:line="250" w:lineRule="auto"/>
        <w:rPr>
          <w:rFonts w:ascii="Arial"/>
          <w:sz w:val="21"/>
        </w:rPr>
      </w:pPr>
    </w:p>
    <w:p w14:paraId="17520EB8">
      <w:pPr>
        <w:spacing w:line="250" w:lineRule="auto"/>
        <w:rPr>
          <w:rFonts w:ascii="Arial"/>
          <w:sz w:val="21"/>
        </w:rPr>
      </w:pPr>
    </w:p>
    <w:p w14:paraId="77DAC7A6">
      <w:pPr>
        <w:spacing w:line="250" w:lineRule="auto"/>
        <w:rPr>
          <w:rFonts w:ascii="Arial"/>
          <w:sz w:val="21"/>
        </w:rPr>
      </w:pPr>
    </w:p>
    <w:p w14:paraId="3AE7C038">
      <w:pPr>
        <w:spacing w:line="250" w:lineRule="auto"/>
        <w:rPr>
          <w:rFonts w:ascii="Arial"/>
          <w:sz w:val="21"/>
        </w:rPr>
      </w:pPr>
    </w:p>
    <w:p w14:paraId="0D98C3AB">
      <w:pPr>
        <w:spacing w:before="143" w:line="302" w:lineRule="auto"/>
        <w:ind w:left="2960" w:right="118" w:hanging="2719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南开区财政局2025年度优化政府采购营商</w:t>
      </w: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环境工作举措</w:t>
      </w:r>
    </w:p>
    <w:p w14:paraId="3E202E2F">
      <w:pPr>
        <w:spacing w:line="296" w:lineRule="auto"/>
        <w:rPr>
          <w:rFonts w:ascii="Arial"/>
          <w:sz w:val="21"/>
        </w:rPr>
      </w:pPr>
    </w:p>
    <w:p w14:paraId="72D5BB91">
      <w:pPr>
        <w:spacing w:line="297" w:lineRule="auto"/>
        <w:rPr>
          <w:rFonts w:ascii="Arial"/>
          <w:sz w:val="21"/>
        </w:rPr>
      </w:pPr>
    </w:p>
    <w:p w14:paraId="51EDCA0D">
      <w:pPr>
        <w:spacing w:line="297" w:lineRule="auto"/>
        <w:rPr>
          <w:rFonts w:ascii="Arial"/>
          <w:sz w:val="21"/>
        </w:rPr>
      </w:pPr>
    </w:p>
    <w:p w14:paraId="7D85447A">
      <w:pPr>
        <w:pStyle w:val="2"/>
        <w:spacing w:before="101" w:line="369" w:lineRule="auto"/>
        <w:ind w:left="134" w:right="13" w:firstLine="650"/>
        <w:jc w:val="both"/>
      </w:pPr>
      <w:r>
        <w:rPr>
          <w:spacing w:val="8"/>
        </w:rPr>
        <w:t>按照区委区政府优化营商环境工作部署要求，为着力解决难点、堵点问题，规范政府采购行为，提升市场主体满意</w:t>
      </w:r>
      <w:r>
        <w:rPr>
          <w:spacing w:val="9"/>
        </w:rPr>
        <w:t>度和获得感，维护政府采购公平、公正、竞</w:t>
      </w:r>
      <w:r>
        <w:rPr>
          <w:spacing w:val="8"/>
        </w:rPr>
        <w:t>争有序，持续优</w:t>
      </w:r>
      <w:r>
        <w:rPr>
          <w:spacing w:val="4"/>
        </w:rPr>
        <w:t>化营商环境，制定如下工作举措。</w:t>
      </w:r>
    </w:p>
    <w:p w14:paraId="7A33123D">
      <w:pPr>
        <w:spacing w:before="19" w:line="222" w:lineRule="auto"/>
        <w:ind w:left="78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一、工作目标</w:t>
      </w:r>
    </w:p>
    <w:p w14:paraId="2F68EDC4">
      <w:pPr>
        <w:pStyle w:val="2"/>
        <w:spacing w:before="228" w:line="374" w:lineRule="auto"/>
        <w:ind w:left="134" w:firstLine="650"/>
        <w:jc w:val="both"/>
      </w:pPr>
      <w:r>
        <w:rPr>
          <w:spacing w:val="8"/>
        </w:rPr>
        <w:t>依据《天津市政府采购领域“整顿市场秩序、建设法规</w:t>
      </w:r>
      <w:r>
        <w:rPr>
          <w:spacing w:val="26"/>
        </w:rPr>
        <w:t>体系、促进产业发展”三年行动2025年度任务清单》,对</w:t>
      </w:r>
      <w:r>
        <w:rPr>
          <w:spacing w:val="8"/>
        </w:rPr>
        <w:t>照国家及市营商环境评价指标，围绕政府采购关</w:t>
      </w:r>
      <w:r>
        <w:rPr>
          <w:spacing w:val="7"/>
        </w:rPr>
        <w:t>键环节，通</w:t>
      </w:r>
      <w:r>
        <w:rPr>
          <w:spacing w:val="8"/>
        </w:rPr>
        <w:t>过流程优化、制度创新、落实政策功能等措施精准发力，综合施策，持续激发市场活力，为南开区经济高质量发展提供</w:t>
      </w:r>
      <w:r>
        <w:rPr>
          <w:spacing w:val="-4"/>
        </w:rPr>
        <w:t>坚实保障。</w:t>
      </w:r>
    </w:p>
    <w:p w14:paraId="443C88E2">
      <w:pPr>
        <w:spacing w:before="2" w:line="220" w:lineRule="auto"/>
        <w:ind w:left="78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二、重点任务</w:t>
      </w:r>
    </w:p>
    <w:p w14:paraId="48DF2DA0">
      <w:pPr>
        <w:spacing w:before="259" w:line="220" w:lineRule="auto"/>
        <w:ind w:left="78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(一)落实主体责任，提高采购质效</w:t>
      </w:r>
    </w:p>
    <w:p w14:paraId="084A8BC4">
      <w:pPr>
        <w:pStyle w:val="2"/>
        <w:spacing w:before="261" w:line="370" w:lineRule="auto"/>
        <w:ind w:left="134" w:right="12" w:firstLine="650"/>
        <w:sectPr>
          <w:pgSz w:w="11900" w:h="16840"/>
          <w:pgMar w:top="1431" w:right="1678" w:bottom="0" w:left="1785" w:header="0" w:footer="0" w:gutter="0"/>
          <w:cols w:space="720" w:num="1"/>
        </w:sectPr>
      </w:pPr>
      <w:r>
        <w:rPr>
          <w:rFonts w:ascii="宋体" w:hAnsi="宋体" w:eastAsia="宋体" w:cs="宋体"/>
          <w:spacing w:val="7"/>
        </w:rPr>
        <w:t>1.</w:t>
      </w:r>
      <w:r>
        <w:rPr>
          <w:spacing w:val="7"/>
        </w:rPr>
        <w:t>健全内控管理制度。以“分事行权、分岗设权、分级</w:t>
      </w:r>
      <w:r>
        <w:rPr>
          <w:spacing w:val="8"/>
        </w:rPr>
        <w:t>授权”为主线，健全工作机制、明确工作分工、完善管理措</w:t>
      </w:r>
      <w:r>
        <w:rPr>
          <w:spacing w:val="7"/>
        </w:rPr>
        <w:t>施、规范工作流程，形成依法合规、运转高效、风险可控、</w:t>
      </w:r>
      <w:r>
        <w:rPr>
          <w:spacing w:val="9"/>
        </w:rPr>
        <w:t>问责严格的政府采购内部管控制度，形成对政</w:t>
      </w:r>
      <w:r>
        <w:rPr>
          <w:spacing w:val="8"/>
        </w:rPr>
        <w:t>府采购活动内</w:t>
      </w:r>
    </w:p>
    <w:p w14:paraId="25113552">
      <w:pPr>
        <w:pStyle w:val="2"/>
        <w:spacing w:before="104" w:line="370" w:lineRule="auto"/>
        <w:ind w:left="14" w:right="50"/>
      </w:pPr>
      <w:r>
        <w:rPr>
          <w:spacing w:val="14"/>
        </w:rPr>
        <w:t>部权力的有效制约。(责任单位：各主管预算单位、各预算</w:t>
      </w:r>
      <w:r>
        <w:rPr>
          <w:spacing w:val="28"/>
        </w:rPr>
        <w:t>单位)</w:t>
      </w:r>
    </w:p>
    <w:p w14:paraId="41F2BFE0">
      <w:pPr>
        <w:pStyle w:val="2"/>
        <w:spacing w:before="50" w:line="333" w:lineRule="auto"/>
        <w:ind w:left="14" w:right="49" w:firstLine="659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强化预算约束。严格按照批准的预算执行，将预算一</w:t>
      </w:r>
      <w:r>
        <w:rPr>
          <w:spacing w:val="8"/>
        </w:rPr>
        <w:t>体化系统推送的采购预算数据，作为备案政府采购计划、开展政府采购活动的唯一依据，实现采购预算对政府采购执行</w:t>
      </w:r>
      <w:r>
        <w:rPr>
          <w:spacing w:val="-3"/>
        </w:rPr>
        <w:t>的刚性制约。(责任单位：各预算单位)</w:t>
      </w:r>
    </w:p>
    <w:p w14:paraId="7E5B5BBF">
      <w:pPr>
        <w:pStyle w:val="2"/>
        <w:spacing w:before="256" w:line="339" w:lineRule="auto"/>
        <w:ind w:left="14" w:firstLine="659"/>
      </w:pPr>
      <w:r>
        <w:rPr>
          <w:rFonts w:ascii="宋体" w:hAnsi="宋体" w:eastAsia="宋体" w:cs="宋体"/>
          <w:spacing w:val="7"/>
        </w:rPr>
        <w:t>3.</w:t>
      </w:r>
      <w:r>
        <w:rPr>
          <w:spacing w:val="7"/>
        </w:rPr>
        <w:t>规范源头管理。充分利用专家、专业机构和供应商资</w:t>
      </w:r>
      <w:r>
        <w:rPr>
          <w:spacing w:val="8"/>
        </w:rPr>
        <w:t>源以及信息化、智能化技术，深入开展需求调查，掌握市场真实情况，科学精准确定采购需求，严密组织开</w:t>
      </w:r>
      <w:r>
        <w:rPr>
          <w:spacing w:val="7"/>
        </w:rPr>
        <w:t>展项目需求</w:t>
      </w:r>
      <w:r>
        <w:rPr>
          <w:spacing w:val="4"/>
        </w:rPr>
        <w:t>审查工作，确保采购项目优质优价、物有所值。(责任单位：</w:t>
      </w:r>
      <w:r>
        <w:rPr>
          <w:spacing w:val="7"/>
        </w:rPr>
        <w:t>各预算单位)</w:t>
      </w:r>
    </w:p>
    <w:p w14:paraId="2E1605ED">
      <w:pPr>
        <w:pStyle w:val="2"/>
        <w:spacing w:before="269" w:line="332" w:lineRule="auto"/>
        <w:ind w:left="14" w:right="25" w:firstLine="659"/>
      </w:pPr>
      <w:r>
        <w:rPr>
          <w:rFonts w:ascii="宋体" w:hAnsi="宋体" w:eastAsia="宋体" w:cs="宋体"/>
          <w:spacing w:val="20"/>
        </w:rPr>
        <w:t>4.</w:t>
      </w:r>
      <w:r>
        <w:rPr>
          <w:spacing w:val="20"/>
        </w:rPr>
        <w:t>优化采购流程。鼓励采购人发出中标(成交)通知书</w:t>
      </w:r>
      <w:r>
        <w:rPr>
          <w:spacing w:val="26"/>
        </w:rPr>
        <w:t>后15日内签订合同；自签订之日起1个工作日内，将政府</w:t>
      </w:r>
      <w:r>
        <w:rPr>
          <w:spacing w:val="14"/>
        </w:rPr>
        <w:t>采购合同在天津市政府采购网上进行公告。(责任单位：各</w:t>
      </w:r>
      <w:r>
        <w:rPr>
          <w:spacing w:val="16"/>
        </w:rPr>
        <w:t>预算单位)</w:t>
      </w:r>
    </w:p>
    <w:p w14:paraId="40F1116C">
      <w:pPr>
        <w:pStyle w:val="2"/>
        <w:spacing w:before="273" w:line="352" w:lineRule="auto"/>
        <w:ind w:left="14" w:right="42" w:firstLine="659"/>
      </w:pPr>
      <w:r>
        <w:rPr>
          <w:rFonts w:ascii="宋体" w:hAnsi="宋体" w:eastAsia="宋体" w:cs="宋体"/>
          <w:spacing w:val="7"/>
        </w:rPr>
        <w:t>5.</w:t>
      </w:r>
      <w:r>
        <w:rPr>
          <w:spacing w:val="7"/>
        </w:rPr>
        <w:t>落实公平竞争审查制度。制定涉及市场主体的政府采</w:t>
      </w:r>
      <w:r>
        <w:rPr>
          <w:spacing w:val="8"/>
        </w:rPr>
        <w:t>购制度办法，要严格执行公平竞争审查制度，充分听取市场</w:t>
      </w:r>
      <w:r>
        <w:rPr>
          <w:spacing w:val="7"/>
        </w:rPr>
        <w:t>主体意见，评估对市场竞争的影响，防止出现排除、限制市</w:t>
      </w:r>
      <w:r>
        <w:rPr>
          <w:spacing w:val="9"/>
        </w:rPr>
        <w:t>场竞争问题。强化采购文件审查，不得以不合理条件</w:t>
      </w:r>
      <w:r>
        <w:rPr>
          <w:spacing w:val="8"/>
        </w:rPr>
        <w:t>对供应</w:t>
      </w:r>
      <w:r>
        <w:rPr>
          <w:spacing w:val="6"/>
        </w:rPr>
        <w:t>商实施差别待遇或者歧视待遇，保障中小企业、民营企业、</w:t>
      </w:r>
      <w:r>
        <w:rPr>
          <w:spacing w:val="2"/>
        </w:rPr>
        <w:t>外资企业平等参与政府采购活动。(责任单位：区财政局、各预算单位)</w:t>
      </w:r>
    </w:p>
    <w:p w14:paraId="32B13B63">
      <w:pPr>
        <w:pStyle w:val="2"/>
        <w:spacing w:before="118" w:line="349" w:lineRule="auto"/>
        <w:ind w:left="34" w:right="112" w:firstLine="649"/>
      </w:pPr>
      <w:r>
        <w:rPr>
          <w:spacing w:val="7"/>
        </w:rPr>
        <w:t>6.支持中小企业发展。根据产业发展、市场供给和近期</w:t>
      </w:r>
      <w:r>
        <w:rPr>
          <w:spacing w:val="6"/>
        </w:rPr>
        <w:t>中标、成交信息情况，准确认定和识别适宜面向中小企业预留采购份额情形，对于政府采购项目确实符合《政府采购促</w:t>
      </w:r>
      <w:r>
        <w:rPr>
          <w:spacing w:val="8"/>
        </w:rPr>
        <w:t>进中小企业发展管理办法》可不专门面向中小企业预留采购</w:t>
      </w:r>
      <w:r>
        <w:rPr>
          <w:spacing w:val="9"/>
        </w:rPr>
        <w:t>份额情形的，做好政策风险审查，增强落实支持中小企</w:t>
      </w:r>
      <w:r>
        <w:rPr>
          <w:spacing w:val="8"/>
        </w:rPr>
        <w:t>业政</w:t>
      </w:r>
      <w:r>
        <w:rPr>
          <w:spacing w:val="5"/>
        </w:rPr>
        <w:t>府采购政策的自觉性。(责任单位：各预算单</w:t>
      </w:r>
      <w:r>
        <w:rPr>
          <w:spacing w:val="4"/>
        </w:rPr>
        <w:t>位)</w:t>
      </w:r>
    </w:p>
    <w:p w14:paraId="0D57BFC1">
      <w:pPr>
        <w:pStyle w:val="2"/>
        <w:spacing w:before="276" w:line="344" w:lineRule="auto"/>
        <w:ind w:left="44" w:right="99" w:firstLine="669"/>
      </w:pPr>
      <w:r>
        <w:rPr>
          <w:rFonts w:ascii="宋体" w:hAnsi="宋体" w:eastAsia="宋体" w:cs="宋体"/>
          <w:spacing w:val="6"/>
        </w:rPr>
        <w:t>7.</w:t>
      </w:r>
      <w:r>
        <w:rPr>
          <w:spacing w:val="6"/>
        </w:rPr>
        <w:t>推进绿色采购发展。严格落实节能节水产品和环保产</w:t>
      </w:r>
      <w:r>
        <w:rPr>
          <w:spacing w:val="8"/>
        </w:rPr>
        <w:t>品政府采购政策，依据品目清单和认证证书实施强制采购和</w:t>
      </w:r>
      <w:r>
        <w:rPr>
          <w:spacing w:val="9"/>
        </w:rPr>
        <w:t>优先采购，进一步提高绿色采购份额占比。加快推进公务用</w:t>
      </w:r>
      <w:r>
        <w:rPr>
          <w:spacing w:val="8"/>
        </w:rPr>
        <w:t>车电动化，优先采购新能源汽车。党政机关、事业单位新增</w:t>
      </w:r>
      <w:r>
        <w:rPr>
          <w:spacing w:val="7"/>
        </w:rPr>
        <w:t>和更新车辆中新能源汽车比例不低于40%。(责任单位：各预</w:t>
      </w:r>
      <w:r>
        <w:rPr>
          <w:spacing w:val="3"/>
        </w:rPr>
        <w:t>算单位)</w:t>
      </w:r>
    </w:p>
    <w:p w14:paraId="05F9B389">
      <w:pPr>
        <w:spacing w:before="247" w:line="220" w:lineRule="auto"/>
        <w:ind w:left="71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(二)开展惠企行动，不断提升满意度</w:t>
      </w:r>
    </w:p>
    <w:p w14:paraId="77C11AB3">
      <w:pPr>
        <w:pStyle w:val="2"/>
        <w:spacing w:before="285" w:line="344" w:lineRule="auto"/>
        <w:ind w:left="44" w:right="40" w:firstLine="669"/>
      </w:pPr>
      <w:r>
        <w:rPr>
          <w:rFonts w:ascii="宋体" w:hAnsi="宋体" w:eastAsia="宋体" w:cs="宋体"/>
          <w:spacing w:val="7"/>
        </w:rPr>
        <w:t>8.</w:t>
      </w:r>
      <w:r>
        <w:rPr>
          <w:spacing w:val="7"/>
        </w:rPr>
        <w:t>降低交易成本。暂未实现电子化采购的项目</w:t>
      </w:r>
      <w:r>
        <w:rPr>
          <w:spacing w:val="6"/>
        </w:rPr>
        <w:t>，鼓励向</w:t>
      </w:r>
      <w:r>
        <w:rPr>
          <w:spacing w:val="8"/>
        </w:rPr>
        <w:t>供应商免费提供纸质采购文件。确需出售采购文件的，按照</w:t>
      </w:r>
      <w:r>
        <w:rPr>
          <w:spacing w:val="6"/>
        </w:rPr>
        <w:t>弥补制作、邮寄成本的原则确定售价，不得以营利为目的，</w:t>
      </w:r>
      <w:r>
        <w:rPr>
          <w:spacing w:val="5"/>
        </w:rPr>
        <w:t>不得以项目金额作为确定采购文件售价的依据。(责任单位：各预算单位)</w:t>
      </w:r>
    </w:p>
    <w:p w14:paraId="740D97BC">
      <w:pPr>
        <w:pStyle w:val="2"/>
        <w:spacing w:before="226" w:line="337" w:lineRule="auto"/>
        <w:ind w:left="44" w:firstLine="669"/>
      </w:pPr>
      <w:r>
        <w:rPr>
          <w:rFonts w:ascii="宋体" w:hAnsi="宋体" w:eastAsia="宋体" w:cs="宋体"/>
          <w:spacing w:val="7"/>
        </w:rPr>
        <w:t>9.</w:t>
      </w:r>
      <w:r>
        <w:rPr>
          <w:spacing w:val="7"/>
        </w:rPr>
        <w:t>优化保证金缴纳方式。在采购文件中对保证金收取依</w:t>
      </w:r>
      <w:r>
        <w:rPr>
          <w:spacing w:val="8"/>
        </w:rPr>
        <w:t>据、比例、提交方式等内容依法予以明确。</w:t>
      </w:r>
      <w:r>
        <w:rPr>
          <w:spacing w:val="7"/>
        </w:rPr>
        <w:t>不得收取法律规</w:t>
      </w:r>
      <w:r>
        <w:rPr>
          <w:spacing w:val="1"/>
        </w:rPr>
        <w:t>定之外的保证金。允许供应商自主选择以支票、汇票、</w:t>
      </w:r>
      <w:r>
        <w:t>本票、</w:t>
      </w:r>
      <w:r>
        <w:rPr>
          <w:spacing w:val="8"/>
        </w:rPr>
        <w:t>保函等非现金形式缴纳或提交，不得以任何理由拒绝供应商</w:t>
      </w:r>
      <w:bookmarkStart w:id="0" w:name="_GoBack"/>
      <w:bookmarkEnd w:id="0"/>
      <w:r>
        <w:rPr>
          <w:spacing w:val="8"/>
        </w:rPr>
        <w:t>以银行、保险公司等金融机构、担保机构出具的保函作为保</w:t>
      </w:r>
      <w:r>
        <w:rPr>
          <w:spacing w:val="12"/>
        </w:rPr>
        <w:t>证金。(责任单位：各预算单位)</w:t>
      </w:r>
    </w:p>
    <w:p w14:paraId="6574559C">
      <w:pPr>
        <w:pStyle w:val="2"/>
        <w:spacing w:before="3" w:line="344" w:lineRule="auto"/>
        <w:ind w:left="165" w:firstLine="669"/>
      </w:pPr>
      <w:r>
        <w:rPr>
          <w:rFonts w:ascii="宋体" w:hAnsi="宋体" w:eastAsia="宋体" w:cs="宋体"/>
          <w:spacing w:val="13"/>
        </w:rPr>
        <w:t>10.</w:t>
      </w:r>
      <w:r>
        <w:rPr>
          <w:spacing w:val="13"/>
        </w:rPr>
        <w:t>落实预付款制度。落实《关于促进政府采购公平竞</w:t>
      </w:r>
      <w:r>
        <w:rPr>
          <w:spacing w:val="19"/>
        </w:rPr>
        <w:t>争优化营商环境的通知》(财库〔2019〕38</w:t>
      </w:r>
      <w:r>
        <w:rPr>
          <w:spacing w:val="18"/>
        </w:rPr>
        <w:t>号)有关要求，</w:t>
      </w:r>
      <w:r>
        <w:rPr>
          <w:spacing w:val="8"/>
        </w:rPr>
        <w:t>在政府采购合同中约定资金支付的方式、时</w:t>
      </w:r>
      <w:r>
        <w:rPr>
          <w:spacing w:val="7"/>
        </w:rPr>
        <w:t>间和条件，明确</w:t>
      </w:r>
      <w:r>
        <w:rPr>
          <w:spacing w:val="8"/>
        </w:rPr>
        <w:t>逾期支付资金的违约责任。对于有预付安排的合同，鼓励采</w:t>
      </w:r>
      <w:r>
        <w:rPr>
          <w:spacing w:val="7"/>
        </w:rPr>
        <w:t>购人将合同预付款比例提高到30%以上。(责任单位：区财政</w:t>
      </w:r>
      <w:r>
        <w:rPr>
          <w:spacing w:val="15"/>
        </w:rPr>
        <w:t>局、各预算单位)</w:t>
      </w:r>
    </w:p>
    <w:p w14:paraId="20895E4A">
      <w:pPr>
        <w:pStyle w:val="2"/>
        <w:spacing w:before="253" w:line="333" w:lineRule="auto"/>
        <w:ind w:left="165" w:right="5" w:firstLine="669"/>
      </w:pPr>
      <w:r>
        <w:rPr>
          <w:rFonts w:ascii="宋体" w:hAnsi="宋体" w:eastAsia="宋体" w:cs="宋体"/>
          <w:spacing w:val="12"/>
        </w:rPr>
        <w:t>11.</w:t>
      </w:r>
      <w:r>
        <w:rPr>
          <w:spacing w:val="12"/>
        </w:rPr>
        <w:t>推行信用承诺制。鼓励采购人在资格审查环节允许</w:t>
      </w:r>
      <w:r>
        <w:rPr>
          <w:spacing w:val="21"/>
        </w:rPr>
        <w:t>供应商以书面形式提交承诺书，不再提供相关资格证明材</w:t>
      </w:r>
      <w:r>
        <w:rPr>
          <w:spacing w:val="2"/>
        </w:rPr>
        <w:t>料，提高企业参与政府采购活动便利度。(责任单位：区财政</w:t>
      </w:r>
      <w:r>
        <w:rPr>
          <w:spacing w:val="6"/>
        </w:rPr>
        <w:t>局、各预算单位)</w:t>
      </w:r>
    </w:p>
    <w:p w14:paraId="0747EBF3">
      <w:pPr>
        <w:pStyle w:val="2"/>
        <w:spacing w:before="281" w:line="339" w:lineRule="auto"/>
        <w:ind w:left="165" w:firstLine="669"/>
      </w:pPr>
      <w:r>
        <w:rPr>
          <w:rFonts w:ascii="宋体" w:hAnsi="宋体" w:eastAsia="宋体" w:cs="宋体"/>
          <w:spacing w:val="13"/>
        </w:rPr>
        <w:t>12.</w:t>
      </w:r>
      <w:r>
        <w:rPr>
          <w:spacing w:val="13"/>
        </w:rPr>
        <w:t>规范合同管理。严格依据采购文件、投标文件签订</w:t>
      </w:r>
      <w:r>
        <w:rPr>
          <w:spacing w:val="8"/>
        </w:rPr>
        <w:t>合同。不得要求供应商接受不合理的付款期限、方式、条件和违约责任等交易条件。在合同中约定明确、合理的检验或者验收期限，并在该期限内完成检验或者验收，不得无故拖</w:t>
      </w:r>
      <w:r>
        <w:rPr>
          <w:spacing w:val="-2"/>
        </w:rPr>
        <w:t>延检验、验收。(责任单位：各预算单位)</w:t>
      </w:r>
    </w:p>
    <w:p w14:paraId="4E18FB72">
      <w:pPr>
        <w:pStyle w:val="2"/>
        <w:spacing w:before="292" w:line="332" w:lineRule="auto"/>
        <w:ind w:left="165" w:right="15" w:firstLine="669"/>
      </w:pPr>
      <w:r>
        <w:rPr>
          <w:rFonts w:ascii="宋体" w:hAnsi="宋体" w:eastAsia="宋体" w:cs="宋体"/>
          <w:spacing w:val="12"/>
        </w:rPr>
        <w:t>13.</w:t>
      </w:r>
      <w:r>
        <w:rPr>
          <w:spacing w:val="12"/>
        </w:rPr>
        <w:t>开展政策培训。采取集中宣讲、座谈等形式向市场</w:t>
      </w:r>
      <w:r>
        <w:rPr>
          <w:spacing w:val="6"/>
        </w:rPr>
        <w:t>主体宣传政府采购法律和改革新政策。引导企业合法经</w:t>
      </w:r>
      <w:r>
        <w:rPr>
          <w:spacing w:val="5"/>
        </w:rPr>
        <w:t>营，</w:t>
      </w:r>
      <w:r>
        <w:rPr>
          <w:spacing w:val="8"/>
        </w:rPr>
        <w:t>及时回应企业诉求，帮助解决在参与政府采购活动中遇到的</w:t>
      </w:r>
      <w:r>
        <w:rPr>
          <w:spacing w:val="22"/>
        </w:rPr>
        <w:t>问题，增强提升企业满意度。(责任单位：区财政局</w:t>
      </w:r>
    </w:p>
    <w:p w14:paraId="7DD4831C">
      <w:pPr>
        <w:spacing w:before="248" w:line="220" w:lineRule="auto"/>
        <w:ind w:left="759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(三)完善管理模式，强化事中事后监管</w:t>
      </w:r>
    </w:p>
    <w:p w14:paraId="77C3B62C">
      <w:pPr>
        <w:pStyle w:val="2"/>
        <w:spacing w:before="121" w:line="348" w:lineRule="auto"/>
        <w:ind w:left="124" w:right="112" w:firstLine="660"/>
      </w:pPr>
      <w:r>
        <w:rPr>
          <w:rFonts w:ascii="宋体" w:hAnsi="宋体" w:eastAsia="宋体" w:cs="宋体"/>
          <w:spacing w:val="12"/>
        </w:rPr>
        <w:t>14.</w:t>
      </w:r>
      <w:r>
        <w:rPr>
          <w:spacing w:val="12"/>
        </w:rPr>
        <w:t>开展专项整治工作。针对政府采购领域反映突出的</w:t>
      </w:r>
      <w:r>
        <w:rPr>
          <w:spacing w:val="7"/>
        </w:rPr>
        <w:t>采购人设置差别歧视条款、采购代理机构乱收费、供应商提</w:t>
      </w:r>
      <w:r>
        <w:rPr>
          <w:spacing w:val="8"/>
        </w:rPr>
        <w:t>供虚假材料、供应商围标串标等四类违法违规行为持续开展</w:t>
      </w:r>
      <w:r>
        <w:rPr>
          <w:spacing w:val="7"/>
        </w:rPr>
        <w:t>整治，通过开展专项检查收集问题线索，对经查实确存在上</w:t>
      </w:r>
      <w:r>
        <w:t>述问题的，及时依法予以处理处罚。(责任单位：区财政局，</w:t>
      </w:r>
      <w:r>
        <w:rPr>
          <w:spacing w:val="8"/>
        </w:rPr>
        <w:t>配合单位：公安南开分局、区市场监管局等单位)</w:t>
      </w:r>
    </w:p>
    <w:p w14:paraId="03C9ECFC">
      <w:pPr>
        <w:pStyle w:val="2"/>
        <w:spacing w:before="283" w:line="327" w:lineRule="auto"/>
        <w:ind w:left="124" w:right="94" w:firstLine="660"/>
      </w:pPr>
      <w:r>
        <w:rPr>
          <w:rFonts w:ascii="宋体" w:hAnsi="宋体" w:eastAsia="宋体" w:cs="宋体"/>
          <w:spacing w:val="11"/>
        </w:rPr>
        <w:t>15.</w:t>
      </w:r>
      <w:r>
        <w:rPr>
          <w:spacing w:val="11"/>
        </w:rPr>
        <w:t>加强日常监管。对于需求管理、合同</w:t>
      </w:r>
      <w:r>
        <w:rPr>
          <w:spacing w:val="10"/>
        </w:rPr>
        <w:t>管理不规范、</w:t>
      </w:r>
      <w:r>
        <w:rPr>
          <w:spacing w:val="8"/>
        </w:rPr>
        <w:t>投诉事项较多的当事人，探索运用指导督促、工作提示、提</w:t>
      </w:r>
      <w:r>
        <w:rPr>
          <w:spacing w:val="9"/>
        </w:rPr>
        <w:t>醒约谈、书面关注等柔性管理手段进行常态化检</w:t>
      </w:r>
      <w:r>
        <w:rPr>
          <w:spacing w:val="8"/>
        </w:rPr>
        <w:t>查，提高监</w:t>
      </w:r>
      <w:r>
        <w:rPr>
          <w:spacing w:val="22"/>
        </w:rPr>
        <w:t>管质效。(责任单位：区财政局)</w:t>
      </w:r>
    </w:p>
    <w:p w14:paraId="3F2BBD22">
      <w:pPr>
        <w:pStyle w:val="2"/>
        <w:spacing w:before="265" w:line="324" w:lineRule="auto"/>
        <w:ind w:left="124" w:right="25" w:firstLine="660"/>
      </w:pPr>
      <w:r>
        <w:rPr>
          <w:rFonts w:ascii="宋体" w:hAnsi="宋体" w:eastAsia="宋体" w:cs="宋体"/>
          <w:spacing w:val="13"/>
        </w:rPr>
        <w:t>16.</w:t>
      </w:r>
      <w:r>
        <w:rPr>
          <w:spacing w:val="13"/>
        </w:rPr>
        <w:t>优化行政裁决处理。对于因政策理解存在偏差、文</w:t>
      </w:r>
      <w:r>
        <w:rPr>
          <w:spacing w:val="21"/>
        </w:rPr>
        <w:t>件编制不规范等适宜调解范围内的投诉事项积极探索运用</w:t>
      </w:r>
      <w:r>
        <w:rPr>
          <w:spacing w:val="11"/>
        </w:rPr>
        <w:t>调解等非强制性方式化解纠纷矛盾。(责任单位：区财政局</w:t>
      </w:r>
    </w:p>
    <w:p w14:paraId="495C0058">
      <w:pPr>
        <w:pStyle w:val="2"/>
        <w:spacing w:before="248" w:line="337" w:lineRule="auto"/>
        <w:ind w:left="124" w:firstLine="660"/>
      </w:pPr>
      <w:r>
        <w:rPr>
          <w:rFonts w:ascii="宋体" w:hAnsi="宋体" w:eastAsia="宋体" w:cs="宋体"/>
          <w:spacing w:val="12"/>
        </w:rPr>
        <w:t>17.</w:t>
      </w:r>
      <w:r>
        <w:rPr>
          <w:spacing w:val="12"/>
        </w:rPr>
        <w:t>加强协同监管。会同纪检监察等部门就问题线索移</w:t>
      </w:r>
      <w:r>
        <w:rPr>
          <w:spacing w:val="7"/>
        </w:rPr>
        <w:t>送、案件查处等进行协作配合，强化监管合力，严肃查处政</w:t>
      </w:r>
      <w:r>
        <w:rPr>
          <w:spacing w:val="6"/>
        </w:rPr>
        <w:t>府采购领域的腐败问题和不正之风。(责任单位：区财政局、</w:t>
      </w:r>
      <w:r>
        <w:rPr>
          <w:spacing w:val="13"/>
        </w:rPr>
        <w:t>区纪委监委等单位)</w:t>
      </w:r>
    </w:p>
    <w:p w14:paraId="54E9EF74">
      <w:pPr>
        <w:pStyle w:val="2"/>
        <w:spacing w:before="277" w:line="335" w:lineRule="auto"/>
        <w:ind w:left="124" w:firstLine="660"/>
      </w:pPr>
      <w:r>
        <w:rPr>
          <w:rFonts w:ascii="宋体" w:hAnsi="宋体" w:eastAsia="宋体" w:cs="宋体"/>
          <w:spacing w:val="13"/>
        </w:rPr>
        <w:t>18.</w:t>
      </w:r>
      <w:r>
        <w:rPr>
          <w:spacing w:val="13"/>
        </w:rPr>
        <w:t>规范行政执法行为。对及时消除或者减轻违法行为</w:t>
      </w:r>
      <w:r>
        <w:t>危害的“首违不罚”、“轻微免罚”情形，依法免于、减轻、</w:t>
      </w:r>
      <w:r>
        <w:rPr>
          <w:spacing w:val="7"/>
        </w:rPr>
        <w:t>从轻处罚。积极协助市场主体移除已依法履行处罚义务、主</w:t>
      </w:r>
      <w:r>
        <w:rPr>
          <w:spacing w:val="8"/>
        </w:rPr>
        <w:t>动整改失信行为的行政处罚信息，及时消除对供应商的不利</w:t>
      </w:r>
      <w:r>
        <w:rPr>
          <w:spacing w:val="-5"/>
        </w:rPr>
        <w:t>影响。(责任单位：区财政局)</w:t>
      </w:r>
    </w:p>
    <w:p w14:paraId="0303478A">
      <w:pPr>
        <w:spacing w:before="107" w:line="223" w:lineRule="auto"/>
        <w:ind w:left="769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三、保障措施</w:t>
      </w:r>
    </w:p>
    <w:p w14:paraId="7A604867">
      <w:pPr>
        <w:pStyle w:val="2"/>
        <w:spacing w:before="262" w:line="324" w:lineRule="auto"/>
        <w:ind w:left="165" w:firstLine="469"/>
      </w:pPr>
      <w:r>
        <w:rPr>
          <w:rFonts w:ascii="楷体" w:hAnsi="楷体" w:eastAsia="楷体" w:cs="楷体"/>
          <w:spacing w:val="5"/>
        </w:rPr>
        <w:t>(一)加强组织领导。</w:t>
      </w:r>
      <w:r>
        <w:rPr>
          <w:spacing w:val="5"/>
        </w:rPr>
        <w:t>区财政局牵头部署和落实重点任务，</w:t>
      </w:r>
      <w:r>
        <w:rPr>
          <w:spacing w:val="8"/>
        </w:rPr>
        <w:t>围绕营商环境考评工作，补短板强弱项，以评促改，以评促</w:t>
      </w:r>
      <w:r>
        <w:rPr>
          <w:spacing w:val="4"/>
        </w:rPr>
        <w:t>优，不断提升政府采购营商环境。</w:t>
      </w:r>
    </w:p>
    <w:p w14:paraId="42177026">
      <w:pPr>
        <w:pStyle w:val="2"/>
        <w:spacing w:before="270" w:line="320" w:lineRule="auto"/>
        <w:ind w:left="165" w:right="84" w:firstLine="469"/>
      </w:pPr>
      <w:r>
        <w:rPr>
          <w:rFonts w:ascii="楷体" w:hAnsi="楷体" w:eastAsia="楷体" w:cs="楷体"/>
          <w:spacing w:val="14"/>
        </w:rPr>
        <w:t>(二)做好服务保障</w:t>
      </w:r>
      <w:r>
        <w:rPr>
          <w:spacing w:val="14"/>
        </w:rPr>
        <w:t>。区财政局组织开展法律法规和业务</w:t>
      </w:r>
      <w:r>
        <w:rPr>
          <w:spacing w:val="8"/>
        </w:rPr>
        <w:t>培训，优化培训方式，突出培训效果，提高政府采购管理水</w:t>
      </w:r>
      <w:r>
        <w:rPr>
          <w:spacing w:val="4"/>
        </w:rPr>
        <w:t>平和采购效能，增强优化营商环境责任意识。</w:t>
      </w:r>
    </w:p>
    <w:p w14:paraId="5E2D6890">
      <w:pPr>
        <w:pStyle w:val="2"/>
        <w:spacing w:before="236" w:line="337" w:lineRule="auto"/>
        <w:ind w:left="165" w:right="19" w:firstLine="469"/>
      </w:pPr>
      <w:r>
        <w:rPr>
          <w:rFonts w:ascii="楷体" w:hAnsi="楷体" w:eastAsia="楷体" w:cs="楷体"/>
          <w:spacing w:val="14"/>
        </w:rPr>
        <w:t>(三)加强工作推动。</w:t>
      </w:r>
      <w:r>
        <w:rPr>
          <w:spacing w:val="14"/>
        </w:rPr>
        <w:t>各预算单位要高度重视政府采购营</w:t>
      </w:r>
      <w:r>
        <w:rPr>
          <w:spacing w:val="5"/>
        </w:rPr>
        <w:t>商环境工作，结合工作举措明确责任分工，抓好工作落实。</w:t>
      </w:r>
      <w:r>
        <w:rPr>
          <w:spacing w:val="-2"/>
        </w:rPr>
        <w:t>区财政局加强工作指导，及时跟进落实情况，定期组织讲评，</w:t>
      </w:r>
      <w:r>
        <w:rPr>
          <w:spacing w:val="5"/>
        </w:rPr>
        <w:t>通报相关情况，将各项举措落实到位。</w:t>
      </w:r>
    </w:p>
    <w:sectPr>
      <w:pgSz w:w="11900" w:h="16840"/>
      <w:pgMar w:top="2041" w:right="1559" w:bottom="1701" w:left="15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C160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2608</Words>
  <Characters>2650</Characters>
  <TotalTime>2</TotalTime>
  <ScaleCrop>false</ScaleCrop>
  <LinksUpToDate>false</LinksUpToDate>
  <CharactersWithSpaces>2736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2025-04-16T12:17:00Z</dcterms:created>
  <dc:creator>Administrator</dc:creator>
  <cp:lastModifiedBy>zjh゜</cp:lastModifiedBy>
  <dcterms:modified xsi:type="dcterms:W3CDTF">2025-04-16T08:19:05Z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2025-04-16T12:17:47Z</vt:filetime>
  </property>
  <property fmtid="{D5CDD505-2E9C-101B-9397-08002B2CF9AE}" pid="4" name="UsrData">
    <vt:lpwstr>67ff2f67da9aad002095970cwl</vt:lpwstr>
  </property>
  <property fmtid="{D5CDD505-2E9C-101B-9397-08002B2CF9AE}" pid="5" name="KSOTemplateDocerSaveRecord">
    <vt:lpwstr>eyJoZGlkIjoiNmEyNDI2ZmVkZmM3NzA1YmQ3NGRmMWQwZDkwMzUyZDgiLCJ1c2VySWQiOiI0MjA3MzM1NDEifQ==</vt:lpwstr>
  </property>
  <property fmtid="{D5CDD505-2E9C-101B-9397-08002B2CF9AE}" pid="6" name="KSOProductBuildVer">
    <vt:lpwstr>2052-12.1.0.19302</vt:lpwstr>
  </property>
  <property fmtid="{D5CDD505-2E9C-101B-9397-08002B2CF9AE}" pid="7" name="ICV">
    <vt:lpwstr>58391859909F42C1A907807E070D4087_12</vt:lpwstr>
  </property>
</Properties>
</file>