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中国人民政治协商会议天津市南开区委员会</w:t>
      </w:r>
      <w:r>
        <w:rPr>
          <w:rFonts w:hint="eastAsia" w:ascii="仿宋_GB2312" w:hAnsi="仿宋_GB2312" w:eastAsia="仿宋_GB2312" w:cs="仿宋_GB2312"/>
          <w:w w:val="95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w w:val="95"/>
          <w:sz w:val="44"/>
          <w:szCs w:val="44"/>
          <w:lang w:val="en-US" w:eastAsia="zh-CN"/>
        </w:rPr>
        <w:t>3</w:t>
      </w:r>
      <w:r>
        <w:rPr>
          <w:rFonts w:eastAsia="黑体"/>
          <w:w w:val="95"/>
          <w:sz w:val="44"/>
          <w:szCs w:val="44"/>
        </w:rPr>
        <w:t>年一般公共预算“三公”经费</w:t>
      </w: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2.51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0.3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人员增加及</w:t>
      </w:r>
      <w:bookmarkStart w:id="0" w:name="_GoBack"/>
      <w:bookmarkEnd w:id="0"/>
      <w:r>
        <w:rPr>
          <w:rFonts w:hint="eastAsia" w:eastAsia="仿宋_GB2312"/>
          <w:sz w:val="30"/>
          <w:szCs w:val="30"/>
          <w:u w:val="none"/>
          <w:lang w:val="en-US" w:eastAsia="zh-CN"/>
        </w:rPr>
        <w:t>压缩车辆运行维护费标准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。具体情况：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一、202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年预算相比增加（减少）（减少）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万元，主要原因是本部门一般公共预算未安排此项经费。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二、202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0.33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压缩车辆运行维护费标准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万元，主要原因是本部门一般公共预算未安排此项经费。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三、202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0.51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年预算相比增加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0.03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人员增加导致经费增加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jM0OWZlZTkxYjVhNGMwY2Y4ZjY5ODUwZTE5MGEifQ=="/>
  </w:docVars>
  <w:rsids>
    <w:rsidRoot w:val="4B237BAD"/>
    <w:rsid w:val="07653F1D"/>
    <w:rsid w:val="4B23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356</Characters>
  <Lines>0</Lines>
  <Paragraphs>0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2023-02-02T08:44:00Z</dcterms:created>
  <dc:creator>见贤思“祺”焉</dc:creator>
  <cp:lastModifiedBy>见贤思“祺”焉</cp:lastModifiedBy>
  <dcterms:modified xsi:type="dcterms:W3CDTF">2023-02-02T08:58:29Z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C0596E70135A4391BA16F7F5C1CC770D</vt:lpwstr>
  </property>
</Properties>
</file>