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67" w:rsidRDefault="009A2367">
      <w:pPr>
        <w:jc w:val="center"/>
        <w:rPr>
          <w:rFonts w:ascii="宋体" w:hAnsi="宋体" w:cs="宋体"/>
          <w:b/>
          <w:bCs/>
          <w:sz w:val="52"/>
          <w:szCs w:val="52"/>
        </w:rPr>
      </w:pPr>
      <w:bookmarkStart w:id="0" w:name="_Toc390680642"/>
    </w:p>
    <w:p w:rsidR="009A2367" w:rsidRDefault="009A2367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9A2367" w:rsidRDefault="002E6062">
      <w:pPr>
        <w:spacing w:line="360" w:lineRule="auto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南开区部门整体支出绩效自评报告</w:t>
      </w:r>
      <w:bookmarkEnd w:id="0"/>
    </w:p>
    <w:p w:rsidR="009A2367" w:rsidRDefault="002E6062">
      <w:pPr>
        <w:snapToGrid w:val="0"/>
        <w:spacing w:line="360" w:lineRule="auto"/>
        <w:jc w:val="center"/>
        <w:rPr>
          <w:rFonts w:ascii="仿宋" w:eastAsia="仿宋" w:hAnsi="仿宋"/>
          <w:color w:val="000000"/>
          <w:sz w:val="44"/>
          <w:szCs w:val="44"/>
        </w:rPr>
      </w:pPr>
      <w:r>
        <w:rPr>
          <w:rFonts w:ascii="仿宋" w:eastAsia="仿宋" w:hAnsi="仿宋" w:hint="eastAsia"/>
          <w:color w:val="000000"/>
          <w:sz w:val="44"/>
          <w:szCs w:val="44"/>
        </w:rPr>
        <w:t>（</w:t>
      </w:r>
      <w:r>
        <w:rPr>
          <w:rFonts w:ascii="仿宋" w:eastAsia="仿宋" w:hAnsi="仿宋"/>
          <w:color w:val="000000"/>
          <w:sz w:val="44"/>
          <w:szCs w:val="44"/>
        </w:rPr>
        <w:t>2019年</w:t>
      </w:r>
      <w:r>
        <w:rPr>
          <w:rFonts w:ascii="仿宋" w:eastAsia="仿宋" w:hAnsi="仿宋" w:hint="eastAsia"/>
          <w:color w:val="000000"/>
          <w:sz w:val="44"/>
          <w:szCs w:val="44"/>
        </w:rPr>
        <w:t>度）</w:t>
      </w:r>
    </w:p>
    <w:p w:rsidR="009A2367" w:rsidRDefault="009A2367">
      <w:pPr>
        <w:snapToGrid w:val="0"/>
        <w:spacing w:line="360" w:lineRule="auto"/>
        <w:ind w:firstLine="600"/>
        <w:jc w:val="center"/>
        <w:rPr>
          <w:rFonts w:ascii="仿宋_GB2312"/>
          <w:sz w:val="30"/>
        </w:rPr>
      </w:pPr>
    </w:p>
    <w:p w:rsidR="009A2367" w:rsidRDefault="009A2367">
      <w:pPr>
        <w:snapToGrid w:val="0"/>
        <w:spacing w:line="360" w:lineRule="auto"/>
        <w:ind w:firstLine="600"/>
        <w:jc w:val="center"/>
        <w:rPr>
          <w:rFonts w:ascii="仿宋_GB2312"/>
          <w:sz w:val="30"/>
        </w:rPr>
      </w:pPr>
    </w:p>
    <w:p w:rsidR="009A2367" w:rsidRDefault="009A2367">
      <w:pPr>
        <w:snapToGrid w:val="0"/>
        <w:spacing w:line="360" w:lineRule="auto"/>
        <w:ind w:firstLine="600"/>
        <w:jc w:val="center"/>
        <w:rPr>
          <w:rFonts w:ascii="仿宋_GB2312"/>
          <w:sz w:val="30"/>
        </w:rPr>
      </w:pPr>
    </w:p>
    <w:p w:rsidR="009A2367" w:rsidRDefault="009A2367">
      <w:pPr>
        <w:snapToGrid w:val="0"/>
        <w:spacing w:line="360" w:lineRule="auto"/>
        <w:ind w:firstLine="600"/>
        <w:jc w:val="center"/>
        <w:rPr>
          <w:rFonts w:ascii="仿宋_GB2312"/>
          <w:sz w:val="30"/>
        </w:rPr>
      </w:pPr>
    </w:p>
    <w:p w:rsidR="009A2367" w:rsidRDefault="009A2367">
      <w:pPr>
        <w:snapToGrid w:val="0"/>
        <w:spacing w:line="360" w:lineRule="auto"/>
        <w:rPr>
          <w:rFonts w:ascii="仿宋_GB2312"/>
          <w:sz w:val="30"/>
        </w:rPr>
      </w:pPr>
    </w:p>
    <w:p w:rsidR="009A2367" w:rsidRDefault="009A2367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</w:p>
    <w:p w:rsidR="009A2367" w:rsidRDefault="002E6062" w:rsidP="00F45571">
      <w:pPr>
        <w:snapToGrid w:val="0"/>
        <w:spacing w:line="360" w:lineRule="auto"/>
        <w:ind w:firstLineChars="265" w:firstLine="851"/>
        <w:rPr>
          <w:rFonts w:ascii="仿宋" w:eastAsia="仿宋" w:hAnsi="仿宋" w:cs="宋体"/>
          <w:b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sz w:val="32"/>
          <w:szCs w:val="32"/>
        </w:rPr>
        <w:t xml:space="preserve">部 门 名 称   </w:t>
      </w:r>
      <w:r>
        <w:rPr>
          <w:rFonts w:ascii="仿宋" w:eastAsia="仿宋" w:hAnsi="仿宋" w:cs="宋体"/>
          <w:b/>
          <w:sz w:val="32"/>
          <w:szCs w:val="32"/>
          <w:u w:val="single"/>
        </w:rPr>
        <w:t>中国人民政治协商会议天津市南开区委员会</w:t>
      </w:r>
    </w:p>
    <w:p w:rsidR="009A2367" w:rsidRDefault="009A2367">
      <w:pPr>
        <w:jc w:val="center"/>
        <w:rPr>
          <w:rFonts w:ascii="仿宋_GB2312" w:hAnsi="宋体" w:cs="宋体"/>
          <w:sz w:val="32"/>
          <w:szCs w:val="32"/>
        </w:rPr>
      </w:pPr>
    </w:p>
    <w:p w:rsidR="009A2367" w:rsidRDefault="009A2367">
      <w:pPr>
        <w:jc w:val="center"/>
        <w:rPr>
          <w:rFonts w:ascii="黑体" w:eastAsia="黑体"/>
          <w:sz w:val="36"/>
          <w:szCs w:val="36"/>
        </w:rPr>
      </w:pPr>
    </w:p>
    <w:p w:rsidR="009A2367" w:rsidRDefault="009A2367">
      <w:pPr>
        <w:jc w:val="center"/>
        <w:rPr>
          <w:rFonts w:ascii="仿宋" w:eastAsia="仿宋" w:hAnsi="仿宋" w:cs="黑体"/>
          <w:sz w:val="36"/>
          <w:szCs w:val="36"/>
        </w:rPr>
      </w:pPr>
    </w:p>
    <w:p w:rsidR="009A2367" w:rsidRDefault="002E6062">
      <w:pPr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填报日期：</w:t>
      </w:r>
      <w:r>
        <w:rPr>
          <w:rFonts w:ascii="仿宋" w:eastAsia="仿宋" w:hAnsi="仿宋"/>
          <w:color w:val="000000"/>
          <w:sz w:val="24"/>
          <w:u w:val="single"/>
        </w:rPr>
        <w:t>2020</w:t>
      </w:r>
      <w:r>
        <w:rPr>
          <w:rFonts w:ascii="仿宋" w:eastAsia="仿宋" w:hAnsi="仿宋" w:hint="eastAsia"/>
          <w:color w:val="000000"/>
          <w:sz w:val="24"/>
        </w:rPr>
        <w:t xml:space="preserve">年 </w:t>
      </w:r>
      <w:r>
        <w:rPr>
          <w:rFonts w:ascii="仿宋" w:eastAsia="仿宋" w:hAnsi="仿宋"/>
          <w:color w:val="000000"/>
          <w:sz w:val="24"/>
          <w:u w:val="single"/>
        </w:rPr>
        <w:t>04</w:t>
      </w:r>
      <w:r>
        <w:rPr>
          <w:rFonts w:ascii="仿宋" w:eastAsia="仿宋" w:hAnsi="仿宋" w:hint="eastAsia"/>
          <w:color w:val="000000"/>
          <w:sz w:val="24"/>
        </w:rPr>
        <w:t xml:space="preserve"> 月 </w:t>
      </w:r>
      <w:r>
        <w:rPr>
          <w:rFonts w:ascii="仿宋" w:eastAsia="仿宋" w:hAnsi="仿宋"/>
          <w:color w:val="000000"/>
          <w:sz w:val="24"/>
          <w:u w:val="single"/>
        </w:rPr>
        <w:t>07</w:t>
      </w:r>
      <w:r>
        <w:rPr>
          <w:rFonts w:ascii="仿宋" w:eastAsia="仿宋" w:hAnsi="仿宋" w:hint="eastAsia"/>
          <w:color w:val="000000"/>
          <w:sz w:val="24"/>
        </w:rPr>
        <w:t xml:space="preserve"> 日</w:t>
      </w:r>
    </w:p>
    <w:p w:rsidR="009A2367" w:rsidRDefault="009A2367">
      <w:pPr>
        <w:jc w:val="center"/>
        <w:rPr>
          <w:rFonts w:ascii="宋体" w:hAnsi="宋体" w:cs="宋体"/>
          <w:b/>
          <w:sz w:val="44"/>
          <w:szCs w:val="44"/>
        </w:rPr>
        <w:sectPr w:rsidR="009A23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9A2367" w:rsidRDefault="002E6062">
      <w:pPr>
        <w:spacing w:line="360" w:lineRule="auto"/>
        <w:ind w:firstLine="640"/>
        <w:outlineLvl w:val="0"/>
        <w:rPr>
          <w:rFonts w:ascii="黑体" w:eastAsia="黑体" w:hAnsi="黑体" w:cs="仿宋_GB2312"/>
          <w:b/>
          <w:bCs/>
          <w:sz w:val="32"/>
          <w:szCs w:val="32"/>
        </w:rPr>
      </w:pPr>
      <w:bookmarkStart w:id="1" w:name="_Toc456965826"/>
      <w:r>
        <w:rPr>
          <w:rFonts w:ascii="黑体" w:eastAsia="黑体" w:hAnsi="黑体" w:cs="仿宋_GB2312" w:hint="eastAsia"/>
          <w:b/>
          <w:bCs/>
          <w:sz w:val="32"/>
          <w:szCs w:val="32"/>
        </w:rPr>
        <w:lastRenderedPageBreak/>
        <w:t>一、部门概述</w:t>
      </w:r>
      <w:bookmarkEnd w:id="1"/>
    </w:p>
    <w:p w:rsidR="009A2367" w:rsidRDefault="002E6062" w:rsidP="00F45571">
      <w:pPr>
        <w:spacing w:line="360" w:lineRule="auto"/>
        <w:ind w:firstLineChars="200" w:firstLine="643"/>
        <w:outlineLvl w:val="1"/>
        <w:rPr>
          <w:rFonts w:ascii="楷体_GB2312" w:eastAsia="楷体_GB2312" w:hAnsi="仿宋" w:cs="仿宋_GB2312"/>
          <w:b/>
          <w:sz w:val="32"/>
          <w:szCs w:val="32"/>
        </w:rPr>
      </w:pPr>
      <w:bookmarkStart w:id="2" w:name="_Toc456965827"/>
      <w:r>
        <w:rPr>
          <w:rFonts w:ascii="楷体_GB2312" w:eastAsia="楷体_GB2312" w:hAnsi="仿宋" w:cs="仿宋_GB2312" w:hint="eastAsia"/>
          <w:b/>
          <w:sz w:val="32"/>
          <w:szCs w:val="32"/>
        </w:rPr>
        <w:t>（一）部门职能</w:t>
      </w:r>
      <w:bookmarkEnd w:id="2"/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政协主要职能是政治协商、民主监督、参政议政。</w:t>
      </w:r>
    </w:p>
    <w:p w:rsidR="009A2367" w:rsidRDefault="002E6062" w:rsidP="00F45571">
      <w:pPr>
        <w:spacing w:line="360" w:lineRule="auto"/>
        <w:ind w:firstLineChars="200" w:firstLine="643"/>
        <w:outlineLvl w:val="1"/>
        <w:rPr>
          <w:rFonts w:ascii="楷体_GB2312" w:eastAsia="楷体_GB2312" w:hAnsi="仿宋" w:cs="仿宋_GB2312"/>
          <w:b/>
          <w:sz w:val="32"/>
          <w:szCs w:val="32"/>
        </w:rPr>
      </w:pPr>
      <w:bookmarkStart w:id="3" w:name="_Toc456965828"/>
      <w:r>
        <w:rPr>
          <w:rFonts w:ascii="楷体_GB2312" w:eastAsia="楷体_GB2312" w:hAnsi="仿宋" w:cs="仿宋_GB2312" w:hint="eastAsia"/>
          <w:b/>
          <w:sz w:val="32"/>
          <w:szCs w:val="32"/>
        </w:rPr>
        <w:t>（二）机构设置</w:t>
      </w:r>
      <w:bookmarkEnd w:id="3"/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机关内设办公室、专委一办、专委二办、研究室、提案委、委联室等6个处室</w:t>
      </w:r>
    </w:p>
    <w:p w:rsidR="009A2367" w:rsidRDefault="002E6062" w:rsidP="00F45571">
      <w:pPr>
        <w:spacing w:line="360" w:lineRule="auto"/>
        <w:ind w:firstLineChars="200" w:firstLine="643"/>
        <w:outlineLvl w:val="1"/>
        <w:rPr>
          <w:rFonts w:ascii="楷体_GB2312" w:eastAsia="楷体_GB2312" w:hAnsi="仿宋" w:cs="仿宋_GB2312"/>
          <w:b/>
          <w:sz w:val="32"/>
          <w:szCs w:val="32"/>
        </w:rPr>
      </w:pPr>
      <w:bookmarkStart w:id="4" w:name="_Toc456965829"/>
      <w:r>
        <w:rPr>
          <w:rFonts w:ascii="楷体_GB2312" w:eastAsia="楷体_GB2312" w:hAnsi="仿宋" w:cs="仿宋_GB2312" w:hint="eastAsia"/>
          <w:b/>
          <w:sz w:val="32"/>
          <w:szCs w:val="32"/>
        </w:rPr>
        <w:t>（三）</w:t>
      </w:r>
      <w:bookmarkEnd w:id="4"/>
      <w:r>
        <w:rPr>
          <w:rFonts w:ascii="楷体_GB2312" w:eastAsia="楷体_GB2312" w:hAnsi="仿宋" w:cs="仿宋_GB2312" w:hint="eastAsia"/>
          <w:b/>
          <w:sz w:val="32"/>
          <w:szCs w:val="32"/>
        </w:rPr>
        <w:t>事业发展规划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政协坚持以习近平新时代中国特色社会主义思想为指导，全面贯彻中共十九大精神，坚决维护核心，全面聚焦中心，广泛凝聚人心，始终不忘初心，按照区委提出的工作要求，切实履行政治协商、民主监督、参政议政职能，为加快推进“五个现代化天津”在南开实施，推动我区实现高质量发展作出新贡献。</w:t>
      </w:r>
    </w:p>
    <w:p w:rsidR="009A2367" w:rsidRDefault="002E6062" w:rsidP="00F45571">
      <w:pPr>
        <w:spacing w:line="360" w:lineRule="auto"/>
        <w:ind w:firstLineChars="200" w:firstLine="643"/>
        <w:outlineLvl w:val="1"/>
        <w:rPr>
          <w:rFonts w:ascii="楷体_GB2312" w:eastAsia="楷体_GB2312" w:hAnsi="仿宋" w:cs="仿宋_GB2312"/>
          <w:b/>
          <w:sz w:val="32"/>
          <w:szCs w:val="32"/>
        </w:rPr>
      </w:pPr>
      <w:bookmarkStart w:id="5" w:name="_Toc456965830"/>
      <w:r>
        <w:rPr>
          <w:rFonts w:ascii="楷体_GB2312" w:eastAsia="楷体_GB2312" w:hAnsi="仿宋" w:cs="仿宋_GB2312" w:hint="eastAsia"/>
          <w:b/>
          <w:sz w:val="32"/>
          <w:szCs w:val="32"/>
        </w:rPr>
        <w:t>（四）</w:t>
      </w:r>
      <w:bookmarkEnd w:id="5"/>
      <w:r>
        <w:rPr>
          <w:rFonts w:ascii="楷体_GB2312" w:eastAsia="楷体_GB2312" w:hAnsi="仿宋" w:cs="仿宋_GB2312" w:hint="eastAsia"/>
          <w:b/>
          <w:sz w:val="32"/>
          <w:szCs w:val="32"/>
        </w:rPr>
        <w:t>年度预决算情况和项目立项依据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bookmarkStart w:id="6" w:name="_Toc456965831"/>
      <w:r>
        <w:rPr>
          <w:rFonts w:ascii="仿宋" w:eastAsia="仿宋" w:hAnsi="仿宋" w:hint="eastAsia"/>
          <w:sz w:val="32"/>
          <w:szCs w:val="32"/>
        </w:rPr>
        <w:t>2019年初预算安排1053.02万元，年度执行中追加预算169.96万元，主要调增内容为：职业年金、创文奖励、绩效奖励政协会议等追加经费。</w:t>
      </w:r>
      <w:r>
        <w:rPr>
          <w:rFonts w:ascii="仿宋" w:eastAsia="仿宋" w:hAnsi="仿宋" w:hint="eastAsia"/>
          <w:sz w:val="32"/>
          <w:szCs w:val="32"/>
        </w:rPr>
        <w:br/>
        <w:t xml:space="preserve">    2019年收入合计1188.75万元，比2018年的1348.71万元下降11.86%，绝对值减少159.96万元，其中：财政拨</w:t>
      </w:r>
      <w:r>
        <w:rPr>
          <w:rFonts w:ascii="仿宋" w:eastAsia="仿宋" w:hAnsi="仿宋" w:hint="eastAsia"/>
          <w:sz w:val="32"/>
          <w:szCs w:val="32"/>
        </w:rPr>
        <w:lastRenderedPageBreak/>
        <w:t>款收入1188.51万元，比2018年的1348.51万元下降11.86%，绝对值减少160万元；其他收入0.24万元，与2018年的0.19万元增长5%。</w:t>
      </w:r>
      <w:r>
        <w:rPr>
          <w:rFonts w:ascii="仿宋" w:eastAsia="仿宋" w:hAnsi="仿宋" w:hint="eastAsia"/>
          <w:sz w:val="32"/>
          <w:szCs w:val="32"/>
        </w:rPr>
        <w:br/>
        <w:t>2019年财政预算支出1163.47万元，比2018年的1281.32万元下降9.20%，绝对值减少117.85万元，预算完成率97.89%。</w:t>
      </w:r>
    </w:p>
    <w:p w:rsidR="009A2367" w:rsidRDefault="002E6062" w:rsidP="00F45571">
      <w:pPr>
        <w:spacing w:line="360" w:lineRule="auto"/>
        <w:ind w:firstLineChars="200" w:firstLine="643"/>
        <w:outlineLvl w:val="1"/>
        <w:rPr>
          <w:rFonts w:ascii="楷体_GB2312" w:eastAsia="楷体_GB2312" w:hAnsi="仿宋" w:cs="仿宋_GB2312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（五）部门资产情况</w:t>
      </w:r>
      <w:bookmarkEnd w:id="6"/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2019年资产合计149.29万元，其中资金116.39万元，占总资产77.96%；固定资产净值32.90万元，占总资产22.04%。</w:t>
      </w:r>
    </w:p>
    <w:p w:rsidR="009A2367" w:rsidRDefault="002E6062" w:rsidP="00F45571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黑体" w:eastAsia="黑体" w:hAnsi="黑体" w:cs="Times New Roman"/>
          <w:b/>
          <w:color w:val="auto"/>
          <w:kern w:val="2"/>
          <w:sz w:val="32"/>
          <w:szCs w:val="32"/>
        </w:rPr>
      </w:pPr>
      <w:bookmarkStart w:id="7" w:name="_Toc268005759"/>
      <w:bookmarkStart w:id="8" w:name="_Toc263686375"/>
      <w:bookmarkStart w:id="9" w:name="_Toc456965846"/>
      <w:r>
        <w:rPr>
          <w:rFonts w:ascii="黑体" w:eastAsia="黑体" w:hAnsi="黑体" w:cs="Times New Roman" w:hint="eastAsia"/>
          <w:b/>
          <w:color w:val="auto"/>
          <w:kern w:val="2"/>
          <w:sz w:val="32"/>
          <w:szCs w:val="32"/>
        </w:rPr>
        <w:t>二、部门</w:t>
      </w:r>
      <w:bookmarkEnd w:id="7"/>
      <w:r>
        <w:rPr>
          <w:rFonts w:ascii="黑体" w:eastAsia="黑体" w:hAnsi="黑体" w:cs="Times New Roman" w:hint="eastAsia"/>
          <w:b/>
          <w:color w:val="auto"/>
          <w:kern w:val="2"/>
          <w:sz w:val="32"/>
          <w:szCs w:val="32"/>
        </w:rPr>
        <w:t>绩效目标设置及决策情况</w:t>
      </w:r>
    </w:p>
    <w:p w:rsidR="009A2367" w:rsidRDefault="002E6062" w:rsidP="00F45571">
      <w:pPr>
        <w:spacing w:line="360" w:lineRule="auto"/>
        <w:ind w:firstLineChars="200" w:firstLine="643"/>
        <w:outlineLvl w:val="1"/>
        <w:rPr>
          <w:rFonts w:ascii="楷体_GB2312" w:eastAsia="楷体_GB2312" w:hAnsi="仿宋" w:cs="仿宋_GB2312"/>
          <w:b/>
          <w:sz w:val="32"/>
          <w:szCs w:val="32"/>
        </w:rPr>
      </w:pPr>
      <w:bookmarkStart w:id="10" w:name="_Toc268005760"/>
      <w:r>
        <w:rPr>
          <w:rFonts w:ascii="楷体_GB2312" w:eastAsia="楷体_GB2312" w:hAnsi="仿宋" w:cs="仿宋_GB2312" w:hint="eastAsia"/>
          <w:b/>
          <w:sz w:val="32"/>
          <w:szCs w:val="32"/>
        </w:rPr>
        <w:t>（一）</w:t>
      </w:r>
      <w:bookmarkEnd w:id="10"/>
      <w:r>
        <w:rPr>
          <w:rFonts w:ascii="楷体_GB2312" w:eastAsia="楷体_GB2312" w:hAnsi="仿宋" w:cs="仿宋_GB2312" w:hint="eastAsia"/>
          <w:b/>
          <w:sz w:val="32"/>
          <w:szCs w:val="32"/>
        </w:rPr>
        <w:t>部门绩效目标和绩效指标设定情况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bookmarkStart w:id="11" w:name="_Toc268005761"/>
      <w:r>
        <w:rPr>
          <w:rFonts w:ascii="仿宋" w:eastAsia="仿宋" w:hAnsi="仿宋" w:hint="eastAsia"/>
          <w:sz w:val="32"/>
          <w:szCs w:val="32"/>
        </w:rPr>
        <w:t>根据政协工作职能，确定2019年部门绩效目标，包括：政协组织全体委员学习培训一次，提高委员履职能力；组织委员紧密围绕区委决策部署，开展调查研究，献计献策，为领导提供决策参考；组织委员做好提案工作，加强考核监督，提高提案质量。以上目标具有合理性。</w:t>
      </w:r>
    </w:p>
    <w:p w:rsidR="009A2367" w:rsidRDefault="002E6062" w:rsidP="00F45571">
      <w:pPr>
        <w:spacing w:line="360" w:lineRule="auto"/>
        <w:ind w:firstLineChars="200" w:firstLine="643"/>
        <w:outlineLvl w:val="1"/>
        <w:rPr>
          <w:rFonts w:ascii="楷体_GB2312" w:eastAsia="楷体_GB2312" w:hAnsi="仿宋" w:cs="仿宋_GB2312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（二）</w:t>
      </w:r>
      <w:bookmarkEnd w:id="11"/>
      <w:r>
        <w:rPr>
          <w:rFonts w:ascii="楷体_GB2312" w:eastAsia="楷体_GB2312" w:hAnsi="仿宋" w:cs="仿宋_GB2312" w:hint="eastAsia"/>
          <w:b/>
          <w:sz w:val="32"/>
          <w:szCs w:val="32"/>
        </w:rPr>
        <w:t>部门决策情况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1.决策依据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部门预算根据政协职能安排，包括：保障单位日常运行</w:t>
      </w:r>
      <w:r>
        <w:rPr>
          <w:rFonts w:ascii="仿宋" w:eastAsia="仿宋" w:hAnsi="仿宋" w:hint="eastAsia"/>
          <w:sz w:val="32"/>
          <w:szCs w:val="32"/>
        </w:rPr>
        <w:lastRenderedPageBreak/>
        <w:t>经费，组织委员学习培训，开展调查研究，做好提案工作，召开年度政协会议。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2.决策流程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协部门决策（资金决策）的基本流程是年初制定资金使用计划，特别是三重一大项目，必报党组。党组会议通过后，每月根据工作计划，安排资金需求，根据资金使用数量进行审批后使用。资金使用流程明确，责任清晰，根据审批权限进行资金审批，可以做到风险可控。</w:t>
      </w:r>
    </w:p>
    <w:p w:rsidR="009A2367" w:rsidRDefault="002E6062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三、部门预算、预算执行及管理情况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（一）部门预算编制情况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初预算安排1053.02万元，包括人员经费、公用经费，项目经费。编制依据根据当年工作计划，除人员经费按实际情况外，办公经费均按照区统一标准人均8000元编制预算，项目经费安排年初全体委员会议20万元，委员视察经费5万元，专委会活动经费5万元。三公经费预算7.17万元，其中：公车运行费6.12万元、公务接待费1.05万元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（二）部门预算执行情况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color w:val="000000"/>
          <w:sz w:val="24"/>
        </w:rPr>
      </w:pPr>
      <w:bookmarkStart w:id="12" w:name="_Toc263686390"/>
      <w:bookmarkStart w:id="13" w:name="_Toc268005765"/>
      <w:bookmarkStart w:id="14" w:name="_Toc171765188"/>
      <w:bookmarkStart w:id="15" w:name="_Toc171764863"/>
      <w:bookmarkStart w:id="16" w:name="_Toc171772698"/>
      <w:bookmarkEnd w:id="8"/>
      <w:r>
        <w:rPr>
          <w:rFonts w:ascii="仿宋" w:eastAsia="仿宋" w:hAnsi="仿宋" w:hint="eastAsia"/>
          <w:sz w:val="32"/>
          <w:szCs w:val="32"/>
        </w:rPr>
        <w:t>2019年初预算安排1053.02万元，年度执行中追加预算169.96万元，主要调增内容为：职业年金、创文奖励、绩效奖励及政协会议经费。2019年财政预算支出1163.47万元，</w:t>
      </w:r>
      <w:r>
        <w:rPr>
          <w:rFonts w:ascii="仿宋" w:eastAsia="仿宋" w:hAnsi="仿宋" w:hint="eastAsia"/>
          <w:sz w:val="32"/>
          <w:szCs w:val="32"/>
        </w:rPr>
        <w:lastRenderedPageBreak/>
        <w:t>预算完成率97.89%。2019年年末结转结余111.41万元。“三公”经费支出总额为3.78万元，完成预算7.17万元的52.72%，其中：公车运行维护费3.39万元，公务接待0.39万元。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（三）部门预算的管理情况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区财政局下达预算，本部门对预算进行分解，保证人员经费支出，压缩公用经费支出，确保项目支出用途准确。建立了财务制度，报销制度，及资金使用制度等。按照区财政局统一要求，按时保质在财政网站上进行预算公开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（四）部门财务管理情况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严格执行财经纪律和财务制度，非常重视财政资金的使用和管理，使用资金要有预算，提前安排资金，所有资金支出必须经主管财务领导同意，大额资金支出要经党组会议讨论同意方可使用。财务信息管理方面，每月编制财务报表，每季度做财务状况分析报告，及时提供政协领导。</w:t>
      </w:r>
    </w:p>
    <w:p w:rsidR="009A2367" w:rsidRDefault="002E6062" w:rsidP="00F45571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黑体" w:eastAsia="黑体" w:hAnsi="黑体" w:cs="Times New Roman"/>
          <w:b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auto"/>
          <w:kern w:val="2"/>
          <w:sz w:val="32"/>
          <w:szCs w:val="32"/>
        </w:rPr>
        <w:t>四、部门管理情况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（一）制度建设情况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本部门已建立内控制度，包括：预算管理制度、财务管理制度、经费支出管理制度、政府采购管理制度、银行账户管理制度、公务卡管理制度、固定资产管理制度、合同管理</w:t>
      </w:r>
      <w:r>
        <w:rPr>
          <w:rFonts w:ascii="仿宋" w:eastAsia="仿宋" w:hAnsi="仿宋" w:hint="eastAsia"/>
          <w:sz w:val="32"/>
          <w:szCs w:val="32"/>
        </w:rPr>
        <w:lastRenderedPageBreak/>
        <w:t>制度、印章管理制度、会计档案管理制度等。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（二）部门项目管理情况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协每年召开次会。会议召开前，向区委汇报会议准备情况，按照会议规模制定会议资金使用计划（包括会议召开租用的地点、制作会议的材料、印制的会议文件），报党组审批。政协每年组织委员开展视察和调研工作。根据计划，各专门委员会制定工作计划，提出资金使用计划，由办公室进行汇总报党组会，根据计划，安排各专委会的资金使用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（三）部门资产管理情况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本部门2019年末固定资产原值178.95万元，其中：通用类资产83.82万元、车辆资产62.80万元、家具用具类资产32.33万元。2019年累计折旧146.05万元，固定资产净值32.90万元。所有固定资产均专人管理，专人负责。</w:t>
      </w:r>
    </w:p>
    <w:p w:rsidR="009A2367" w:rsidRDefault="002E6062">
      <w:pPr>
        <w:spacing w:line="360" w:lineRule="auto"/>
        <w:ind w:firstLine="64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五、部门绩效实现情况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（一）部门产出目标完成情况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2019年组织开展议政性常委会会议2次、专题或对口协商会议6次、双周协商座谈会6次。完成常委会调研课题2个、专委会与党派界别联合调研课题4个、完成专项调研课题6个。全年开展专项视察活动23 次，提出意见建议35条。组织召开各类协商议政会议 39次，收集委员意见建议    </w:t>
      </w:r>
      <w:r>
        <w:rPr>
          <w:rFonts w:ascii="仿宋" w:eastAsia="仿宋" w:hAnsi="仿宋" w:hint="eastAsia"/>
          <w:sz w:val="32"/>
          <w:szCs w:val="32"/>
        </w:rPr>
        <w:lastRenderedPageBreak/>
        <w:t>221篇。编辑印发《南开春秋史话》4期，编辑印发南开历史文化丛书《非物质文化遗产》。加强与媒体联系，先后刊载文章和稿件 45 篇。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（二）部门效果目标实现情况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完成区党政领导领办重点提案10件，报送涉及民生问题社情民意反映27条。全年共立案提案147件，全部办复完毕。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（三）绩效目标未完成情况及原因分析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均完成绩效目标</w:t>
      </w:r>
    </w:p>
    <w:p w:rsidR="009A2367" w:rsidRDefault="002E6062" w:rsidP="00F45571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黑体" w:eastAsia="黑体" w:hAnsi="黑体" w:cs="Times New Roman"/>
          <w:b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auto"/>
          <w:kern w:val="2"/>
          <w:sz w:val="32"/>
          <w:szCs w:val="32"/>
        </w:rPr>
        <w:t>六、主要经验、存在问题和建议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（一）主要经验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一是年初制定资金使用计划，二是每月做好资金使用安排，三是按季度进行资金使用分析。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（二）存在问题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2018年追加预算专项资金“编制《南开历史文化系列丛书》经费”33.7万元为跨年度项目，因出版社刊号未申请批复，故预算累计执行率仅为50%；二是办公设备购置预算安排5万元，因减少开支，压缩经费，完成预算2.06万元，预算执行率为41.2%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lastRenderedPageBreak/>
        <w:t>（三）后续工作计划</w:t>
      </w:r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在新的年度，需要做好计划的准备工作，加强事前、事中沟通，做好项目安排，确保100%完成预算执行。</w:t>
      </w:r>
    </w:p>
    <w:p w:rsidR="009A2367" w:rsidRDefault="002E6062">
      <w:pPr>
        <w:spacing w:line="360" w:lineRule="auto"/>
        <w:ind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（四）相关建议</w:t>
      </w:r>
    </w:p>
    <w:bookmarkEnd w:id="12"/>
    <w:bookmarkEnd w:id="13"/>
    <w:bookmarkEnd w:id="14"/>
    <w:bookmarkEnd w:id="15"/>
    <w:bookmarkEnd w:id="16"/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</w:p>
    <w:p w:rsidR="009A2367" w:rsidRDefault="002E6062" w:rsidP="00F45571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auto"/>
          <w:kern w:val="2"/>
          <w:sz w:val="32"/>
          <w:szCs w:val="32"/>
        </w:rPr>
        <w:t>七、其他需要说明的问题</w:t>
      </w:r>
      <w:bookmarkEnd w:id="9"/>
    </w:p>
    <w:p w:rsidR="009A2367" w:rsidRDefault="002E60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</w:p>
    <w:p w:rsidR="009A2367" w:rsidRDefault="002E6062">
      <w:pPr>
        <w:rPr>
          <w:rFonts w:ascii="仿宋_GB2312" w:eastAsia="仿宋_GB2312"/>
          <w:b/>
          <w:bCs/>
          <w:sz w:val="28"/>
          <w:szCs w:val="36"/>
        </w:rPr>
      </w:pPr>
      <w:r>
        <w:rPr>
          <w:rFonts w:ascii="仿宋_GB2312" w:eastAsia="仿宋_GB2312" w:hint="eastAsia"/>
          <w:b/>
          <w:bCs/>
          <w:sz w:val="28"/>
          <w:szCs w:val="36"/>
        </w:rPr>
        <w:t>附件1 年度主要任务完成情况</w:t>
      </w:r>
    </w:p>
    <w:tbl>
      <w:tblPr>
        <w:tblW w:w="7748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1651"/>
        <w:gridCol w:w="2085"/>
        <w:gridCol w:w="594"/>
        <w:gridCol w:w="480"/>
        <w:gridCol w:w="525"/>
        <w:gridCol w:w="594"/>
        <w:gridCol w:w="541"/>
        <w:gridCol w:w="503"/>
      </w:tblGrid>
      <w:tr w:rsidR="009A2367">
        <w:trPr>
          <w:trHeight w:val="745"/>
        </w:trPr>
        <w:tc>
          <w:tcPr>
            <w:tcW w:w="775" w:type="dxa"/>
            <w:vMerge w:val="restart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任务编号</w:t>
            </w:r>
          </w:p>
        </w:tc>
        <w:tc>
          <w:tcPr>
            <w:tcW w:w="1651" w:type="dxa"/>
            <w:vMerge w:val="restart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任务概述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完成情况</w:t>
            </w:r>
          </w:p>
        </w:tc>
        <w:tc>
          <w:tcPr>
            <w:tcW w:w="1599" w:type="dxa"/>
            <w:gridSpan w:val="3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预算数（万元）</w:t>
            </w:r>
          </w:p>
        </w:tc>
        <w:tc>
          <w:tcPr>
            <w:tcW w:w="1637" w:type="dxa"/>
            <w:gridSpan w:val="3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执行数（万元）</w:t>
            </w:r>
          </w:p>
        </w:tc>
      </w:tr>
      <w:tr w:rsidR="009A2367">
        <w:trPr>
          <w:trHeight w:val="745"/>
        </w:trPr>
        <w:tc>
          <w:tcPr>
            <w:tcW w:w="775" w:type="dxa"/>
            <w:vMerge/>
            <w:shd w:val="clear" w:color="auto" w:fill="FFFFFF"/>
            <w:vAlign w:val="center"/>
          </w:tcPr>
          <w:p w:rsidR="009A2367" w:rsidRDefault="009A2367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FFFFFF"/>
            <w:vAlign w:val="center"/>
          </w:tcPr>
          <w:p w:rsidR="009A2367" w:rsidRDefault="009A2367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vMerge/>
            <w:shd w:val="clear" w:color="auto" w:fill="FFFFFF"/>
            <w:vAlign w:val="center"/>
          </w:tcPr>
          <w:p w:rsidR="009A2367" w:rsidRDefault="009A2367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财政   拨款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其他   资金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财政   拨款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其他  资金</w:t>
            </w:r>
          </w:p>
        </w:tc>
      </w:tr>
      <w:tr w:rsidR="009A2367">
        <w:tc>
          <w:tcPr>
            <w:tcW w:w="77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textAlignment w:val="center"/>
            </w:pPr>
            <w:r>
              <w:t>1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委员活动经费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组织委员开展活动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5.0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5.0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5.0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5.0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</w:tr>
      <w:tr w:rsidR="009A2367">
        <w:tc>
          <w:tcPr>
            <w:tcW w:w="77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textAlignment w:val="center"/>
            </w:pPr>
            <w:r>
              <w:t>2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政协会议费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召开政协委员工作会议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20.0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20.0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40.78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40.78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</w:tr>
      <w:tr w:rsidR="009A2367">
        <w:tc>
          <w:tcPr>
            <w:tcW w:w="77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textAlignment w:val="center"/>
            </w:pPr>
            <w:r>
              <w:t>3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专委会活动经费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各专委开展委员活动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5.0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5.0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5.0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5.0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</w:tr>
      <w:tr w:rsidR="009A2367">
        <w:tc>
          <w:tcPr>
            <w:tcW w:w="77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textAlignment w:val="center"/>
            </w:pPr>
            <w:r>
              <w:t>4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办公设备购置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完成</w:t>
            </w:r>
            <w:r>
              <w:t>2.06</w:t>
            </w:r>
            <w:r>
              <w:t>万元。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5.0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5.0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2.06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2.06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</w:tr>
      <w:tr w:rsidR="009A2367">
        <w:tc>
          <w:tcPr>
            <w:tcW w:w="77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textAlignment w:val="center"/>
            </w:pPr>
            <w:r>
              <w:t>6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保障机构运行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完成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1018.02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1018.02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1110.86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1110.62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</w:pPr>
            <w:r>
              <w:t>0.24</w:t>
            </w:r>
          </w:p>
        </w:tc>
      </w:tr>
      <w:tr w:rsidR="009A2367">
        <w:trPr>
          <w:trHeight w:val="745"/>
        </w:trPr>
        <w:tc>
          <w:tcPr>
            <w:tcW w:w="4511" w:type="dxa"/>
            <w:gridSpan w:val="3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金额合计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1053.02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1053.02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1163.70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1163.46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0.24</w:t>
            </w:r>
          </w:p>
        </w:tc>
      </w:tr>
    </w:tbl>
    <w:p w:rsidR="009A2367" w:rsidRDefault="009A2367">
      <w:pPr>
        <w:rPr>
          <w:rFonts w:ascii="仿宋_GB2312" w:eastAsia="仿宋_GB2312"/>
        </w:rPr>
      </w:pPr>
    </w:p>
    <w:p w:rsidR="009A2367" w:rsidRDefault="009A2367">
      <w:pPr>
        <w:rPr>
          <w:rFonts w:ascii="仿宋_GB2312" w:eastAsia="仿宋_GB2312"/>
        </w:rPr>
      </w:pPr>
    </w:p>
    <w:p w:rsidR="009A2367" w:rsidRDefault="002E6062">
      <w:pPr>
        <w:rPr>
          <w:rFonts w:ascii="仿宋_GB2312" w:eastAsia="仿宋_GB2312"/>
          <w:b/>
          <w:bCs/>
          <w:sz w:val="28"/>
          <w:szCs w:val="36"/>
        </w:rPr>
      </w:pPr>
      <w:r>
        <w:rPr>
          <w:rFonts w:ascii="仿宋_GB2312" w:eastAsia="仿宋_GB2312" w:hint="eastAsia"/>
          <w:b/>
          <w:bCs/>
          <w:sz w:val="28"/>
          <w:szCs w:val="36"/>
        </w:rPr>
        <w:t>附件2 年度绩效目标完成情况</w:t>
      </w:r>
    </w:p>
    <w:p w:rsidR="009A2367" w:rsidRDefault="009A2367">
      <w:pPr>
        <w:rPr>
          <w:rFonts w:ascii="仿宋_GB2312" w:eastAsia="仿宋_GB2312"/>
        </w:rPr>
      </w:pPr>
    </w:p>
    <w:tbl>
      <w:tblPr>
        <w:tblW w:w="9265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5"/>
        <w:gridCol w:w="5100"/>
      </w:tblGrid>
      <w:tr w:rsidR="009A2367">
        <w:trPr>
          <w:trHeight w:val="745"/>
        </w:trPr>
        <w:tc>
          <w:tcPr>
            <w:tcW w:w="4165" w:type="dxa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预期目标</w:t>
            </w:r>
          </w:p>
        </w:tc>
        <w:tc>
          <w:tcPr>
            <w:tcW w:w="5100" w:type="dxa"/>
            <w:shd w:val="clear" w:color="auto" w:fill="FFFFFF"/>
            <w:vAlign w:val="center"/>
          </w:tcPr>
          <w:p w:rsidR="009A2367" w:rsidRDefault="002E6062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实际完成情况</w:t>
            </w:r>
          </w:p>
        </w:tc>
      </w:tr>
      <w:tr w:rsidR="009A2367">
        <w:tc>
          <w:tcPr>
            <w:tcW w:w="416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  <w:textAlignment w:val="center"/>
            </w:pPr>
            <w:r>
              <w:t>政治协商方面，主动聚焦经济社会发展，增强协商议政时效，助推</w:t>
            </w:r>
            <w:r>
              <w:t>“</w:t>
            </w:r>
            <w:r>
              <w:t>五个现代化天津</w:t>
            </w:r>
            <w:r>
              <w:t>”</w:t>
            </w:r>
            <w:r>
              <w:t>在南开实施，</w:t>
            </w:r>
            <w:r>
              <w:t>2019</w:t>
            </w:r>
            <w:r>
              <w:t>年拟组织开展议政性常委会会议</w:t>
            </w:r>
            <w:r>
              <w:t>2</w:t>
            </w:r>
            <w:r>
              <w:t>次、专题或对口协商</w:t>
            </w:r>
            <w:r>
              <w:t>6</w:t>
            </w:r>
            <w:r>
              <w:t>次、双周协商座谈会</w:t>
            </w:r>
            <w:r>
              <w:t>6</w:t>
            </w:r>
            <w:r>
              <w:t>次，完成常委会调研课题</w:t>
            </w:r>
            <w:r>
              <w:t>2</w:t>
            </w:r>
            <w:r>
              <w:t>个、专委会与党派界别联合调研课题</w:t>
            </w:r>
            <w:r>
              <w:t>4</w:t>
            </w:r>
            <w:r>
              <w:t>个，调研结果和政策建议被采纳数大于</w:t>
            </w:r>
            <w:r>
              <w:t>6</w:t>
            </w:r>
            <w:r>
              <w:t>个。</w:t>
            </w:r>
          </w:p>
        </w:tc>
        <w:tc>
          <w:tcPr>
            <w:tcW w:w="510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政治协商方面，</w:t>
            </w:r>
            <w:r>
              <w:t>2019</w:t>
            </w:r>
            <w:r>
              <w:t>年组织开展议政性常委会会议</w:t>
            </w:r>
            <w:r>
              <w:t>2</w:t>
            </w:r>
            <w:r>
              <w:t>次、专题及对口协商</w:t>
            </w:r>
            <w:r>
              <w:t>6</w:t>
            </w:r>
            <w:r>
              <w:t>次、双周协商座谈会</w:t>
            </w:r>
            <w:r>
              <w:t>6</w:t>
            </w:r>
            <w:r>
              <w:t>次，完成常委会调研课题</w:t>
            </w:r>
            <w:r>
              <w:t>2</w:t>
            </w:r>
            <w:r>
              <w:t>个、专委会与党派界别联合调研课题</w:t>
            </w:r>
            <w:r>
              <w:t>4</w:t>
            </w:r>
            <w:r>
              <w:t>个，调研结果和政策建议被采纳数</w:t>
            </w:r>
            <w:r>
              <w:t>12</w:t>
            </w:r>
            <w:r>
              <w:t>个。</w:t>
            </w:r>
          </w:p>
        </w:tc>
      </w:tr>
      <w:tr w:rsidR="009A2367">
        <w:tc>
          <w:tcPr>
            <w:tcW w:w="416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  <w:textAlignment w:val="center"/>
            </w:pPr>
            <w:r>
              <w:t>民主监督方面，加大民主监督力度，开展</w:t>
            </w:r>
            <w:r>
              <w:t>1</w:t>
            </w:r>
            <w:r>
              <w:t>次以上常委视察、专委会专项视察，重点围绕党和国家、市委、区委重大方针政策及部署开展监督性视察，推进提案监督，推动有关部门吸纳民意、解决问题、改进工作，做好社情民意和特邀监督工作，推动教育、医疗、社会保障等民生问题得到及时妥善解决。其中拟完成提案办理协商次数大于</w:t>
            </w:r>
            <w:r>
              <w:t>8</w:t>
            </w:r>
            <w:r>
              <w:t>次、社情民意信息报送次数大于</w:t>
            </w:r>
            <w:r>
              <w:t>8</w:t>
            </w:r>
            <w:r>
              <w:t>次，为有关部门吸纳民意、解决问题、改进工作提供依据。</w:t>
            </w:r>
          </w:p>
        </w:tc>
        <w:tc>
          <w:tcPr>
            <w:tcW w:w="510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民主监督方面，开展了</w:t>
            </w:r>
            <w:r>
              <w:t>1</w:t>
            </w:r>
            <w:r>
              <w:t>次常委视察，</w:t>
            </w:r>
            <w:r>
              <w:t xml:space="preserve"> 22</w:t>
            </w:r>
            <w:r>
              <w:t>次专委会专项视察，重点围绕党和国家、市委、区委重大方针政策及部署开展监督性视察，推进提案监督，推动有关部门吸纳民意、解决问题、改进工作，做好社情民意和特邀监督工作，推动教育、医疗、社会保障等民生问题得到及时妥善解决。完成提案办理协商</w:t>
            </w:r>
            <w:r>
              <w:t>12</w:t>
            </w:r>
            <w:r>
              <w:t>次、社情民意信息报送</w:t>
            </w:r>
            <w:r>
              <w:t>27</w:t>
            </w:r>
            <w:r>
              <w:t>条，为有关部门吸纳民意、解决问题、改进工作提供依据。</w:t>
            </w:r>
          </w:p>
        </w:tc>
      </w:tr>
      <w:tr w:rsidR="009A2367">
        <w:tc>
          <w:tcPr>
            <w:tcW w:w="416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  <w:textAlignment w:val="center"/>
            </w:pPr>
            <w:r>
              <w:t>参政议政方面，重点就加快</w:t>
            </w:r>
            <w:r>
              <w:t>“</w:t>
            </w:r>
            <w:r>
              <w:t>创新南开</w:t>
            </w:r>
            <w:r>
              <w:t>”</w:t>
            </w:r>
            <w:r>
              <w:t>建设、营造优质高效发展环境等方面开展调研座谈，以社区、企业为平台，以问题和需求为导向，协助党委政府做好协调关系、化解矛盾、理顺情绪工作，围绕促进发展，积极议政献言，围绕促进和谐，积极献计出力，其中拟召开调研座谈</w:t>
            </w:r>
            <w:r>
              <w:t>12</w:t>
            </w:r>
            <w:r>
              <w:t>次以上，完成重点课题和专项调研</w:t>
            </w:r>
            <w:r>
              <w:t>6</w:t>
            </w:r>
            <w:r>
              <w:t>个以上，年度内完成至少</w:t>
            </w:r>
            <w:r>
              <w:t>12</w:t>
            </w:r>
            <w:r>
              <w:t>个提案及建议。</w:t>
            </w:r>
          </w:p>
        </w:tc>
        <w:tc>
          <w:tcPr>
            <w:tcW w:w="510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参政议政方面，重点就加快</w:t>
            </w:r>
            <w:r>
              <w:t>“</w:t>
            </w:r>
            <w:r>
              <w:t>创新南开</w:t>
            </w:r>
            <w:r>
              <w:t>”</w:t>
            </w:r>
            <w:r>
              <w:t>建设、营造优质高效发展环境等方面开展调研座谈，以社区、企业为平台，以问题和需求为导向，协助党委政府做好协调关系、化解矛盾、理顺情绪工作，围绕促进发展，积极议政献言，围绕促进和谐，积极献计出力，其中召开协商议政会议</w:t>
            </w:r>
            <w:r>
              <w:t>39</w:t>
            </w:r>
            <w:r>
              <w:t>次，完成重点课题和专项调研</w:t>
            </w:r>
            <w:r>
              <w:t>8</w:t>
            </w:r>
            <w:r>
              <w:t>个，年度内完成</w:t>
            </w:r>
            <w:r>
              <w:t>147</w:t>
            </w:r>
            <w:r>
              <w:t>个提案及建议。</w:t>
            </w:r>
          </w:p>
        </w:tc>
      </w:tr>
      <w:tr w:rsidR="009A2367">
        <w:tc>
          <w:tcPr>
            <w:tcW w:w="416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  <w:textAlignment w:val="center"/>
            </w:pPr>
            <w:r>
              <w:lastRenderedPageBreak/>
              <w:t>综合政务管理方面，</w:t>
            </w:r>
            <w:r>
              <w:t>2019</w:t>
            </w:r>
            <w:r>
              <w:t>年围绕全区经济发展视察调研，组织常委视察</w:t>
            </w:r>
            <w:r>
              <w:t>1</w:t>
            </w:r>
            <w:r>
              <w:t>次，专委会和界别委员视察</w:t>
            </w:r>
            <w:r>
              <w:t>6</w:t>
            </w:r>
            <w:r>
              <w:t>次。加强文化联谊工作和宣传交流工作，在政协网站、公众号平台等新媒体上，发布</w:t>
            </w:r>
            <w:r>
              <w:t>12</w:t>
            </w:r>
            <w:r>
              <w:t>篇以上宣传报道，出版</w:t>
            </w:r>
            <w:r>
              <w:t>4</w:t>
            </w:r>
            <w:r>
              <w:t>期《南开春秋史话》。</w:t>
            </w:r>
          </w:p>
        </w:tc>
        <w:tc>
          <w:tcPr>
            <w:tcW w:w="510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综合政务管理方面，</w:t>
            </w:r>
            <w:r>
              <w:t>2019</w:t>
            </w:r>
            <w:r>
              <w:t>年围绕全区经济发展视察调研，组织常委视察</w:t>
            </w:r>
            <w:r>
              <w:t>1</w:t>
            </w:r>
            <w:r>
              <w:t>次，专委会和界别委员视察</w:t>
            </w:r>
            <w:r>
              <w:t>22</w:t>
            </w:r>
            <w:r>
              <w:t>次。加强文化联谊工作和宣传交流工作，在政协网站、公众号平台等新媒体上，发布</w:t>
            </w:r>
            <w:r>
              <w:t>45</w:t>
            </w:r>
            <w:r>
              <w:t>篇宣传报道，出版</w:t>
            </w:r>
            <w:r>
              <w:t>4</w:t>
            </w:r>
            <w:r>
              <w:t>期《南开春秋史话》。</w:t>
            </w:r>
          </w:p>
        </w:tc>
      </w:tr>
      <w:tr w:rsidR="009A2367">
        <w:tc>
          <w:tcPr>
            <w:tcW w:w="4165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  <w:textAlignment w:val="center"/>
            </w:pPr>
            <w:r>
              <w:t>保障区政协正常运转，工作人员满意度</w:t>
            </w:r>
            <w:r>
              <w:t>≥95%</w:t>
            </w:r>
          </w:p>
        </w:tc>
        <w:tc>
          <w:tcPr>
            <w:tcW w:w="5100" w:type="dxa"/>
            <w:shd w:val="clear" w:color="auto" w:fill="FFFFFF"/>
            <w:vAlign w:val="center"/>
          </w:tcPr>
          <w:p w:rsidR="009A2367" w:rsidRDefault="002E6062">
            <w:pPr>
              <w:spacing w:line="312" w:lineRule="auto"/>
              <w:jc w:val="left"/>
            </w:pPr>
            <w:r>
              <w:t>保障区政协正常运转，工作人员满意度</w:t>
            </w:r>
            <w:r>
              <w:t>≥95%</w:t>
            </w:r>
          </w:p>
        </w:tc>
      </w:tr>
    </w:tbl>
    <w:p w:rsidR="009A2367" w:rsidRDefault="009A2367">
      <w:pPr>
        <w:rPr>
          <w:rFonts w:ascii="仿宋_GB2312" w:eastAsia="仿宋_GB2312"/>
        </w:rPr>
      </w:pPr>
    </w:p>
    <w:p w:rsidR="009A2367" w:rsidRDefault="009A236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A2367" w:rsidSect="009A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FC" w:rsidRDefault="00F562FC" w:rsidP="009A2367">
      <w:pPr>
        <w:spacing w:after="0" w:line="240" w:lineRule="auto"/>
      </w:pPr>
      <w:r>
        <w:separator/>
      </w:r>
    </w:p>
  </w:endnote>
  <w:endnote w:type="continuationSeparator" w:id="1">
    <w:p w:rsidR="00F562FC" w:rsidRDefault="00F562FC" w:rsidP="009A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67" w:rsidRDefault="00A634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60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367" w:rsidRDefault="009A236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67" w:rsidRDefault="00A634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60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141A">
      <w:rPr>
        <w:rStyle w:val="a7"/>
        <w:noProof/>
      </w:rPr>
      <w:t>1</w:t>
    </w:r>
    <w:r>
      <w:rPr>
        <w:rStyle w:val="a7"/>
      </w:rPr>
      <w:fldChar w:fldCharType="end"/>
    </w:r>
  </w:p>
  <w:p w:rsidR="009A2367" w:rsidRDefault="009A236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67" w:rsidRDefault="009A236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FC" w:rsidRDefault="00F562FC" w:rsidP="009A2367">
      <w:pPr>
        <w:spacing w:after="0" w:line="240" w:lineRule="auto"/>
      </w:pPr>
      <w:r>
        <w:separator/>
      </w:r>
    </w:p>
  </w:footnote>
  <w:footnote w:type="continuationSeparator" w:id="1">
    <w:p w:rsidR="00F562FC" w:rsidRDefault="00F562FC" w:rsidP="009A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67" w:rsidRDefault="009A236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67" w:rsidRDefault="009A2367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67" w:rsidRDefault="009A2367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725D"/>
    <w:rsid w:val="000366C0"/>
    <w:rsid w:val="00096ED1"/>
    <w:rsid w:val="000B725D"/>
    <w:rsid w:val="0012248D"/>
    <w:rsid w:val="001E0BA7"/>
    <w:rsid w:val="0027141A"/>
    <w:rsid w:val="002E6062"/>
    <w:rsid w:val="00492B98"/>
    <w:rsid w:val="005D1600"/>
    <w:rsid w:val="005E5035"/>
    <w:rsid w:val="00726F06"/>
    <w:rsid w:val="007D0D57"/>
    <w:rsid w:val="0080545B"/>
    <w:rsid w:val="009A2367"/>
    <w:rsid w:val="009B4E28"/>
    <w:rsid w:val="00A63439"/>
    <w:rsid w:val="00BA19A1"/>
    <w:rsid w:val="00C747B2"/>
    <w:rsid w:val="00D04AD3"/>
    <w:rsid w:val="00D06262"/>
    <w:rsid w:val="00D616BA"/>
    <w:rsid w:val="00E027E0"/>
    <w:rsid w:val="00E26FF1"/>
    <w:rsid w:val="00E27E43"/>
    <w:rsid w:val="00F11CD0"/>
    <w:rsid w:val="00F324E1"/>
    <w:rsid w:val="00F45571"/>
    <w:rsid w:val="00F562FC"/>
    <w:rsid w:val="00FB216A"/>
    <w:rsid w:val="090507D3"/>
    <w:rsid w:val="21B631A5"/>
    <w:rsid w:val="21C06A17"/>
    <w:rsid w:val="268B30A3"/>
    <w:rsid w:val="2EF91626"/>
    <w:rsid w:val="30375BD2"/>
    <w:rsid w:val="3F936BB3"/>
    <w:rsid w:val="4DCF2866"/>
    <w:rsid w:val="681E750B"/>
    <w:rsid w:val="68817EE4"/>
    <w:rsid w:val="7658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67"/>
    <w:pPr>
      <w:widowControl w:val="0"/>
      <w:jc w:val="both"/>
    </w:pPr>
    <w:rPr>
      <w:rFonts w:asciiTheme="minorHAnsi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9A2367"/>
    <w:pPr>
      <w:ind w:left="284" w:firstLineChars="200" w:firstLine="200"/>
    </w:pPr>
    <w:rPr>
      <w:rFonts w:ascii="楷体_GB2312" w:eastAsia="楷体_GB2312" w:hAnsi="Times New Roman" w:cs="Times New Roman"/>
      <w:sz w:val="8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9A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A236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page number"/>
    <w:basedOn w:val="a0"/>
    <w:uiPriority w:val="99"/>
    <w:unhideWhenUsed/>
    <w:qFormat/>
    <w:rsid w:val="009A2367"/>
  </w:style>
  <w:style w:type="character" w:customStyle="1" w:styleId="Char1">
    <w:name w:val="页眉 Char"/>
    <w:basedOn w:val="a0"/>
    <w:link w:val="a5"/>
    <w:uiPriority w:val="99"/>
    <w:qFormat/>
    <w:rsid w:val="009A23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2367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9A2367"/>
    <w:rPr>
      <w:rFonts w:ascii="楷体_GB2312" w:eastAsia="楷体_GB2312" w:hAnsi="Times New Roman" w:cs="Times New Roman"/>
      <w:sz w:val="8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643</Words>
  <Characters>3669</Characters>
  <Application>Microsoft Office Word</Application>
  <DocSecurity>0</DocSecurity>
  <Lines>30</Lines>
  <Paragraphs>8</Paragraphs>
  <ScaleCrop>false</ScaleCrop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PC</cp:lastModifiedBy>
  <cp:revision>2</cp:revision>
  <dcterms:created xsi:type="dcterms:W3CDTF">2020-04-07T09:15:00Z</dcterms:created>
  <dcterms:modified xsi:type="dcterms:W3CDTF">2020-04-07T09:15:00Z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