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eastAsia="黑体"/>
          <w:w w:val="95"/>
          <w:sz w:val="44"/>
          <w:szCs w:val="44"/>
          <w:lang w:val="en-US" w:eastAsia="zh-CN"/>
        </w:rPr>
      </w:pPr>
      <w:r>
        <w:rPr>
          <w:rFonts w:hint="eastAsia" w:eastAsia="黑体"/>
          <w:w w:val="95"/>
          <w:sz w:val="44"/>
          <w:szCs w:val="44"/>
          <w:lang w:val="en-US" w:eastAsia="zh-CN"/>
        </w:rPr>
        <w:t>天津市南开区人民代表大会常务委员会</w:t>
      </w:r>
    </w:p>
    <w:p>
      <w:pPr>
        <w:spacing w:line="600" w:lineRule="exact"/>
        <w:jc w:val="center"/>
        <w:rPr>
          <w:rFonts w:eastAsia="黑体"/>
          <w:w w:val="95"/>
          <w:sz w:val="44"/>
          <w:szCs w:val="44"/>
        </w:rPr>
      </w:pPr>
      <w:r>
        <w:rPr>
          <w:rFonts w:hint="eastAsia" w:ascii="仿宋_GB2312" w:hAnsi="仿宋_GB2312" w:eastAsia="仿宋_GB2312" w:cs="仿宋_GB2312"/>
          <w:w w:val="95"/>
          <w:sz w:val="44"/>
          <w:szCs w:val="44"/>
        </w:rPr>
        <w:t>202</w:t>
      </w:r>
      <w:r>
        <w:rPr>
          <w:rFonts w:hint="eastAsia" w:ascii="仿宋_GB2312" w:hAnsi="仿宋_GB2312" w:eastAsia="仿宋_GB2312" w:cs="仿宋_GB2312"/>
          <w:w w:val="95"/>
          <w:sz w:val="44"/>
          <w:szCs w:val="44"/>
          <w:lang w:val="en-US" w:eastAsia="zh-CN"/>
        </w:rPr>
        <w:t>3</w:t>
      </w:r>
      <w:r>
        <w:rPr>
          <w:rFonts w:eastAsia="黑体"/>
          <w:w w:val="95"/>
          <w:sz w:val="44"/>
          <w:szCs w:val="44"/>
        </w:rPr>
        <w:t>年部门预算编制说明</w:t>
      </w:r>
    </w:p>
    <w:p>
      <w:pPr>
        <w:spacing w:line="600" w:lineRule="exact"/>
        <w:jc w:val="center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一、部门主要职责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监督、选举任免、重大事项决定</w:t>
      </w:r>
      <w:r>
        <w:rPr>
          <w:rFonts w:eastAsia="仿宋_GB2312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二、部门机构设置情况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lang w:eastAsia="zh-CN"/>
        </w:rPr>
        <w:t>天津市南开区人民代表大会常务委员会</w:t>
      </w:r>
      <w:r>
        <w:rPr>
          <w:rFonts w:eastAsia="仿宋_GB2312"/>
          <w:sz w:val="30"/>
          <w:szCs w:val="30"/>
        </w:rPr>
        <w:t>内设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7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eastAsia="仿宋_GB2312"/>
          <w:sz w:val="30"/>
          <w:szCs w:val="30"/>
        </w:rPr>
        <w:t>个职能</w:t>
      </w:r>
      <w:r>
        <w:rPr>
          <w:rFonts w:hint="eastAsia" w:eastAsia="仿宋_GB2312"/>
          <w:sz w:val="30"/>
          <w:szCs w:val="30"/>
        </w:rPr>
        <w:t>科</w:t>
      </w:r>
      <w:r>
        <w:rPr>
          <w:rFonts w:eastAsia="仿宋_GB2312"/>
          <w:sz w:val="30"/>
          <w:szCs w:val="30"/>
        </w:rPr>
        <w:t>室；下辖</w:t>
      </w:r>
      <w:r>
        <w:rPr>
          <w:rFonts w:eastAsia="仿宋_GB2312"/>
          <w:sz w:val="30"/>
          <w:szCs w:val="30"/>
          <w:u w:val="single"/>
        </w:rPr>
        <w:t xml:space="preserve"> 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个预算单位</w:t>
      </w:r>
      <w:r>
        <w:rPr>
          <w:rFonts w:hint="eastAsia" w:eastAsia="仿宋_GB2312"/>
          <w:sz w:val="30"/>
          <w:szCs w:val="30"/>
        </w:rPr>
        <w:t>。本部门实有人员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77</w:t>
      </w:r>
      <w:r>
        <w:rPr>
          <w:rFonts w:hint="eastAsia" w:eastAsia="仿宋_GB2312"/>
          <w:sz w:val="30"/>
          <w:szCs w:val="30"/>
        </w:rPr>
        <w:t>人，其中在职人员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31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人，离休人员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人，退休人员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46</w:t>
      </w:r>
      <w:r>
        <w:rPr>
          <w:rFonts w:hint="eastAsia"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</w:rPr>
        <w:t>人。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三、部门预算草案编制情况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（一）部门收入预算情况说明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部门收入预算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1171.84</w:t>
      </w:r>
      <w:r>
        <w:rPr>
          <w:rFonts w:eastAsia="仿宋_GB2312"/>
          <w:sz w:val="30"/>
          <w:szCs w:val="30"/>
        </w:rPr>
        <w:t>万元，</w:t>
      </w:r>
      <w:r>
        <w:rPr>
          <w:rFonts w:hint="eastAsia" w:ascii="仿宋_GB2312" w:hAnsi="仿宋_GB2312" w:eastAsia="仿宋_GB2312" w:cs="仿宋_GB2312"/>
          <w:sz w:val="30"/>
          <w:szCs w:val="30"/>
        </w:rPr>
        <w:t>与202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年预算相比增加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177.51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万元。其中，本年收入合计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1171.84</w:t>
      </w:r>
      <w:r>
        <w:rPr>
          <w:rFonts w:hint="eastAsia" w:ascii="仿宋_GB2312" w:hAnsi="仿宋_GB2312" w:eastAsia="仿宋_GB2312" w:cs="仿宋_GB2312"/>
          <w:sz w:val="30"/>
          <w:szCs w:val="30"/>
        </w:rPr>
        <w:t>万元，与202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eastAsia="仿宋_GB2312"/>
          <w:sz w:val="30"/>
          <w:szCs w:val="30"/>
        </w:rPr>
        <w:t>年预算相比增加</w:t>
      </w:r>
    </w:p>
    <w:p>
      <w:pPr>
        <w:spacing w:line="600" w:lineRule="exact"/>
        <w:ind w:firstLine="150" w:firstLineChars="5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  <w:u w:val="single"/>
          <w:lang w:val="en-US" w:eastAsia="zh-CN"/>
        </w:rPr>
        <w:t>177.51</w:t>
      </w:r>
      <w:r>
        <w:rPr>
          <w:rFonts w:eastAsia="仿宋_GB2312"/>
          <w:sz w:val="30"/>
          <w:szCs w:val="30"/>
        </w:rPr>
        <w:t>万元，包括</w:t>
      </w:r>
      <w:r>
        <w:rPr>
          <w:rFonts w:hint="eastAsia" w:eastAsia="仿宋_GB2312"/>
          <w:sz w:val="30"/>
          <w:szCs w:val="30"/>
        </w:rPr>
        <w:t>一般公共预算拨款收入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1171.84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政府性基金预算拨款收入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国有资本经营预算拨款收入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非同级财政拨款预算收入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、财政专户管理资金收入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、事业收入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事业单位经营收入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上级补助收入</w:t>
      </w:r>
      <w:r>
        <w:rPr>
          <w:rFonts w:hint="eastAsia" w:eastAsia="仿宋_GB2312"/>
          <w:sz w:val="30"/>
          <w:szCs w:val="30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万元、</w:t>
      </w:r>
      <w:r>
        <w:rPr>
          <w:rFonts w:hint="eastAsia" w:eastAsia="仿宋_GB2312"/>
          <w:sz w:val="30"/>
          <w:szCs w:val="30"/>
        </w:rPr>
        <w:t>附属单位上缴收入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、其他收入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万元；上年结转结余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0</w:t>
      </w:r>
      <w:r>
        <w:rPr>
          <w:rFonts w:eastAsia="仿宋_GB2312"/>
          <w:sz w:val="30"/>
          <w:szCs w:val="30"/>
        </w:rPr>
        <w:t>万元。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（二）部门支出预算情况说明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部门支出预算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1171.84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</w:t>
      </w:r>
      <w:r>
        <w:rPr>
          <w:rFonts w:hint="eastAsia" w:ascii="仿宋_GB2312" w:hAnsi="仿宋_GB2312" w:eastAsia="仿宋_GB2312" w:cs="仿宋_GB2312"/>
          <w:sz w:val="30"/>
          <w:szCs w:val="30"/>
        </w:rPr>
        <w:t>与202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</w:rPr>
        <w:t>年预算相比</w:t>
      </w:r>
      <w:r>
        <w:rPr>
          <w:rFonts w:eastAsia="仿宋_GB2312"/>
          <w:sz w:val="30"/>
          <w:szCs w:val="30"/>
        </w:rPr>
        <w:t>增加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177.51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sz w:val="30"/>
          <w:szCs w:val="30"/>
        </w:rPr>
        <w:t>万元，其中：</w:t>
      </w:r>
    </w:p>
    <w:p>
      <w:pPr>
        <w:spacing w:line="60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一般公共服务支出</w:t>
      </w:r>
      <w:r>
        <w:rPr>
          <w:rFonts w:eastAsia="仿宋_GB2312"/>
          <w:sz w:val="30"/>
          <w:szCs w:val="30"/>
        </w:rPr>
        <w:t>科目支出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980.65</w:t>
      </w:r>
      <w:r>
        <w:rPr>
          <w:rFonts w:eastAsia="仿宋_GB2312"/>
          <w:sz w:val="30"/>
          <w:szCs w:val="30"/>
        </w:rPr>
        <w:t>万元，主要</w:t>
      </w:r>
      <w:r>
        <w:rPr>
          <w:rFonts w:hint="eastAsia" w:ascii="仿宋_GB2312" w:eastAsia="仿宋_GB2312"/>
          <w:sz w:val="30"/>
          <w:szCs w:val="30"/>
        </w:rPr>
        <w:t>用于人员经费和公用经费</w:t>
      </w:r>
      <w:r>
        <w:rPr>
          <w:rFonts w:hint="eastAsia" w:ascii="仿宋_GB2312" w:hAnsi="宋体" w:eastAsia="仿宋_GB2312" w:cs="宋体"/>
          <w:color w:val="333333"/>
          <w:sz w:val="30"/>
          <w:szCs w:val="30"/>
        </w:rPr>
        <w:t>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社会保障和就业支出</w:t>
      </w:r>
      <w:r>
        <w:rPr>
          <w:rFonts w:eastAsia="仿宋_GB2312"/>
          <w:sz w:val="30"/>
          <w:szCs w:val="30"/>
        </w:rPr>
        <w:t>科目支出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125.71</w:t>
      </w:r>
      <w:r>
        <w:rPr>
          <w:rFonts w:eastAsia="仿宋_GB2312"/>
          <w:sz w:val="30"/>
          <w:szCs w:val="30"/>
        </w:rPr>
        <w:t>万元，主要用于</w:t>
      </w:r>
      <w:r>
        <w:rPr>
          <w:rFonts w:hint="eastAsia" w:ascii="仿宋_GB2312" w:eastAsia="仿宋_GB2312"/>
          <w:sz w:val="30"/>
          <w:szCs w:val="30"/>
        </w:rPr>
        <w:t>基本养老保险缴费</w:t>
      </w:r>
      <w:r>
        <w:rPr>
          <w:rFonts w:hint="eastAsia" w:ascii="仿宋_GB2312" w:eastAsia="仿宋_GB2312"/>
          <w:sz w:val="30"/>
          <w:szCs w:val="30"/>
          <w:lang w:eastAsia="zh-CN"/>
        </w:rPr>
        <w:t>和职业年金</w:t>
      </w:r>
      <w:r>
        <w:rPr>
          <w:rFonts w:hint="eastAsia" w:ascii="仿宋_GB2312" w:eastAsia="仿宋_GB2312"/>
          <w:sz w:val="30"/>
          <w:szCs w:val="30"/>
        </w:rPr>
        <w:t>支出。</w:t>
      </w:r>
    </w:p>
    <w:p>
      <w:pPr>
        <w:spacing w:line="600" w:lineRule="exact"/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卫生健康支出科目支出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65.48</w:t>
      </w:r>
      <w:r>
        <w:rPr>
          <w:rFonts w:hint="eastAsia" w:ascii="仿宋_GB2312" w:eastAsia="仿宋_GB2312"/>
          <w:sz w:val="30"/>
          <w:szCs w:val="30"/>
        </w:rPr>
        <w:t>万元，主要用于医疗保险缴纳。</w:t>
      </w:r>
    </w:p>
    <w:p>
      <w:pPr>
        <w:spacing w:line="600" w:lineRule="exact"/>
        <w:ind w:firstLine="600" w:firstLineChars="200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四</w:t>
      </w:r>
      <w:r>
        <w:rPr>
          <w:rFonts w:eastAsia="黑体"/>
          <w:sz w:val="30"/>
          <w:szCs w:val="30"/>
        </w:rPr>
        <w:t>、其他重要事项的情况说明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（一）机关运行经费</w:t>
      </w:r>
    </w:p>
    <w:p>
      <w:pPr>
        <w:spacing w:line="600" w:lineRule="exact"/>
        <w:ind w:firstLine="600" w:firstLineChars="200"/>
        <w:rPr>
          <w:rFonts w:hint="eastAsia" w:ascii="仿宋_GB2312" w:eastAsia="仿宋_GB2312" w:cs="仿宋_GB2312"/>
          <w:sz w:val="30"/>
          <w:szCs w:val="30"/>
          <w:lang w:val="en-US" w:eastAsia="zh-CN"/>
        </w:rPr>
      </w:pPr>
      <w:r>
        <w:rPr>
          <w:rFonts w:eastAsia="仿宋_GB2312"/>
          <w:sz w:val="30"/>
          <w:szCs w:val="30"/>
        </w:rPr>
        <w:t>本部门20</w:t>
      </w:r>
      <w:r>
        <w:rPr>
          <w:rFonts w:hint="eastAsia" w:eastAsia="仿宋_GB2312"/>
          <w:sz w:val="30"/>
          <w:szCs w:val="30"/>
        </w:rPr>
        <w:t>2</w:t>
      </w:r>
      <w:r>
        <w:rPr>
          <w:rFonts w:hint="eastAsia" w:eastAsia="仿宋_GB2312"/>
          <w:sz w:val="30"/>
          <w:szCs w:val="30"/>
          <w:lang w:val="en-US" w:eastAsia="zh-CN"/>
        </w:rPr>
        <w:t>3</w:t>
      </w:r>
      <w:r>
        <w:rPr>
          <w:rFonts w:eastAsia="仿宋_GB2312"/>
          <w:sz w:val="30"/>
          <w:szCs w:val="30"/>
        </w:rPr>
        <w:t>年安排机关运行经费预算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87.34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，</w:t>
      </w:r>
      <w:r>
        <w:rPr>
          <w:rFonts w:eastAsia="仿宋_GB2312"/>
          <w:sz w:val="30"/>
          <w:szCs w:val="30"/>
        </w:rPr>
        <w:t>包括办公费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14.5</w:t>
      </w:r>
      <w:r>
        <w:rPr>
          <w:rFonts w:eastAsia="仿宋_GB2312"/>
          <w:sz w:val="30"/>
          <w:szCs w:val="30"/>
        </w:rPr>
        <w:t>万元</w:t>
      </w:r>
      <w:r>
        <w:rPr>
          <w:rFonts w:hint="eastAsia" w:eastAsia="仿宋_GB2312"/>
          <w:sz w:val="30"/>
          <w:szCs w:val="30"/>
        </w:rPr>
        <w:t>、</w:t>
      </w:r>
      <w:r>
        <w:rPr>
          <w:rFonts w:hint="eastAsia" w:ascii="仿宋_GB2312" w:eastAsia="仿宋_GB2312" w:cs="仿宋_GB2312"/>
          <w:sz w:val="30"/>
          <w:szCs w:val="30"/>
        </w:rPr>
        <w:t>手续费</w:t>
      </w:r>
      <w:r>
        <w:rPr>
          <w:rFonts w:asci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 w:cs="仿宋_GB2312"/>
          <w:sz w:val="30"/>
          <w:szCs w:val="30"/>
          <w:u w:val="single"/>
        </w:rPr>
        <w:t>0.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 w:cs="仿宋_GB2312"/>
          <w:sz w:val="30"/>
          <w:szCs w:val="30"/>
        </w:rPr>
        <w:t>万元、邮电费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0.9</w:t>
      </w:r>
      <w:r>
        <w:rPr>
          <w:rFonts w:hint="eastAsia" w:ascii="仿宋_GB2312" w:eastAsia="仿宋_GB2312" w:cs="仿宋_GB2312"/>
          <w:sz w:val="30"/>
          <w:szCs w:val="30"/>
        </w:rPr>
        <w:t>万元、公务接待费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0.50</w:t>
      </w:r>
      <w:r>
        <w:rPr>
          <w:rFonts w:hint="eastAsia" w:ascii="仿宋_GB2312" w:eastAsia="仿宋_GB2312" w:cs="仿宋_GB2312"/>
          <w:sz w:val="30"/>
          <w:szCs w:val="30"/>
        </w:rPr>
        <w:t>万元、福利费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17.65</w:t>
      </w:r>
      <w:r>
        <w:rPr>
          <w:rFonts w:hint="eastAsia" w:ascii="仿宋_GB2312" w:eastAsia="仿宋_GB2312" w:cs="仿宋_GB2312"/>
          <w:sz w:val="30"/>
          <w:szCs w:val="30"/>
        </w:rPr>
        <w:t>万元、工会经费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4.93</w:t>
      </w:r>
      <w:r>
        <w:rPr>
          <w:rFonts w:hint="eastAsia" w:ascii="仿宋_GB2312" w:eastAsia="仿宋_GB2312" w:cs="仿宋_GB2312"/>
          <w:sz w:val="30"/>
          <w:szCs w:val="30"/>
        </w:rPr>
        <w:t>元、公务用车运行维护费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4</w:t>
      </w:r>
      <w:r>
        <w:rPr>
          <w:rFonts w:hint="eastAsia" w:ascii="仿宋_GB2312" w:eastAsia="仿宋_GB2312" w:cs="仿宋_GB2312"/>
          <w:sz w:val="30"/>
          <w:szCs w:val="30"/>
        </w:rPr>
        <w:t>万元、公务交通补贴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38.51</w:t>
      </w:r>
      <w:r>
        <w:rPr>
          <w:rFonts w:hint="eastAsia" w:ascii="仿宋_GB2312" w:eastAsia="仿宋_GB2312" w:cs="仿宋_GB2312"/>
          <w:sz w:val="30"/>
          <w:szCs w:val="30"/>
        </w:rPr>
        <w:t>万元、以及其他费用</w:t>
      </w:r>
      <w:r>
        <w:rPr>
          <w:rFonts w:hint="eastAsia" w:ascii="仿宋_GB2312" w:eastAsia="仿宋_GB2312" w:cs="仿宋_GB2312"/>
          <w:sz w:val="30"/>
          <w:szCs w:val="30"/>
          <w:u w:val="single"/>
          <w:lang w:val="en-US" w:eastAsia="zh-CN"/>
        </w:rPr>
        <w:t>6.25</w:t>
      </w:r>
      <w:r>
        <w:rPr>
          <w:rFonts w:hint="eastAsia" w:ascii="仿宋_GB2312" w:eastAsia="仿宋_GB2312" w:cs="仿宋_GB2312"/>
          <w:sz w:val="30"/>
          <w:szCs w:val="30"/>
        </w:rPr>
        <w:t>万元</w:t>
      </w:r>
      <w:r>
        <w:rPr>
          <w:rFonts w:hint="eastAsia" w:ascii="仿宋_GB2312" w:eastAsia="仿宋_GB2312" w:cs="仿宋_GB2312"/>
          <w:sz w:val="30"/>
          <w:szCs w:val="30"/>
          <w:lang w:eastAsia="zh-CN"/>
        </w:rPr>
        <w:t>。</w:t>
      </w:r>
      <w:bookmarkStart w:id="0" w:name="_GoBack"/>
      <w:bookmarkEnd w:id="0"/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（二）政府采购情况</w:t>
      </w:r>
    </w:p>
    <w:p>
      <w:pPr>
        <w:spacing w:line="58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本部门202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eastAsia="楷体_GB2312"/>
          <w:sz w:val="30"/>
          <w:szCs w:val="30"/>
        </w:rPr>
        <w:t>未安排</w:t>
      </w:r>
      <w:r>
        <w:rPr>
          <w:rFonts w:eastAsia="楷体_GB2312"/>
          <w:sz w:val="30"/>
          <w:szCs w:val="30"/>
        </w:rPr>
        <w:t>政府采购</w:t>
      </w:r>
      <w:r>
        <w:rPr>
          <w:rFonts w:hint="eastAsia" w:eastAsia="楷体_GB2312"/>
          <w:sz w:val="30"/>
          <w:szCs w:val="30"/>
        </w:rPr>
        <w:t>预算</w:t>
      </w:r>
      <w:r>
        <w:rPr>
          <w:rFonts w:eastAsia="楷体_GB2312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  <w:lang w:val="en-US" w:eastAsia="zh-CN"/>
        </w:rPr>
        <w:t>三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国有资产占用情况</w:t>
      </w:r>
    </w:p>
    <w:p>
      <w:pPr>
        <w:spacing w:line="580" w:lineRule="exact"/>
        <w:ind w:firstLine="600" w:firstLineChars="200"/>
        <w:jc w:val="both"/>
        <w:rPr>
          <w:rFonts w:ascii="仿宋_GB2312" w:hAnsi="宋体" w:eastAsia="仿宋_GB2312" w:cs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截至202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月底，</w:t>
      </w:r>
      <w:r>
        <w:rPr>
          <w:rFonts w:hint="eastAsia" w:ascii="仿宋_GB2312" w:hAnsi="仿宋_GB2312" w:eastAsia="仿宋_GB2312" w:cs="仿宋_GB2312"/>
          <w:sz w:val="30"/>
          <w:szCs w:val="30"/>
        </w:rPr>
        <w:t>本部门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各单位共有车辆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辆，其中：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副部（省）级及以上领导用车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辆、主要领导干部用车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2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辆、机要通信用车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辆、应急保障用车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辆、执法执勤用车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辆、特种专业技术用车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</w:rPr>
        <w:t>辆、离退休干部用车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1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</w:rPr>
        <w:t>辆、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其他用车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辆。单价50万元以上的通用设备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台（套），单价100万元以上的专用设备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eastAsia="仿宋_GB2312"/>
          <w:sz w:val="30"/>
          <w:szCs w:val="30"/>
          <w:u w:val="single"/>
          <w:lang w:val="en-US" w:eastAsia="zh-CN"/>
        </w:rPr>
        <w:t>0</w:t>
      </w:r>
      <w:r>
        <w:rPr>
          <w:rFonts w:hint="eastAsia" w:ascii="仿宋_GB2312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 w:cs="仿宋_GB2312"/>
          <w:color w:val="000000"/>
          <w:sz w:val="30"/>
          <w:szCs w:val="30"/>
        </w:rPr>
        <w:t>台（套）。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  <w:lang w:val="en-US" w:eastAsia="zh-CN"/>
        </w:rPr>
        <w:t>四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绩效目标设置情况</w:t>
      </w:r>
    </w:p>
    <w:p>
      <w:pPr>
        <w:spacing w:line="580" w:lineRule="exact"/>
        <w:ind w:firstLine="600" w:firstLineChars="200"/>
        <w:jc w:val="both"/>
        <w:rPr>
          <w:rFonts w:eastAsia="仿宋_GB2312"/>
          <w:color w:val="00000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z w:val="30"/>
          <w:szCs w:val="30"/>
        </w:rPr>
        <w:t>年，</w:t>
      </w:r>
      <w:r>
        <w:rPr>
          <w:rFonts w:eastAsia="仿宋_GB2312"/>
          <w:color w:val="000000"/>
          <w:sz w:val="30"/>
          <w:szCs w:val="30"/>
        </w:rPr>
        <w:t>本部门实行绩效目标管理的项目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hint="eastAsia" w:eastAsia="仿宋_GB2312"/>
          <w:sz w:val="30"/>
          <w:szCs w:val="30"/>
          <w:u w:val="single"/>
          <w:lang w:val="en-US" w:eastAsia="zh-CN"/>
        </w:rPr>
        <w:t>1</w:t>
      </w:r>
      <w:r>
        <w:rPr>
          <w:rFonts w:eastAsia="仿宋_GB2312"/>
          <w:sz w:val="30"/>
          <w:szCs w:val="30"/>
          <w:u w:val="single"/>
        </w:rPr>
        <w:t xml:space="preserve"> </w:t>
      </w:r>
      <w:r>
        <w:rPr>
          <w:rFonts w:eastAsia="仿宋_GB2312"/>
          <w:color w:val="000000"/>
          <w:sz w:val="30"/>
          <w:szCs w:val="30"/>
        </w:rPr>
        <w:t>个，涉及预算金额</w:t>
      </w:r>
      <w:r>
        <w:rPr>
          <w:rFonts w:hint="eastAsia" w:eastAsia="仿宋_GB2312"/>
          <w:color w:val="000000"/>
          <w:sz w:val="30"/>
          <w:szCs w:val="30"/>
          <w:u w:val="single"/>
          <w:lang w:val="en-US" w:eastAsia="zh-CN"/>
        </w:rPr>
        <w:t>3.6</w:t>
      </w:r>
      <w:r>
        <w:rPr>
          <w:rFonts w:eastAsia="仿宋_GB2312"/>
          <w:color w:val="000000"/>
          <w:sz w:val="30"/>
          <w:szCs w:val="30"/>
        </w:rPr>
        <w:t>万元</w:t>
      </w:r>
      <w:r>
        <w:rPr>
          <w:rFonts w:hint="eastAsia" w:eastAsia="仿宋_GB2312"/>
          <w:color w:val="000000"/>
          <w:sz w:val="30"/>
          <w:szCs w:val="30"/>
        </w:rPr>
        <w:t>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  <w:lang w:val="en-US" w:eastAsia="zh-CN"/>
        </w:rPr>
        <w:t>五</w:t>
      </w:r>
      <w:r>
        <w:rPr>
          <w:rFonts w:eastAsia="楷体_GB2312"/>
          <w:b/>
          <w:sz w:val="30"/>
          <w:szCs w:val="30"/>
        </w:rPr>
        <w:t>）专业性名词解释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  <w:r>
        <w:rPr>
          <w:rFonts w:hint="eastAsia" w:eastAsia="仿宋_GB2312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>
      <w:pPr>
        <w:spacing w:line="600" w:lineRule="exact"/>
        <w:ind w:firstLine="602" w:firstLineChars="2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hint="eastAsia" w:eastAsia="楷体_GB2312"/>
          <w:b/>
          <w:sz w:val="30"/>
          <w:szCs w:val="30"/>
          <w:lang w:val="en-US" w:eastAsia="zh-CN"/>
        </w:rPr>
        <w:t>六</w:t>
      </w:r>
      <w:r>
        <w:rPr>
          <w:rFonts w:eastAsia="楷体_GB2312"/>
          <w:b/>
          <w:sz w:val="30"/>
          <w:szCs w:val="30"/>
        </w:rPr>
        <w:t>）</w:t>
      </w:r>
      <w:r>
        <w:rPr>
          <w:rFonts w:hint="eastAsia" w:eastAsia="楷体_GB2312"/>
          <w:b/>
          <w:sz w:val="30"/>
          <w:szCs w:val="30"/>
        </w:rPr>
        <w:t>关于空表的说明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</w:rPr>
        <w:t>1.本部门</w:t>
      </w:r>
      <w:r>
        <w:rPr>
          <w:rFonts w:eastAsia="楷体_GB2312"/>
          <w:sz w:val="30"/>
          <w:szCs w:val="30"/>
        </w:rPr>
        <w:t>20</w:t>
      </w:r>
      <w:r>
        <w:rPr>
          <w:rFonts w:hint="eastAsia" w:eastAsia="楷体_GB2312"/>
          <w:sz w:val="30"/>
          <w:szCs w:val="30"/>
        </w:rPr>
        <w:t>2</w:t>
      </w:r>
      <w:r>
        <w:rPr>
          <w:rFonts w:hint="eastAsia" w:eastAsia="楷体_GB2312"/>
          <w:sz w:val="30"/>
          <w:szCs w:val="30"/>
          <w:lang w:val="en-US" w:eastAsia="zh-CN"/>
        </w:rPr>
        <w:t>3</w:t>
      </w:r>
      <w:r>
        <w:rPr>
          <w:rFonts w:eastAsia="楷体_GB2312"/>
          <w:sz w:val="30"/>
          <w:szCs w:val="30"/>
        </w:rPr>
        <w:t>年</w:t>
      </w:r>
      <w:r>
        <w:rPr>
          <w:rFonts w:hint="eastAsia" w:eastAsia="楷体_GB2312"/>
          <w:sz w:val="30"/>
          <w:szCs w:val="30"/>
        </w:rPr>
        <w:t>政府性基金预算支出情况表为空表。</w:t>
      </w:r>
    </w:p>
    <w:p>
      <w:pPr>
        <w:spacing w:line="600" w:lineRule="exact"/>
        <w:ind w:firstLine="600" w:firstLineChars="200"/>
        <w:rPr>
          <w:rFonts w:eastAsia="楷体_GB2312"/>
          <w:sz w:val="30"/>
          <w:szCs w:val="30"/>
        </w:rPr>
      </w:pPr>
      <w:r>
        <w:rPr>
          <w:rFonts w:hint="eastAsia" w:eastAsia="楷体_GB2312"/>
          <w:sz w:val="30"/>
          <w:szCs w:val="30"/>
          <w:lang w:val="en-US" w:eastAsia="zh-CN"/>
        </w:rPr>
        <w:t>2</w:t>
      </w:r>
      <w:r>
        <w:rPr>
          <w:rFonts w:hint="eastAsia" w:eastAsia="楷体_GB2312"/>
          <w:sz w:val="30"/>
          <w:szCs w:val="30"/>
        </w:rPr>
        <w:t>.本部门202</w:t>
      </w:r>
      <w:r>
        <w:rPr>
          <w:rFonts w:hint="eastAsia" w:eastAsia="楷体_GB2312"/>
          <w:sz w:val="30"/>
          <w:szCs w:val="30"/>
          <w:lang w:val="en-US" w:eastAsia="zh-CN"/>
        </w:rPr>
        <w:t>3</w:t>
      </w:r>
      <w:r>
        <w:rPr>
          <w:rFonts w:hint="eastAsia" w:eastAsia="楷体_GB2312"/>
          <w:sz w:val="30"/>
          <w:szCs w:val="30"/>
        </w:rPr>
        <w:t>年</w:t>
      </w:r>
      <w:r>
        <w:rPr>
          <w:rFonts w:hint="eastAsia" w:eastAsia="楷体_GB2312"/>
          <w:sz w:val="30"/>
          <w:szCs w:val="30"/>
          <w:lang w:eastAsia="zh-CN"/>
        </w:rPr>
        <w:t>国有资本经营预算财政拨款支出预算表</w:t>
      </w:r>
      <w:r>
        <w:rPr>
          <w:rFonts w:hint="eastAsia" w:eastAsia="楷体_GB2312"/>
          <w:sz w:val="30"/>
          <w:szCs w:val="30"/>
        </w:rPr>
        <w:t>为空表。</w:t>
      </w: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80" w:lineRule="exact"/>
        <w:ind w:firstLine="1800" w:firstLineChars="500"/>
        <w:rPr>
          <w:rFonts w:eastAsia="黑体"/>
          <w:sz w:val="36"/>
          <w:szCs w:val="36"/>
        </w:rPr>
      </w:pPr>
    </w:p>
    <w:p>
      <w:pPr>
        <w:spacing w:line="580" w:lineRule="exact"/>
        <w:ind w:firstLine="600" w:firstLineChars="200"/>
        <w:rPr>
          <w:rFonts w:eastAsia="仿宋_GB2312"/>
          <w:sz w:val="30"/>
          <w:szCs w:val="30"/>
        </w:rPr>
      </w:pPr>
    </w:p>
    <w:p>
      <w:pPr>
        <w:spacing w:line="580" w:lineRule="exact"/>
        <w:ind w:firstLine="1800" w:firstLineChars="500"/>
        <w:rPr>
          <w:rFonts w:eastAsia="黑体"/>
          <w:sz w:val="36"/>
          <w:szCs w:val="36"/>
        </w:rPr>
      </w:pPr>
    </w:p>
    <w:p/>
    <w:sectPr>
      <w:pgSz w:w="11907" w:h="16840"/>
      <w:pgMar w:top="2098" w:right="1474" w:bottom="1984" w:left="1587" w:header="851" w:footer="1587" w:gutter="0"/>
      <w:pgNumType w:fmt="numberInDash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2A80F39"/>
    <w:multiLevelType w:val="singleLevel"/>
    <w:tmpl w:val="92A80F39"/>
    <w:lvl w:ilvl="0" w:tentative="0">
      <w:start w:val="1"/>
      <w:numFmt w:val="chineseCounting"/>
      <w:pStyle w:val="3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9B125D51"/>
    <w:multiLevelType w:val="singleLevel"/>
    <w:tmpl w:val="9B125D51"/>
    <w:lvl w:ilvl="0" w:tentative="0">
      <w:start w:val="1"/>
      <w:numFmt w:val="decimal"/>
      <w:pStyle w:val="5"/>
      <w:suff w:val="space"/>
      <w:lvlText w:val="%1."/>
      <w:lvlJc w:val="left"/>
      <w:pPr>
        <w:tabs>
          <w:tab w:val="left" w:pos="420"/>
        </w:tabs>
        <w:ind w:left="425" w:leftChars="0" w:hanging="425" w:firstLineChars="0"/>
      </w:pPr>
      <w:rPr>
        <w:rFonts w:hint="default"/>
      </w:rPr>
    </w:lvl>
  </w:abstractNum>
  <w:abstractNum w:abstractNumId="2">
    <w:nsid w:val="B371DDEB"/>
    <w:multiLevelType w:val="multilevel"/>
    <w:tmpl w:val="B371DDEB"/>
    <w:lvl w:ilvl="0" w:tentative="0">
      <w:start w:val="1"/>
      <w:numFmt w:val="decimal"/>
      <w:isLgl/>
      <w:suff w:val="nothing"/>
      <w:lvlText w:val="%1、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6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7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8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9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10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1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3">
    <w:nsid w:val="165821DA"/>
    <w:multiLevelType w:val="singleLevel"/>
    <w:tmpl w:val="165821DA"/>
    <w:lvl w:ilvl="0" w:tentative="0">
      <w:start w:val="1"/>
      <w:numFmt w:val="chineseCounting"/>
      <w:pStyle w:val="4"/>
      <w:suff w:val="nothing"/>
      <w:lvlText w:val="（%1）"/>
      <w:lvlJc w:val="left"/>
      <w:pPr>
        <w:ind w:left="0" w:firstLine="397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301798"/>
    <w:rsid w:val="00974F34"/>
    <w:rsid w:val="010033DE"/>
    <w:rsid w:val="011A0917"/>
    <w:rsid w:val="012F2355"/>
    <w:rsid w:val="01483E9A"/>
    <w:rsid w:val="01ED1796"/>
    <w:rsid w:val="035C0653"/>
    <w:rsid w:val="03950736"/>
    <w:rsid w:val="03A90001"/>
    <w:rsid w:val="04B17D85"/>
    <w:rsid w:val="053B2812"/>
    <w:rsid w:val="05D43994"/>
    <w:rsid w:val="06441CF5"/>
    <w:rsid w:val="07064EC5"/>
    <w:rsid w:val="08B00718"/>
    <w:rsid w:val="09233978"/>
    <w:rsid w:val="0A065AC4"/>
    <w:rsid w:val="0BC04CB8"/>
    <w:rsid w:val="0CE44D56"/>
    <w:rsid w:val="0FEF379E"/>
    <w:rsid w:val="100713DE"/>
    <w:rsid w:val="102E1444"/>
    <w:rsid w:val="112705AC"/>
    <w:rsid w:val="113A5B49"/>
    <w:rsid w:val="1209314F"/>
    <w:rsid w:val="125D680D"/>
    <w:rsid w:val="13105784"/>
    <w:rsid w:val="14C5514F"/>
    <w:rsid w:val="14F21116"/>
    <w:rsid w:val="15685A1C"/>
    <w:rsid w:val="15882700"/>
    <w:rsid w:val="158F7E84"/>
    <w:rsid w:val="162915B5"/>
    <w:rsid w:val="17FA4E47"/>
    <w:rsid w:val="1833397B"/>
    <w:rsid w:val="199F323B"/>
    <w:rsid w:val="1AAE622C"/>
    <w:rsid w:val="1B701451"/>
    <w:rsid w:val="1B872753"/>
    <w:rsid w:val="1BC6443B"/>
    <w:rsid w:val="1D377012"/>
    <w:rsid w:val="1DE43155"/>
    <w:rsid w:val="1E85024A"/>
    <w:rsid w:val="1FD22575"/>
    <w:rsid w:val="208A1C15"/>
    <w:rsid w:val="20C5099B"/>
    <w:rsid w:val="2149614A"/>
    <w:rsid w:val="22987492"/>
    <w:rsid w:val="22C3778D"/>
    <w:rsid w:val="2330528F"/>
    <w:rsid w:val="23B8303E"/>
    <w:rsid w:val="246F40CF"/>
    <w:rsid w:val="24905B25"/>
    <w:rsid w:val="249B678E"/>
    <w:rsid w:val="25CF37BC"/>
    <w:rsid w:val="25F36BFD"/>
    <w:rsid w:val="26F85C11"/>
    <w:rsid w:val="27865566"/>
    <w:rsid w:val="284B19D9"/>
    <w:rsid w:val="299F2A77"/>
    <w:rsid w:val="2A1C7DEC"/>
    <w:rsid w:val="2B8E195B"/>
    <w:rsid w:val="2C2220FC"/>
    <w:rsid w:val="2DFF2513"/>
    <w:rsid w:val="2E165198"/>
    <w:rsid w:val="2EB660AD"/>
    <w:rsid w:val="2EFD65FF"/>
    <w:rsid w:val="2F562B8B"/>
    <w:rsid w:val="3279022E"/>
    <w:rsid w:val="32A912FF"/>
    <w:rsid w:val="32C06A94"/>
    <w:rsid w:val="35E61A45"/>
    <w:rsid w:val="36351FE6"/>
    <w:rsid w:val="37A146AE"/>
    <w:rsid w:val="3B285CD3"/>
    <w:rsid w:val="3D575170"/>
    <w:rsid w:val="3D8E25DC"/>
    <w:rsid w:val="3F0C38C5"/>
    <w:rsid w:val="3FB22CD8"/>
    <w:rsid w:val="427E702D"/>
    <w:rsid w:val="42D038AC"/>
    <w:rsid w:val="42F068E7"/>
    <w:rsid w:val="43D17489"/>
    <w:rsid w:val="43F20263"/>
    <w:rsid w:val="43F26A96"/>
    <w:rsid w:val="44301798"/>
    <w:rsid w:val="44985782"/>
    <w:rsid w:val="44FE6856"/>
    <w:rsid w:val="453A73A8"/>
    <w:rsid w:val="46D76288"/>
    <w:rsid w:val="47944908"/>
    <w:rsid w:val="47D177F3"/>
    <w:rsid w:val="48E73854"/>
    <w:rsid w:val="4AB36AC9"/>
    <w:rsid w:val="4AB5070A"/>
    <w:rsid w:val="4CED6F16"/>
    <w:rsid w:val="4EBF7501"/>
    <w:rsid w:val="506F4748"/>
    <w:rsid w:val="514608F5"/>
    <w:rsid w:val="5339390B"/>
    <w:rsid w:val="54DE515C"/>
    <w:rsid w:val="550632E3"/>
    <w:rsid w:val="555661B9"/>
    <w:rsid w:val="556F61B7"/>
    <w:rsid w:val="55886BE4"/>
    <w:rsid w:val="55FB4F09"/>
    <w:rsid w:val="56745399"/>
    <w:rsid w:val="57463C12"/>
    <w:rsid w:val="57C22D84"/>
    <w:rsid w:val="58565BE1"/>
    <w:rsid w:val="588122FB"/>
    <w:rsid w:val="591C1684"/>
    <w:rsid w:val="596350F8"/>
    <w:rsid w:val="5A6607A5"/>
    <w:rsid w:val="5CD37AC3"/>
    <w:rsid w:val="5D0F493E"/>
    <w:rsid w:val="5EA9575B"/>
    <w:rsid w:val="5EFB1998"/>
    <w:rsid w:val="60EA5E01"/>
    <w:rsid w:val="610422B4"/>
    <w:rsid w:val="61D45DCD"/>
    <w:rsid w:val="6209581C"/>
    <w:rsid w:val="620B371B"/>
    <w:rsid w:val="63126D65"/>
    <w:rsid w:val="64223874"/>
    <w:rsid w:val="66253A01"/>
    <w:rsid w:val="668F59C5"/>
    <w:rsid w:val="676A542A"/>
    <w:rsid w:val="678F5395"/>
    <w:rsid w:val="68685BEF"/>
    <w:rsid w:val="69BC31E5"/>
    <w:rsid w:val="6A981203"/>
    <w:rsid w:val="6AAA7B5A"/>
    <w:rsid w:val="6AB11AEC"/>
    <w:rsid w:val="6DC43B3F"/>
    <w:rsid w:val="6E493536"/>
    <w:rsid w:val="6EFC7098"/>
    <w:rsid w:val="6F04631F"/>
    <w:rsid w:val="6FC868B1"/>
    <w:rsid w:val="719F4037"/>
    <w:rsid w:val="71C62D60"/>
    <w:rsid w:val="72D714E5"/>
    <w:rsid w:val="72E61A1A"/>
    <w:rsid w:val="738C5595"/>
    <w:rsid w:val="739402AE"/>
    <w:rsid w:val="73FC0F71"/>
    <w:rsid w:val="754F0FA3"/>
    <w:rsid w:val="75541FF1"/>
    <w:rsid w:val="762008CD"/>
    <w:rsid w:val="767D2EAF"/>
    <w:rsid w:val="77BC2AC4"/>
    <w:rsid w:val="783A67E1"/>
    <w:rsid w:val="7C64149B"/>
    <w:rsid w:val="7D085AE5"/>
    <w:rsid w:val="7D706DB5"/>
    <w:rsid w:val="7E996905"/>
    <w:rsid w:val="7F0D3B4C"/>
    <w:rsid w:val="7FC3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adjustRightInd w:val="0"/>
      <w:spacing w:line="360" w:lineRule="atLeast"/>
      <w:textAlignment w:val="baseline"/>
    </w:pPr>
    <w:rPr>
      <w:rFonts w:ascii="Calibri" w:hAnsi="Calibri" w:eastAsia="宋体" w:cs="Times New Roman"/>
      <w:sz w:val="24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0"/>
    <w:pPr>
      <w:widowControl/>
      <w:numPr>
        <w:ilvl w:val="0"/>
        <w:numId w:val="1"/>
      </w:numPr>
      <w:spacing w:beforeAutospacing="0" w:afterAutospacing="0"/>
      <w:ind w:firstLine="964" w:firstLineChars="200"/>
      <w:jc w:val="left"/>
      <w:outlineLvl w:val="0"/>
    </w:pPr>
    <w:rPr>
      <w:rFonts w:ascii="宋体" w:hAnsi="宋体" w:eastAsia="黑体" w:cs="宋体"/>
      <w:bCs/>
      <w:kern w:val="36"/>
      <w:sz w:val="34"/>
      <w:szCs w:val="48"/>
    </w:rPr>
  </w:style>
  <w:style w:type="paragraph" w:styleId="4">
    <w:name w:val="heading 2"/>
    <w:basedOn w:val="1"/>
    <w:next w:val="1"/>
    <w:link w:val="15"/>
    <w:semiHidden/>
    <w:unhideWhenUsed/>
    <w:qFormat/>
    <w:uiPriority w:val="0"/>
    <w:pPr>
      <w:keepNext/>
      <w:keepLines/>
      <w:numPr>
        <w:ilvl w:val="0"/>
        <w:numId w:val="2"/>
      </w:numPr>
      <w:ind w:firstLine="872" w:firstLineChars="200"/>
      <w:outlineLvl w:val="1"/>
    </w:pPr>
    <w:rPr>
      <w:rFonts w:ascii="Arial" w:hAnsi="Arial" w:eastAsia="楷体"/>
      <w:szCs w:val="32"/>
    </w:rPr>
  </w:style>
  <w:style w:type="paragraph" w:styleId="5">
    <w:name w:val="heading 3"/>
    <w:basedOn w:val="1"/>
    <w:next w:val="1"/>
    <w:link w:val="14"/>
    <w:semiHidden/>
    <w:unhideWhenUsed/>
    <w:qFormat/>
    <w:uiPriority w:val="0"/>
    <w:pPr>
      <w:keepNext/>
      <w:keepLines/>
      <w:numPr>
        <w:ilvl w:val="0"/>
        <w:numId w:val="3"/>
      </w:numPr>
      <w:tabs>
        <w:tab w:val="left" w:pos="0"/>
        <w:tab w:val="left" w:pos="397"/>
        <w:tab w:val="clear" w:pos="420"/>
      </w:tabs>
      <w:ind w:left="0" w:firstLine="880" w:firstLineChars="200"/>
      <w:jc w:val="left"/>
      <w:outlineLvl w:val="2"/>
    </w:pPr>
    <w:rPr>
      <w:rFonts w:eastAsia="楷体" w:cs="Times New Roman" w:asciiTheme="minorAscii" w:hAnsiTheme="minorAscii"/>
      <w:b/>
      <w:sz w:val="34"/>
      <w:szCs w:val="24"/>
    </w:rPr>
  </w:style>
  <w:style w:type="paragraph" w:styleId="6">
    <w:name w:val="heading 4"/>
    <w:basedOn w:val="1"/>
    <w:next w:val="1"/>
    <w:link w:val="17"/>
    <w:semiHidden/>
    <w:unhideWhenUsed/>
    <w:qFormat/>
    <w:uiPriority w:val="0"/>
    <w:pPr>
      <w:keepNext/>
      <w:keepLines/>
      <w:numPr>
        <w:ilvl w:val="3"/>
        <w:numId w:val="4"/>
      </w:numPr>
      <w:tabs>
        <w:tab w:val="left" w:pos="0"/>
      </w:tabs>
      <w:spacing w:before="100" w:beforeLines="100" w:beforeAutospacing="0" w:afterLines="0" w:afterAutospacing="0" w:line="560" w:lineRule="exact"/>
      <w:ind w:left="0" w:firstLine="402" w:firstLineChars="0"/>
      <w:outlineLvl w:val="3"/>
    </w:pPr>
    <w:rPr>
      <w:rFonts w:ascii="Arial" w:hAnsi="Arial" w:eastAsia="仿宋" w:cs="Times New Roman"/>
      <w:sz w:val="34"/>
    </w:rPr>
  </w:style>
  <w:style w:type="paragraph" w:styleId="7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4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8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4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9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4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0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4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1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4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  <w:rPr>
      <w:rFonts w:eastAsia="仿宋_GB2312"/>
    </w:rPr>
  </w:style>
  <w:style w:type="character" w:customStyle="1" w:styleId="14">
    <w:name w:val="标题 3 Char"/>
    <w:link w:val="5"/>
    <w:qFormat/>
    <w:uiPriority w:val="0"/>
    <w:rPr>
      <w:rFonts w:eastAsia="楷体" w:cs="Times New Roman" w:asciiTheme="minorAscii" w:hAnsiTheme="minorAscii"/>
      <w:sz w:val="34"/>
      <w:szCs w:val="24"/>
    </w:rPr>
  </w:style>
  <w:style w:type="character" w:customStyle="1" w:styleId="15">
    <w:name w:val="标题 2 Char"/>
    <w:link w:val="4"/>
    <w:qFormat/>
    <w:uiPriority w:val="0"/>
    <w:rPr>
      <w:rFonts w:ascii="Arial" w:hAnsi="Arial" w:eastAsia="楷体" w:cs="Times New Roman"/>
      <w:sz w:val="34"/>
      <w:szCs w:val="32"/>
    </w:rPr>
  </w:style>
  <w:style w:type="character" w:customStyle="1" w:styleId="16">
    <w:name w:val="标题 1 Char"/>
    <w:basedOn w:val="13"/>
    <w:link w:val="3"/>
    <w:qFormat/>
    <w:uiPriority w:val="0"/>
    <w:rPr>
      <w:rFonts w:ascii="宋体" w:hAnsi="宋体" w:eastAsia="黑体" w:cs="宋体"/>
      <w:bCs/>
      <w:kern w:val="36"/>
      <w:sz w:val="34"/>
      <w:szCs w:val="48"/>
    </w:rPr>
  </w:style>
  <w:style w:type="character" w:customStyle="1" w:styleId="17">
    <w:name w:val="标题 4 Char"/>
    <w:link w:val="6"/>
    <w:qFormat/>
    <w:uiPriority w:val="0"/>
    <w:rPr>
      <w:rFonts w:ascii="Arial" w:hAnsi="Arial" w:eastAsia="仿宋" w:cs="Times New Roman"/>
      <w:sz w:val="3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2023-02-01T08:50:00Z</dcterms:created>
  <dc:creator>FZS</dc:creator>
  <cp:lastModifiedBy>FZS</cp:lastModifiedBy>
  <dcterms:modified xsi:type="dcterms:W3CDTF">2023-02-01T09:06:53Z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