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天津市南开区人民代表大会常务委员会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年一般公共预算“三公”经费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3.85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0.05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公务接待费用增加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本部门一般公共预算未安排此项经费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  </w:t>
      </w: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3.39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3.39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0.02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降低标准，节约开支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eastAsia="仿宋_GB2312"/>
          <w:sz w:val="30"/>
          <w:szCs w:val="30"/>
        </w:rPr>
        <w:t>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本部门一般公共预算未安排此项经费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0.46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0.07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2021年人员增加了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</w:pPr>
    </w:p>
    <w:p/>
    <w:p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Serif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6E"/>
    <w:rsid w:val="00557C42"/>
    <w:rsid w:val="009E6F3D"/>
    <w:rsid w:val="00F83782"/>
    <w:rsid w:val="00FB546E"/>
    <w:rsid w:val="5FFBC549"/>
    <w:rsid w:val="77A4A1E6"/>
    <w:rsid w:val="F3CF8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69</Words>
  <Characters>395</Characters>
  <Lines>3</Lines>
  <Paragraphs>1</Paragraphs>
  <TotalTime>12</TotalTime>
  <ScaleCrop>false</ScaleCrop>
  <LinksUpToDate>false</LinksUpToDate>
  <CharactersWithSpaces>463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2021-01-29T09:03:00Z</dcterms:created>
  <dc:creator>Administrator</dc:creator>
  <cp:lastModifiedBy>kylin</cp:lastModifiedBy>
  <dcterms:modified xsi:type="dcterms:W3CDTF">2022-01-25T11:25:07Z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