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55" w:rsidRDefault="00585755">
      <w:pPr>
        <w:jc w:val="center"/>
        <w:rPr>
          <w:rFonts w:ascii="宋体" w:hAnsi="宋体" w:cs="宋体"/>
          <w:b/>
          <w:bCs/>
          <w:sz w:val="52"/>
          <w:szCs w:val="52"/>
        </w:rPr>
      </w:pPr>
      <w:bookmarkStart w:id="0" w:name="_Toc390680642"/>
    </w:p>
    <w:p w:rsidR="00585755" w:rsidRDefault="00585755">
      <w:pPr>
        <w:jc w:val="center"/>
        <w:rPr>
          <w:rFonts w:ascii="宋体" w:hAnsi="宋体" w:cs="宋体"/>
          <w:b/>
          <w:bCs/>
          <w:sz w:val="52"/>
          <w:szCs w:val="52"/>
        </w:rPr>
      </w:pPr>
    </w:p>
    <w:p w:rsidR="00585755" w:rsidRDefault="00585755">
      <w:pPr>
        <w:jc w:val="center"/>
        <w:rPr>
          <w:rFonts w:ascii="宋体" w:hAnsi="宋体" w:cs="宋体"/>
          <w:b/>
          <w:bCs/>
          <w:sz w:val="52"/>
          <w:szCs w:val="52"/>
        </w:rPr>
      </w:pPr>
    </w:p>
    <w:p w:rsidR="00585755" w:rsidRDefault="00C94667">
      <w:pPr>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南开区部门整体支出绩效自评报告</w:t>
      </w:r>
      <w:bookmarkEnd w:id="0"/>
    </w:p>
    <w:p w:rsidR="00585755" w:rsidRDefault="00C94667">
      <w:pPr>
        <w:snapToGrid w:val="0"/>
        <w:spacing w:line="360" w:lineRule="auto"/>
        <w:jc w:val="center"/>
        <w:rPr>
          <w:rFonts w:ascii="仿宋" w:eastAsia="仿宋" w:hAnsi="仿宋"/>
          <w:color w:val="000000"/>
          <w:sz w:val="44"/>
          <w:szCs w:val="44"/>
        </w:rPr>
      </w:pPr>
      <w:r>
        <w:rPr>
          <w:rFonts w:ascii="仿宋" w:eastAsia="仿宋" w:hAnsi="仿宋" w:hint="eastAsia"/>
          <w:color w:val="000000"/>
          <w:sz w:val="44"/>
          <w:szCs w:val="44"/>
        </w:rPr>
        <w:t>（</w:t>
      </w:r>
      <w:r>
        <w:rPr>
          <w:rFonts w:ascii="仿宋" w:eastAsia="仿宋" w:hAnsi="仿宋"/>
          <w:color w:val="000000"/>
          <w:sz w:val="44"/>
          <w:szCs w:val="44"/>
        </w:rPr>
        <w:t>2019</w:t>
      </w:r>
      <w:r>
        <w:rPr>
          <w:rFonts w:ascii="仿宋" w:eastAsia="仿宋" w:hAnsi="仿宋"/>
          <w:color w:val="000000"/>
          <w:sz w:val="44"/>
          <w:szCs w:val="44"/>
        </w:rPr>
        <w:t>年</w:t>
      </w:r>
      <w:r>
        <w:rPr>
          <w:rFonts w:ascii="仿宋" w:eastAsia="仿宋" w:hAnsi="仿宋" w:hint="eastAsia"/>
          <w:color w:val="000000"/>
          <w:sz w:val="44"/>
          <w:szCs w:val="44"/>
        </w:rPr>
        <w:t>年度）</w:t>
      </w:r>
    </w:p>
    <w:p w:rsidR="00585755" w:rsidRDefault="00585755">
      <w:pPr>
        <w:snapToGrid w:val="0"/>
        <w:spacing w:line="360" w:lineRule="auto"/>
        <w:ind w:firstLine="600"/>
        <w:jc w:val="center"/>
        <w:rPr>
          <w:rFonts w:ascii="仿宋_GB2312"/>
          <w:sz w:val="30"/>
        </w:rPr>
      </w:pPr>
    </w:p>
    <w:p w:rsidR="00585755" w:rsidRDefault="00585755">
      <w:pPr>
        <w:snapToGrid w:val="0"/>
        <w:spacing w:line="360" w:lineRule="auto"/>
        <w:ind w:firstLine="600"/>
        <w:jc w:val="center"/>
        <w:rPr>
          <w:rFonts w:ascii="仿宋_GB2312"/>
          <w:sz w:val="30"/>
        </w:rPr>
      </w:pPr>
    </w:p>
    <w:p w:rsidR="00585755" w:rsidRDefault="00585755">
      <w:pPr>
        <w:snapToGrid w:val="0"/>
        <w:spacing w:line="360" w:lineRule="auto"/>
        <w:ind w:firstLine="600"/>
        <w:jc w:val="center"/>
        <w:rPr>
          <w:rFonts w:ascii="仿宋_GB2312"/>
          <w:sz w:val="30"/>
        </w:rPr>
      </w:pPr>
    </w:p>
    <w:p w:rsidR="00585755" w:rsidRDefault="00585755">
      <w:pPr>
        <w:snapToGrid w:val="0"/>
        <w:spacing w:line="360" w:lineRule="auto"/>
        <w:ind w:firstLine="600"/>
        <w:jc w:val="center"/>
        <w:rPr>
          <w:rFonts w:ascii="仿宋_GB2312"/>
          <w:sz w:val="30"/>
        </w:rPr>
      </w:pPr>
    </w:p>
    <w:p w:rsidR="00585755" w:rsidRDefault="00585755">
      <w:pPr>
        <w:snapToGrid w:val="0"/>
        <w:spacing w:line="360" w:lineRule="auto"/>
        <w:rPr>
          <w:rFonts w:ascii="仿宋_GB2312"/>
          <w:sz w:val="30"/>
        </w:rPr>
      </w:pPr>
    </w:p>
    <w:p w:rsidR="00585755" w:rsidRDefault="00585755">
      <w:pPr>
        <w:snapToGrid w:val="0"/>
        <w:spacing w:line="360" w:lineRule="auto"/>
        <w:rPr>
          <w:rFonts w:ascii="仿宋" w:eastAsia="仿宋" w:hAnsi="仿宋" w:cs="宋体"/>
          <w:sz w:val="32"/>
          <w:szCs w:val="32"/>
        </w:rPr>
      </w:pPr>
    </w:p>
    <w:p w:rsidR="00585755" w:rsidRDefault="00C94667">
      <w:pPr>
        <w:snapToGrid w:val="0"/>
        <w:spacing w:line="360" w:lineRule="auto"/>
        <w:ind w:firstLineChars="265" w:firstLine="851"/>
        <w:rPr>
          <w:rFonts w:ascii="仿宋" w:eastAsia="仿宋" w:hAnsi="仿宋" w:cs="宋体"/>
          <w:b/>
          <w:sz w:val="32"/>
          <w:szCs w:val="32"/>
          <w:u w:val="single"/>
        </w:rPr>
      </w:pPr>
      <w:r>
        <w:rPr>
          <w:rFonts w:ascii="仿宋" w:eastAsia="仿宋" w:hAnsi="仿宋" w:cs="宋体" w:hint="eastAsia"/>
          <w:b/>
          <w:sz w:val="32"/>
          <w:szCs w:val="32"/>
        </w:rPr>
        <w:t>部</w:t>
      </w:r>
      <w:r>
        <w:rPr>
          <w:rFonts w:ascii="仿宋" w:eastAsia="仿宋" w:hAnsi="仿宋" w:cs="宋体" w:hint="eastAsia"/>
          <w:b/>
          <w:sz w:val="32"/>
          <w:szCs w:val="32"/>
        </w:rPr>
        <w:t xml:space="preserve"> </w:t>
      </w:r>
      <w:r>
        <w:rPr>
          <w:rFonts w:ascii="仿宋" w:eastAsia="仿宋" w:hAnsi="仿宋" w:cs="宋体" w:hint="eastAsia"/>
          <w:b/>
          <w:sz w:val="32"/>
          <w:szCs w:val="32"/>
        </w:rPr>
        <w:t>门</w:t>
      </w:r>
      <w:r>
        <w:rPr>
          <w:rFonts w:ascii="仿宋" w:eastAsia="仿宋" w:hAnsi="仿宋" w:cs="宋体" w:hint="eastAsia"/>
          <w:b/>
          <w:sz w:val="32"/>
          <w:szCs w:val="32"/>
        </w:rPr>
        <w:t xml:space="preserve"> </w:t>
      </w:r>
      <w:r>
        <w:rPr>
          <w:rFonts w:ascii="仿宋" w:eastAsia="仿宋" w:hAnsi="仿宋" w:cs="宋体" w:hint="eastAsia"/>
          <w:b/>
          <w:sz w:val="32"/>
          <w:szCs w:val="32"/>
        </w:rPr>
        <w:t>名</w:t>
      </w:r>
      <w:r>
        <w:rPr>
          <w:rFonts w:ascii="仿宋" w:eastAsia="仿宋" w:hAnsi="仿宋" w:cs="宋体" w:hint="eastAsia"/>
          <w:b/>
          <w:sz w:val="32"/>
          <w:szCs w:val="32"/>
        </w:rPr>
        <w:t xml:space="preserve"> </w:t>
      </w:r>
      <w:r>
        <w:rPr>
          <w:rFonts w:ascii="仿宋" w:eastAsia="仿宋" w:hAnsi="仿宋" w:cs="宋体" w:hint="eastAsia"/>
          <w:b/>
          <w:sz w:val="32"/>
          <w:szCs w:val="32"/>
        </w:rPr>
        <w:t>称</w:t>
      </w:r>
      <w:r>
        <w:rPr>
          <w:rFonts w:ascii="仿宋" w:eastAsia="仿宋" w:hAnsi="仿宋" w:cs="宋体" w:hint="eastAsia"/>
          <w:b/>
          <w:sz w:val="32"/>
          <w:szCs w:val="32"/>
        </w:rPr>
        <w:t xml:space="preserve">   </w:t>
      </w:r>
      <w:r>
        <w:rPr>
          <w:rFonts w:ascii="仿宋" w:eastAsia="仿宋" w:hAnsi="仿宋" w:cs="宋体" w:hint="eastAsia"/>
          <w:b/>
          <w:sz w:val="32"/>
          <w:szCs w:val="32"/>
          <w:u w:val="single"/>
        </w:rPr>
        <w:t xml:space="preserve">  </w:t>
      </w:r>
      <w:r>
        <w:rPr>
          <w:rFonts w:ascii="仿宋" w:eastAsia="仿宋" w:hAnsi="仿宋" w:cs="宋体"/>
          <w:b/>
          <w:sz w:val="32"/>
          <w:szCs w:val="32"/>
          <w:u w:val="single"/>
        </w:rPr>
        <w:t>天津市南开区人民代表大会常务委员会</w:t>
      </w:r>
      <w:r>
        <w:rPr>
          <w:rFonts w:ascii="仿宋" w:eastAsia="仿宋" w:hAnsi="仿宋" w:cs="宋体" w:hint="eastAsia"/>
          <w:b/>
          <w:sz w:val="32"/>
          <w:szCs w:val="32"/>
          <w:u w:val="single"/>
        </w:rPr>
        <w:t xml:space="preserve">  </w:t>
      </w:r>
    </w:p>
    <w:p w:rsidR="00585755" w:rsidRDefault="00585755">
      <w:pPr>
        <w:jc w:val="center"/>
        <w:rPr>
          <w:rFonts w:ascii="仿宋_GB2312" w:hAnsi="宋体" w:cs="宋体"/>
          <w:sz w:val="32"/>
          <w:szCs w:val="32"/>
        </w:rPr>
      </w:pPr>
    </w:p>
    <w:p w:rsidR="00585755" w:rsidRDefault="00585755">
      <w:pPr>
        <w:jc w:val="center"/>
        <w:rPr>
          <w:rFonts w:ascii="黑体" w:eastAsia="黑体"/>
          <w:sz w:val="36"/>
          <w:szCs w:val="36"/>
        </w:rPr>
      </w:pPr>
    </w:p>
    <w:p w:rsidR="00585755" w:rsidRDefault="00585755">
      <w:pPr>
        <w:jc w:val="center"/>
        <w:rPr>
          <w:rFonts w:ascii="仿宋" w:eastAsia="仿宋" w:hAnsi="仿宋" w:cs="黑体"/>
          <w:sz w:val="36"/>
          <w:szCs w:val="36"/>
        </w:rPr>
      </w:pPr>
    </w:p>
    <w:p w:rsidR="00585755" w:rsidRDefault="00C94667">
      <w:pPr>
        <w:jc w:val="center"/>
        <w:rPr>
          <w:rFonts w:ascii="仿宋" w:eastAsia="仿宋" w:hAnsi="仿宋"/>
          <w:color w:val="000000"/>
          <w:sz w:val="24"/>
        </w:rPr>
      </w:pPr>
      <w:r>
        <w:rPr>
          <w:rFonts w:ascii="仿宋" w:eastAsia="仿宋" w:hAnsi="仿宋" w:hint="eastAsia"/>
          <w:color w:val="000000"/>
          <w:sz w:val="24"/>
        </w:rPr>
        <w:lastRenderedPageBreak/>
        <w:t>填报日期：</w:t>
      </w:r>
      <w:r>
        <w:rPr>
          <w:rFonts w:ascii="仿宋" w:eastAsia="仿宋" w:hAnsi="仿宋" w:hint="eastAsia"/>
          <w:color w:val="000000"/>
          <w:sz w:val="24"/>
          <w:u w:val="single"/>
        </w:rPr>
        <w:t xml:space="preserve"> </w:t>
      </w:r>
      <w:r>
        <w:rPr>
          <w:rFonts w:ascii="仿宋" w:eastAsia="仿宋" w:hAnsi="仿宋"/>
          <w:color w:val="000000"/>
          <w:sz w:val="24"/>
          <w:u w:val="single"/>
        </w:rPr>
        <w:t>2020</w:t>
      </w:r>
      <w:r>
        <w:rPr>
          <w:rFonts w:ascii="仿宋" w:eastAsia="仿宋" w:hAnsi="仿宋" w:hint="eastAsia"/>
          <w:color w:val="000000"/>
          <w:sz w:val="24"/>
          <w:u w:val="single"/>
        </w:rPr>
        <w:t xml:space="preserve"> </w:t>
      </w:r>
      <w:r>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09</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hint="eastAsia"/>
          <w:color w:val="000000"/>
          <w:sz w:val="24"/>
        </w:rPr>
        <w:t>月</w:t>
      </w:r>
      <w:r>
        <w:rPr>
          <w:rFonts w:ascii="仿宋" w:eastAsia="仿宋" w:hAnsi="仿宋" w:hint="eastAsia"/>
          <w:color w:val="000000"/>
          <w:sz w:val="24"/>
        </w:rPr>
        <w:t xml:space="preserve"> </w:t>
      </w:r>
      <w:r>
        <w:rPr>
          <w:rFonts w:ascii="仿宋" w:eastAsia="仿宋" w:hAnsi="仿宋" w:hint="eastAsia"/>
          <w:color w:val="000000"/>
          <w:sz w:val="24"/>
          <w:u w:val="single"/>
        </w:rPr>
        <w:t xml:space="preserve"> </w:t>
      </w:r>
      <w:r>
        <w:rPr>
          <w:rFonts w:ascii="仿宋" w:eastAsia="仿宋" w:hAnsi="仿宋"/>
          <w:color w:val="000000"/>
          <w:sz w:val="24"/>
          <w:u w:val="single"/>
        </w:rPr>
        <w:t>24</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hint="eastAsia"/>
          <w:color w:val="000000"/>
          <w:sz w:val="24"/>
        </w:rPr>
        <w:t>日</w:t>
      </w:r>
    </w:p>
    <w:p w:rsidR="00585755" w:rsidRDefault="00585755">
      <w:pPr>
        <w:jc w:val="center"/>
        <w:rPr>
          <w:rFonts w:ascii="宋体" w:hAnsi="宋体" w:cs="宋体"/>
          <w:b/>
          <w:sz w:val="44"/>
          <w:szCs w:val="44"/>
        </w:rPr>
        <w:sectPr w:rsidR="00585755">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cols w:space="720"/>
          <w:docGrid w:type="linesAndChars" w:linePitch="312"/>
        </w:sectPr>
      </w:pPr>
    </w:p>
    <w:p w:rsidR="00585755" w:rsidRDefault="00C94667">
      <w:pPr>
        <w:spacing w:line="360" w:lineRule="auto"/>
        <w:ind w:firstLine="640"/>
        <w:outlineLvl w:val="0"/>
        <w:rPr>
          <w:rFonts w:ascii="黑体" w:eastAsia="黑体" w:hAnsi="黑体" w:cs="仿宋_GB2312"/>
          <w:b/>
          <w:bCs/>
          <w:sz w:val="32"/>
          <w:szCs w:val="32"/>
        </w:rPr>
      </w:pPr>
      <w:bookmarkStart w:id="1" w:name="_Toc456965826"/>
      <w:r>
        <w:rPr>
          <w:rFonts w:ascii="黑体" w:eastAsia="黑体" w:hAnsi="黑体" w:cs="仿宋_GB2312" w:hint="eastAsia"/>
          <w:b/>
          <w:bCs/>
          <w:sz w:val="32"/>
          <w:szCs w:val="32"/>
        </w:rPr>
        <w:lastRenderedPageBreak/>
        <w:t>一、部门概述</w:t>
      </w:r>
      <w:bookmarkEnd w:id="1"/>
    </w:p>
    <w:p w:rsidR="00585755" w:rsidRDefault="00C94667">
      <w:pPr>
        <w:spacing w:line="360" w:lineRule="auto"/>
        <w:ind w:firstLineChars="200" w:firstLine="643"/>
        <w:outlineLvl w:val="1"/>
        <w:rPr>
          <w:rFonts w:ascii="楷体_GB2312" w:eastAsia="楷体_GB2312" w:hAnsi="仿宋" w:cs="仿宋_GB2312"/>
          <w:b/>
          <w:sz w:val="32"/>
          <w:szCs w:val="32"/>
        </w:rPr>
      </w:pPr>
      <w:bookmarkStart w:id="2" w:name="_Toc456965827"/>
      <w:r>
        <w:rPr>
          <w:rFonts w:ascii="楷体_GB2312" w:eastAsia="楷体_GB2312" w:hAnsi="仿宋" w:cs="仿宋_GB2312" w:hint="eastAsia"/>
          <w:b/>
          <w:sz w:val="32"/>
          <w:szCs w:val="32"/>
        </w:rPr>
        <w:t>（一）部门职能</w:t>
      </w:r>
      <w:bookmarkEnd w:id="2"/>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领导或者主持区人民代表大会代表的选举；</w:t>
      </w:r>
      <w:r>
        <w:rPr>
          <w:rFonts w:ascii="仿宋" w:eastAsia="仿宋" w:hAnsi="仿宋" w:hint="eastAsia"/>
          <w:sz w:val="32"/>
          <w:szCs w:val="32"/>
        </w:rPr>
        <w:t>2.</w:t>
      </w:r>
      <w:r>
        <w:rPr>
          <w:rFonts w:ascii="仿宋" w:eastAsia="仿宋" w:hAnsi="仿宋" w:hint="eastAsia"/>
          <w:sz w:val="32"/>
          <w:szCs w:val="32"/>
        </w:rPr>
        <w:t>讨论、决定南开区的重大事项；</w:t>
      </w:r>
      <w:r>
        <w:rPr>
          <w:rFonts w:ascii="仿宋" w:eastAsia="仿宋" w:hAnsi="仿宋" w:hint="eastAsia"/>
          <w:sz w:val="32"/>
          <w:szCs w:val="32"/>
        </w:rPr>
        <w:t>3.</w:t>
      </w:r>
      <w:r>
        <w:rPr>
          <w:rFonts w:ascii="仿宋" w:eastAsia="仿宋" w:hAnsi="仿宋" w:hint="eastAsia"/>
          <w:sz w:val="32"/>
          <w:szCs w:val="32"/>
        </w:rPr>
        <w:t>监督区人民政府、人民法院和人民检察院的工作，根据区长的提名，决定区政府其他组成人员的任免；</w:t>
      </w:r>
      <w:r>
        <w:rPr>
          <w:rFonts w:ascii="仿宋" w:eastAsia="仿宋" w:hAnsi="仿宋" w:hint="eastAsia"/>
          <w:sz w:val="32"/>
          <w:szCs w:val="32"/>
        </w:rPr>
        <w:t>4.</w:t>
      </w:r>
      <w:r>
        <w:rPr>
          <w:rFonts w:ascii="仿宋" w:eastAsia="仿宋" w:hAnsi="仿宋" w:hint="eastAsia"/>
          <w:sz w:val="32"/>
          <w:szCs w:val="32"/>
        </w:rPr>
        <w:t>任免区人民法院审判人员和区人民检察院检察人员等。</w:t>
      </w:r>
    </w:p>
    <w:p w:rsidR="00585755" w:rsidRDefault="00C94667">
      <w:pPr>
        <w:spacing w:line="360" w:lineRule="auto"/>
        <w:ind w:firstLineChars="200" w:firstLine="643"/>
        <w:outlineLvl w:val="1"/>
        <w:rPr>
          <w:rFonts w:ascii="楷体_GB2312" w:eastAsia="楷体_GB2312" w:hAnsi="仿宋" w:cs="仿宋_GB2312"/>
          <w:b/>
          <w:sz w:val="32"/>
          <w:szCs w:val="32"/>
        </w:rPr>
      </w:pPr>
      <w:bookmarkStart w:id="3" w:name="_Toc456965828"/>
      <w:r>
        <w:rPr>
          <w:rFonts w:ascii="楷体_GB2312" w:eastAsia="楷体_GB2312" w:hAnsi="仿宋" w:cs="仿宋_GB2312" w:hint="eastAsia"/>
          <w:b/>
          <w:sz w:val="32"/>
          <w:szCs w:val="32"/>
        </w:rPr>
        <w:t>（二）机构设置</w:t>
      </w:r>
      <w:bookmarkEnd w:id="3"/>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天津市南开区人大常委会为局级单位，内设七个职能处室：办公室、代表联络室、教科文卫委、财经委、城建城管委、内务司法委、社会委</w:t>
      </w:r>
    </w:p>
    <w:p w:rsidR="00585755" w:rsidRDefault="00C94667">
      <w:pPr>
        <w:spacing w:line="360" w:lineRule="auto"/>
        <w:ind w:firstLineChars="200" w:firstLine="643"/>
        <w:outlineLvl w:val="1"/>
        <w:rPr>
          <w:rFonts w:ascii="楷体_GB2312" w:eastAsia="楷体_GB2312" w:hAnsi="仿宋" w:cs="仿宋_GB2312"/>
          <w:b/>
          <w:sz w:val="32"/>
          <w:szCs w:val="32"/>
        </w:rPr>
      </w:pPr>
      <w:bookmarkStart w:id="4" w:name="_Toc456965829"/>
      <w:r>
        <w:rPr>
          <w:rFonts w:ascii="楷体_GB2312" w:eastAsia="楷体_GB2312" w:hAnsi="仿宋" w:cs="仿宋_GB2312" w:hint="eastAsia"/>
          <w:b/>
          <w:sz w:val="32"/>
          <w:szCs w:val="32"/>
        </w:rPr>
        <w:t>（三）</w:t>
      </w:r>
      <w:bookmarkEnd w:id="4"/>
      <w:r>
        <w:rPr>
          <w:rFonts w:ascii="楷体_GB2312" w:eastAsia="楷体_GB2312" w:hAnsi="仿宋" w:cs="仿宋_GB2312" w:hint="eastAsia"/>
          <w:b/>
          <w:sz w:val="32"/>
          <w:szCs w:val="32"/>
        </w:rPr>
        <w:t>事业发展规划</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一、以党的领导为统领，持续加强政治建设</w:t>
      </w:r>
      <w:r>
        <w:rPr>
          <w:rFonts w:ascii="仿宋" w:eastAsia="仿宋" w:hAnsi="仿宋" w:hint="eastAsia"/>
          <w:sz w:val="32"/>
          <w:szCs w:val="32"/>
        </w:rPr>
        <w:t xml:space="preserve">  </w:t>
      </w:r>
      <w:r>
        <w:rPr>
          <w:rFonts w:ascii="仿宋" w:eastAsia="仿宋" w:hAnsi="仿宋" w:hint="eastAsia"/>
          <w:sz w:val="32"/>
          <w:szCs w:val="32"/>
        </w:rPr>
        <w:t>二、以依法监督为重点，履职尽责促进发展</w:t>
      </w:r>
      <w:r>
        <w:rPr>
          <w:rFonts w:ascii="仿宋" w:eastAsia="仿宋" w:hAnsi="仿宋" w:hint="eastAsia"/>
          <w:sz w:val="32"/>
          <w:szCs w:val="32"/>
        </w:rPr>
        <w:t xml:space="preserve"> </w:t>
      </w:r>
      <w:r>
        <w:rPr>
          <w:rFonts w:ascii="仿宋" w:eastAsia="仿宋" w:hAnsi="仿宋" w:hint="eastAsia"/>
          <w:sz w:val="32"/>
          <w:szCs w:val="32"/>
        </w:rPr>
        <w:t>三、以履职平台为保障，充分发挥代表作用</w:t>
      </w:r>
      <w:r>
        <w:rPr>
          <w:rFonts w:ascii="仿宋" w:eastAsia="仿宋" w:hAnsi="仿宋" w:hint="eastAsia"/>
          <w:sz w:val="32"/>
          <w:szCs w:val="32"/>
        </w:rPr>
        <w:t xml:space="preserve">   </w:t>
      </w:r>
      <w:r>
        <w:rPr>
          <w:rFonts w:ascii="仿宋" w:eastAsia="仿宋" w:hAnsi="仿宋" w:hint="eastAsia"/>
          <w:sz w:val="32"/>
          <w:szCs w:val="32"/>
        </w:rPr>
        <w:t>四、</w:t>
      </w:r>
      <w:r>
        <w:rPr>
          <w:rFonts w:ascii="仿宋" w:eastAsia="仿宋" w:hAnsi="仿宋" w:hint="eastAsia"/>
          <w:sz w:val="32"/>
          <w:szCs w:val="32"/>
        </w:rPr>
        <w:t>以提升能力为目标，全面推进自身建设</w:t>
      </w:r>
    </w:p>
    <w:p w:rsidR="00585755" w:rsidRDefault="00C94667">
      <w:pPr>
        <w:spacing w:line="360" w:lineRule="auto"/>
        <w:ind w:firstLineChars="200" w:firstLine="643"/>
        <w:outlineLvl w:val="1"/>
        <w:rPr>
          <w:rFonts w:ascii="楷体_GB2312" w:eastAsia="楷体_GB2312" w:hAnsi="仿宋" w:cs="仿宋_GB2312"/>
          <w:b/>
          <w:sz w:val="32"/>
          <w:szCs w:val="32"/>
        </w:rPr>
      </w:pPr>
      <w:bookmarkStart w:id="5" w:name="_Toc456965830"/>
      <w:r>
        <w:rPr>
          <w:rFonts w:ascii="楷体_GB2312" w:eastAsia="楷体_GB2312" w:hAnsi="仿宋" w:cs="仿宋_GB2312" w:hint="eastAsia"/>
          <w:b/>
          <w:sz w:val="32"/>
          <w:szCs w:val="32"/>
        </w:rPr>
        <w:t>（四）</w:t>
      </w:r>
      <w:bookmarkEnd w:id="5"/>
      <w:r>
        <w:rPr>
          <w:rFonts w:ascii="楷体_GB2312" w:eastAsia="楷体_GB2312" w:hAnsi="仿宋" w:cs="仿宋_GB2312" w:hint="eastAsia"/>
          <w:b/>
          <w:sz w:val="32"/>
          <w:szCs w:val="32"/>
        </w:rPr>
        <w:t>年度预决算情况和项目立项依据</w:t>
      </w:r>
    </w:p>
    <w:p w:rsidR="00585755" w:rsidRDefault="00C94667">
      <w:pPr>
        <w:spacing w:line="360" w:lineRule="auto"/>
        <w:ind w:firstLine="640"/>
        <w:rPr>
          <w:rFonts w:ascii="仿宋" w:eastAsia="仿宋" w:hAnsi="仿宋"/>
          <w:sz w:val="32"/>
          <w:szCs w:val="32"/>
        </w:rPr>
      </w:pPr>
      <w:bookmarkStart w:id="6" w:name="_Toc456965831"/>
      <w:r>
        <w:rPr>
          <w:rFonts w:ascii="仿宋" w:eastAsia="仿宋" w:hAnsi="仿宋" w:hint="eastAsia"/>
          <w:sz w:val="32"/>
          <w:szCs w:val="32"/>
        </w:rPr>
        <w:t>2019</w:t>
      </w:r>
      <w:r>
        <w:rPr>
          <w:rFonts w:ascii="仿宋" w:eastAsia="仿宋" w:hAnsi="仿宋" w:hint="eastAsia"/>
          <w:sz w:val="32"/>
          <w:szCs w:val="32"/>
        </w:rPr>
        <w:t>年财政拨款预算收入</w:t>
      </w:r>
      <w:r>
        <w:rPr>
          <w:rFonts w:ascii="仿宋" w:eastAsia="仿宋" w:hAnsi="仿宋" w:hint="eastAsia"/>
          <w:sz w:val="32"/>
          <w:szCs w:val="32"/>
        </w:rPr>
        <w:t>1057.83</w:t>
      </w:r>
      <w:r>
        <w:rPr>
          <w:rFonts w:ascii="仿宋" w:eastAsia="仿宋" w:hAnsi="仿宋" w:hint="eastAsia"/>
          <w:sz w:val="32"/>
          <w:szCs w:val="32"/>
        </w:rPr>
        <w:t>万元，其中项目支出</w:t>
      </w:r>
      <w:r>
        <w:rPr>
          <w:rFonts w:ascii="仿宋" w:eastAsia="仿宋" w:hAnsi="仿宋" w:hint="eastAsia"/>
          <w:sz w:val="32"/>
          <w:szCs w:val="32"/>
        </w:rPr>
        <w:t>125</w:t>
      </w:r>
      <w:r>
        <w:rPr>
          <w:rFonts w:ascii="仿宋" w:eastAsia="仿宋" w:hAnsi="仿宋" w:hint="eastAsia"/>
          <w:sz w:val="32"/>
          <w:szCs w:val="32"/>
        </w:rPr>
        <w:t>万元。财政拨款决算收入</w:t>
      </w:r>
      <w:r>
        <w:rPr>
          <w:rFonts w:ascii="仿宋" w:eastAsia="仿宋" w:hAnsi="仿宋" w:hint="eastAsia"/>
          <w:sz w:val="32"/>
          <w:szCs w:val="32"/>
        </w:rPr>
        <w:t>1176.9</w:t>
      </w:r>
      <w:r>
        <w:rPr>
          <w:rFonts w:ascii="仿宋" w:eastAsia="仿宋" w:hAnsi="仿宋" w:hint="eastAsia"/>
          <w:sz w:val="32"/>
          <w:szCs w:val="32"/>
        </w:rPr>
        <w:t>万元。</w:t>
      </w:r>
      <w:r>
        <w:rPr>
          <w:rFonts w:ascii="仿宋" w:eastAsia="仿宋" w:hAnsi="仿宋" w:hint="eastAsia"/>
          <w:sz w:val="32"/>
          <w:szCs w:val="32"/>
        </w:rPr>
        <w:t>2019</w:t>
      </w:r>
      <w:r>
        <w:rPr>
          <w:rFonts w:ascii="仿宋" w:eastAsia="仿宋" w:hAnsi="仿宋" w:hint="eastAsia"/>
          <w:sz w:val="32"/>
          <w:szCs w:val="32"/>
        </w:rPr>
        <w:t>年财政拨</w:t>
      </w:r>
      <w:r>
        <w:rPr>
          <w:rFonts w:ascii="仿宋" w:eastAsia="仿宋" w:hAnsi="仿宋" w:hint="eastAsia"/>
          <w:sz w:val="32"/>
          <w:szCs w:val="32"/>
        </w:rPr>
        <w:lastRenderedPageBreak/>
        <w:t>款决算支出</w:t>
      </w:r>
      <w:r>
        <w:rPr>
          <w:rFonts w:ascii="仿宋" w:eastAsia="仿宋" w:hAnsi="仿宋" w:hint="eastAsia"/>
          <w:sz w:val="32"/>
          <w:szCs w:val="32"/>
        </w:rPr>
        <w:t>1179.66</w:t>
      </w:r>
      <w:r>
        <w:rPr>
          <w:rFonts w:ascii="仿宋" w:eastAsia="仿宋" w:hAnsi="仿宋" w:hint="eastAsia"/>
          <w:sz w:val="32"/>
          <w:szCs w:val="32"/>
        </w:rPr>
        <w:t>万元，其中项目支出</w:t>
      </w:r>
      <w:r>
        <w:rPr>
          <w:rFonts w:ascii="仿宋" w:eastAsia="仿宋" w:hAnsi="仿宋" w:hint="eastAsia"/>
          <w:sz w:val="32"/>
          <w:szCs w:val="32"/>
        </w:rPr>
        <w:t>121.75</w:t>
      </w:r>
      <w:r>
        <w:rPr>
          <w:rFonts w:ascii="仿宋" w:eastAsia="仿宋" w:hAnsi="仿宋" w:hint="eastAsia"/>
          <w:sz w:val="32"/>
          <w:szCs w:val="32"/>
        </w:rPr>
        <w:t>万元。</w:t>
      </w:r>
    </w:p>
    <w:p w:rsidR="00585755" w:rsidRDefault="00C94667">
      <w:pPr>
        <w:spacing w:line="360" w:lineRule="auto"/>
        <w:ind w:firstLineChars="200" w:firstLine="643"/>
        <w:outlineLvl w:val="1"/>
        <w:rPr>
          <w:rFonts w:ascii="楷体_GB2312" w:eastAsia="楷体_GB2312" w:hAnsi="仿宋" w:cs="仿宋_GB2312"/>
          <w:b/>
          <w:sz w:val="32"/>
          <w:szCs w:val="32"/>
        </w:rPr>
      </w:pPr>
      <w:r>
        <w:rPr>
          <w:rFonts w:ascii="楷体_GB2312" w:eastAsia="楷体_GB2312" w:hAnsi="仿宋" w:cs="仿宋_GB2312" w:hint="eastAsia"/>
          <w:b/>
          <w:sz w:val="32"/>
          <w:szCs w:val="32"/>
        </w:rPr>
        <w:t>（五）部门资产情况</w:t>
      </w:r>
      <w:bookmarkEnd w:id="6"/>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年决算资产总计</w:t>
      </w:r>
      <w:r>
        <w:rPr>
          <w:rFonts w:ascii="仿宋" w:eastAsia="仿宋" w:hAnsi="仿宋" w:hint="eastAsia"/>
          <w:sz w:val="32"/>
          <w:szCs w:val="32"/>
        </w:rPr>
        <w:t>216.93</w:t>
      </w:r>
      <w:r>
        <w:rPr>
          <w:rFonts w:ascii="仿宋" w:eastAsia="仿宋" w:hAnsi="仿宋" w:hint="eastAsia"/>
          <w:sz w:val="32"/>
          <w:szCs w:val="32"/>
        </w:rPr>
        <w:t>万元，其中流动资产</w:t>
      </w:r>
      <w:r>
        <w:rPr>
          <w:rFonts w:ascii="仿宋" w:eastAsia="仿宋" w:hAnsi="仿宋" w:hint="eastAsia"/>
          <w:sz w:val="32"/>
          <w:szCs w:val="32"/>
        </w:rPr>
        <w:t>160.86</w:t>
      </w:r>
      <w:r>
        <w:rPr>
          <w:rFonts w:ascii="仿宋" w:eastAsia="仿宋" w:hAnsi="仿宋" w:hint="eastAsia"/>
          <w:sz w:val="32"/>
          <w:szCs w:val="32"/>
        </w:rPr>
        <w:t>万元，固定资产</w:t>
      </w:r>
      <w:r>
        <w:rPr>
          <w:rFonts w:ascii="仿宋" w:eastAsia="仿宋" w:hAnsi="仿宋" w:hint="eastAsia"/>
          <w:sz w:val="32"/>
          <w:szCs w:val="32"/>
        </w:rPr>
        <w:t>277.4</w:t>
      </w:r>
      <w:r>
        <w:rPr>
          <w:rFonts w:ascii="仿宋" w:eastAsia="仿宋" w:hAnsi="仿宋" w:hint="eastAsia"/>
          <w:sz w:val="32"/>
          <w:szCs w:val="32"/>
        </w:rPr>
        <w:t>万元，固定资产累计折旧</w:t>
      </w:r>
      <w:r>
        <w:rPr>
          <w:rFonts w:ascii="仿宋" w:eastAsia="仿宋" w:hAnsi="仿宋" w:hint="eastAsia"/>
          <w:sz w:val="32"/>
          <w:szCs w:val="32"/>
        </w:rPr>
        <w:t>221.32</w:t>
      </w:r>
      <w:r>
        <w:rPr>
          <w:rFonts w:ascii="仿宋" w:eastAsia="仿宋" w:hAnsi="仿宋" w:hint="eastAsia"/>
          <w:sz w:val="32"/>
          <w:szCs w:val="32"/>
        </w:rPr>
        <w:t>万元。负债</w:t>
      </w:r>
      <w:r>
        <w:rPr>
          <w:rFonts w:ascii="仿宋" w:eastAsia="仿宋" w:hAnsi="仿宋" w:hint="eastAsia"/>
          <w:sz w:val="32"/>
          <w:szCs w:val="32"/>
        </w:rPr>
        <w:t>98.25</w:t>
      </w:r>
      <w:r>
        <w:rPr>
          <w:rFonts w:ascii="仿宋" w:eastAsia="仿宋" w:hAnsi="仿宋" w:hint="eastAsia"/>
          <w:sz w:val="32"/>
          <w:szCs w:val="32"/>
        </w:rPr>
        <w:t>万元，其中其他应付款</w:t>
      </w:r>
      <w:r>
        <w:rPr>
          <w:rFonts w:ascii="仿宋" w:eastAsia="仿宋" w:hAnsi="仿宋" w:hint="eastAsia"/>
          <w:sz w:val="32"/>
          <w:szCs w:val="32"/>
        </w:rPr>
        <w:t>98.21</w:t>
      </w:r>
      <w:r>
        <w:rPr>
          <w:rFonts w:ascii="仿宋" w:eastAsia="仿宋" w:hAnsi="仿宋" w:hint="eastAsia"/>
          <w:sz w:val="32"/>
          <w:szCs w:val="32"/>
        </w:rPr>
        <w:t>万元。净资产</w:t>
      </w:r>
      <w:r>
        <w:rPr>
          <w:rFonts w:ascii="仿宋" w:eastAsia="仿宋" w:hAnsi="仿宋" w:hint="eastAsia"/>
          <w:sz w:val="32"/>
          <w:szCs w:val="32"/>
        </w:rPr>
        <w:t>118.68</w:t>
      </w:r>
      <w:r>
        <w:rPr>
          <w:rFonts w:ascii="仿宋" w:eastAsia="仿宋" w:hAnsi="仿宋" w:hint="eastAsia"/>
          <w:sz w:val="32"/>
          <w:szCs w:val="32"/>
        </w:rPr>
        <w:t>万元</w:t>
      </w:r>
    </w:p>
    <w:p w:rsidR="00585755" w:rsidRDefault="00C94667">
      <w:pPr>
        <w:pStyle w:val="a6"/>
        <w:spacing w:before="0" w:beforeAutospacing="0" w:after="0" w:afterAutospacing="0" w:line="360" w:lineRule="auto"/>
        <w:ind w:firstLineChars="200" w:firstLine="643"/>
        <w:jc w:val="both"/>
        <w:rPr>
          <w:rFonts w:ascii="黑体" w:eastAsia="黑体" w:hAnsi="黑体" w:cs="Times New Roman"/>
          <w:b/>
          <w:color w:val="auto"/>
          <w:kern w:val="2"/>
          <w:sz w:val="32"/>
          <w:szCs w:val="32"/>
        </w:rPr>
      </w:pPr>
      <w:bookmarkStart w:id="7" w:name="_Toc268005759"/>
      <w:bookmarkStart w:id="8" w:name="_Toc263686375"/>
      <w:bookmarkStart w:id="9" w:name="_Toc456965846"/>
      <w:r>
        <w:rPr>
          <w:rFonts w:ascii="黑体" w:eastAsia="黑体" w:hAnsi="黑体" w:cs="Times New Roman" w:hint="eastAsia"/>
          <w:b/>
          <w:color w:val="auto"/>
          <w:kern w:val="2"/>
          <w:sz w:val="32"/>
          <w:szCs w:val="32"/>
        </w:rPr>
        <w:t>二、部门</w:t>
      </w:r>
      <w:bookmarkEnd w:id="7"/>
      <w:r>
        <w:rPr>
          <w:rFonts w:ascii="黑体" w:eastAsia="黑体" w:hAnsi="黑体" w:cs="Times New Roman" w:hint="eastAsia"/>
          <w:b/>
          <w:color w:val="auto"/>
          <w:kern w:val="2"/>
          <w:sz w:val="32"/>
          <w:szCs w:val="32"/>
        </w:rPr>
        <w:t>绩效目标设置及决策情况</w:t>
      </w:r>
    </w:p>
    <w:p w:rsidR="00585755" w:rsidRDefault="00C94667">
      <w:pPr>
        <w:spacing w:line="360" w:lineRule="auto"/>
        <w:ind w:firstLineChars="200" w:firstLine="643"/>
        <w:outlineLvl w:val="1"/>
        <w:rPr>
          <w:rFonts w:ascii="楷体_GB2312" w:eastAsia="楷体_GB2312" w:hAnsi="仿宋" w:cs="仿宋_GB2312"/>
          <w:b/>
          <w:sz w:val="32"/>
          <w:szCs w:val="32"/>
        </w:rPr>
      </w:pPr>
      <w:bookmarkStart w:id="10" w:name="_Toc268005760"/>
      <w:r>
        <w:rPr>
          <w:rFonts w:ascii="楷体_GB2312" w:eastAsia="楷体_GB2312" w:hAnsi="仿宋" w:cs="仿宋_GB2312" w:hint="eastAsia"/>
          <w:b/>
          <w:sz w:val="32"/>
          <w:szCs w:val="32"/>
        </w:rPr>
        <w:t>（一）</w:t>
      </w:r>
      <w:bookmarkEnd w:id="10"/>
      <w:r>
        <w:rPr>
          <w:rFonts w:ascii="楷体_GB2312" w:eastAsia="楷体_GB2312" w:hAnsi="仿宋" w:cs="仿宋_GB2312" w:hint="eastAsia"/>
          <w:b/>
          <w:sz w:val="32"/>
          <w:szCs w:val="32"/>
        </w:rPr>
        <w:t>部门绩效目标和绩效指标设定情况</w:t>
      </w:r>
    </w:p>
    <w:p w:rsidR="00585755" w:rsidRDefault="00C94667">
      <w:pPr>
        <w:spacing w:line="360" w:lineRule="auto"/>
        <w:ind w:firstLine="640"/>
        <w:rPr>
          <w:rFonts w:ascii="仿宋" w:eastAsia="仿宋" w:hAnsi="仿宋"/>
          <w:sz w:val="32"/>
          <w:szCs w:val="32"/>
        </w:rPr>
      </w:pPr>
      <w:bookmarkStart w:id="11" w:name="_Toc268005761"/>
      <w:r>
        <w:rPr>
          <w:rFonts w:ascii="仿宋" w:eastAsia="仿宋" w:hAnsi="仿宋" w:hint="eastAsia"/>
          <w:sz w:val="32"/>
          <w:szCs w:val="32"/>
        </w:rPr>
        <w:t>一、坚持党的全面领导，确保正确政治方向</w:t>
      </w:r>
      <w:r>
        <w:rPr>
          <w:rFonts w:ascii="仿宋" w:eastAsia="仿宋" w:hAnsi="仿宋" w:hint="eastAsia"/>
          <w:sz w:val="32"/>
          <w:szCs w:val="32"/>
        </w:rPr>
        <w:t xml:space="preserve"> 1.</w:t>
      </w:r>
      <w:r>
        <w:rPr>
          <w:rFonts w:ascii="仿宋" w:eastAsia="仿宋" w:hAnsi="仿宋" w:hint="eastAsia"/>
          <w:sz w:val="32"/>
          <w:szCs w:val="32"/>
        </w:rPr>
        <w:t>深入学习贯彻习近平新时代中国特色社会主义思想。</w:t>
      </w:r>
      <w:r>
        <w:rPr>
          <w:rFonts w:ascii="仿宋" w:eastAsia="仿宋" w:hAnsi="仿宋" w:hint="eastAsia"/>
          <w:sz w:val="32"/>
          <w:szCs w:val="32"/>
        </w:rPr>
        <w:t xml:space="preserve">   2.</w:t>
      </w:r>
      <w:r>
        <w:rPr>
          <w:rFonts w:ascii="仿宋" w:eastAsia="仿宋" w:hAnsi="仿宋" w:hint="eastAsia"/>
          <w:sz w:val="32"/>
          <w:szCs w:val="32"/>
        </w:rPr>
        <w:t>加强政治建设。</w:t>
      </w:r>
      <w:r>
        <w:rPr>
          <w:rFonts w:ascii="仿宋" w:eastAsia="仿宋" w:hAnsi="仿宋" w:hint="eastAsia"/>
          <w:sz w:val="32"/>
          <w:szCs w:val="32"/>
        </w:rPr>
        <w:t>3.</w:t>
      </w:r>
      <w:r>
        <w:rPr>
          <w:rFonts w:ascii="仿宋" w:eastAsia="仿宋" w:hAnsi="仿宋" w:hint="eastAsia"/>
          <w:sz w:val="32"/>
          <w:szCs w:val="32"/>
        </w:rPr>
        <w:t>自觉接受党的领导。</w:t>
      </w:r>
      <w:r>
        <w:rPr>
          <w:rFonts w:ascii="仿宋" w:eastAsia="仿宋" w:hAnsi="仿宋" w:hint="eastAsia"/>
          <w:sz w:val="32"/>
          <w:szCs w:val="32"/>
        </w:rPr>
        <w:t xml:space="preserve">  </w:t>
      </w:r>
      <w:r>
        <w:rPr>
          <w:rFonts w:ascii="仿宋" w:eastAsia="仿宋" w:hAnsi="仿宋" w:hint="eastAsia"/>
          <w:sz w:val="32"/>
          <w:szCs w:val="32"/>
        </w:rPr>
        <w:t>二、坚持依法开展监督，持续用力推进工作</w:t>
      </w:r>
      <w:r>
        <w:rPr>
          <w:rFonts w:ascii="仿宋" w:eastAsia="仿宋" w:hAnsi="仿宋" w:hint="eastAsia"/>
          <w:sz w:val="32"/>
          <w:szCs w:val="32"/>
        </w:rPr>
        <w:t>4.</w:t>
      </w:r>
      <w:r>
        <w:rPr>
          <w:rFonts w:ascii="仿宋" w:eastAsia="仿宋" w:hAnsi="仿宋" w:hint="eastAsia"/>
          <w:sz w:val="32"/>
          <w:szCs w:val="32"/>
        </w:rPr>
        <w:t>推动高质量发展。</w:t>
      </w:r>
      <w:r>
        <w:rPr>
          <w:rFonts w:ascii="仿宋" w:eastAsia="仿宋" w:hAnsi="仿宋" w:hint="eastAsia"/>
          <w:sz w:val="32"/>
          <w:szCs w:val="32"/>
        </w:rPr>
        <w:t>5.</w:t>
      </w:r>
      <w:r>
        <w:rPr>
          <w:rFonts w:ascii="仿宋" w:eastAsia="仿宋" w:hAnsi="仿宋" w:hint="eastAsia"/>
          <w:sz w:val="32"/>
          <w:szCs w:val="32"/>
        </w:rPr>
        <w:t>加强对民生重点工作的监督。</w:t>
      </w:r>
      <w:r>
        <w:rPr>
          <w:rFonts w:ascii="仿宋" w:eastAsia="仿宋" w:hAnsi="仿宋" w:hint="eastAsia"/>
          <w:sz w:val="32"/>
          <w:szCs w:val="32"/>
        </w:rPr>
        <w:t>6.</w:t>
      </w:r>
      <w:r>
        <w:rPr>
          <w:rFonts w:ascii="仿宋" w:eastAsia="仿宋" w:hAnsi="仿宋" w:hint="eastAsia"/>
          <w:sz w:val="32"/>
          <w:szCs w:val="32"/>
        </w:rPr>
        <w:t>推进创文创卫工作。</w:t>
      </w:r>
      <w:r>
        <w:rPr>
          <w:rFonts w:ascii="仿宋" w:eastAsia="仿宋" w:hAnsi="仿宋" w:hint="eastAsia"/>
          <w:sz w:val="32"/>
          <w:szCs w:val="32"/>
        </w:rPr>
        <w:t>7</w:t>
      </w:r>
      <w:r>
        <w:rPr>
          <w:rFonts w:ascii="仿宋" w:eastAsia="仿宋" w:hAnsi="仿宋" w:hint="eastAsia"/>
          <w:sz w:val="32"/>
          <w:szCs w:val="32"/>
        </w:rPr>
        <w:t>加强对依法治区工作的监督。</w:t>
      </w:r>
      <w:r>
        <w:rPr>
          <w:rFonts w:ascii="仿宋" w:eastAsia="仿宋" w:hAnsi="仿宋" w:hint="eastAsia"/>
          <w:sz w:val="32"/>
          <w:szCs w:val="32"/>
        </w:rPr>
        <w:t>8.</w:t>
      </w:r>
      <w:r>
        <w:rPr>
          <w:rFonts w:ascii="仿宋" w:eastAsia="仿宋" w:hAnsi="仿宋" w:hint="eastAsia"/>
          <w:sz w:val="32"/>
          <w:szCs w:val="32"/>
        </w:rPr>
        <w:t>加强对预决算管理的监督</w:t>
      </w:r>
      <w:r>
        <w:rPr>
          <w:rFonts w:ascii="仿宋" w:eastAsia="仿宋" w:hAnsi="仿宋" w:hint="eastAsia"/>
          <w:sz w:val="32"/>
          <w:szCs w:val="32"/>
        </w:rPr>
        <w:t xml:space="preserve"> 9.</w:t>
      </w:r>
      <w:r>
        <w:rPr>
          <w:rFonts w:ascii="仿宋" w:eastAsia="仿宋" w:hAnsi="仿宋" w:hint="eastAsia"/>
          <w:sz w:val="32"/>
          <w:szCs w:val="32"/>
        </w:rPr>
        <w:t>依法做好人事任免工作</w:t>
      </w:r>
      <w:r>
        <w:rPr>
          <w:rFonts w:ascii="仿宋" w:eastAsia="仿宋" w:hAnsi="仿宋" w:hint="eastAsia"/>
          <w:sz w:val="32"/>
          <w:szCs w:val="32"/>
        </w:rPr>
        <w:t xml:space="preserve">  </w:t>
      </w:r>
      <w:r>
        <w:rPr>
          <w:rFonts w:ascii="仿宋" w:eastAsia="仿宋" w:hAnsi="仿宋" w:hint="eastAsia"/>
          <w:sz w:val="32"/>
          <w:szCs w:val="32"/>
        </w:rPr>
        <w:t>三、坚持严格培训管理，激发代表履职活力</w:t>
      </w:r>
      <w:r>
        <w:rPr>
          <w:rFonts w:ascii="仿宋" w:eastAsia="仿宋" w:hAnsi="仿宋" w:hint="eastAsia"/>
          <w:sz w:val="32"/>
          <w:szCs w:val="32"/>
        </w:rPr>
        <w:t>10.</w:t>
      </w:r>
      <w:r>
        <w:rPr>
          <w:rFonts w:ascii="仿宋" w:eastAsia="仿宋" w:hAnsi="仿宋" w:hint="eastAsia"/>
          <w:sz w:val="32"/>
          <w:szCs w:val="32"/>
        </w:rPr>
        <w:t>加强代表管理培训。</w:t>
      </w:r>
      <w:r>
        <w:rPr>
          <w:rFonts w:ascii="仿宋" w:eastAsia="仿宋" w:hAnsi="仿宋" w:hint="eastAsia"/>
          <w:sz w:val="32"/>
          <w:szCs w:val="32"/>
        </w:rPr>
        <w:t>11</w:t>
      </w:r>
      <w:r>
        <w:rPr>
          <w:rFonts w:ascii="仿宋" w:eastAsia="仿宋" w:hAnsi="仿宋" w:hint="eastAsia"/>
          <w:sz w:val="32"/>
          <w:szCs w:val="32"/>
        </w:rPr>
        <w:t>密切代表与人民群众的联系</w:t>
      </w:r>
      <w:r>
        <w:rPr>
          <w:rFonts w:ascii="仿宋" w:eastAsia="仿宋" w:hAnsi="仿宋" w:hint="eastAsia"/>
          <w:sz w:val="32"/>
          <w:szCs w:val="32"/>
        </w:rPr>
        <w:t xml:space="preserve"> 12.</w:t>
      </w:r>
      <w:r>
        <w:rPr>
          <w:rFonts w:ascii="仿宋" w:eastAsia="仿宋" w:hAnsi="仿宋" w:hint="eastAsia"/>
          <w:sz w:val="32"/>
          <w:szCs w:val="32"/>
        </w:rPr>
        <w:t>丰富闭会期间代表活动</w:t>
      </w:r>
      <w:r>
        <w:rPr>
          <w:rFonts w:ascii="仿宋" w:eastAsia="仿宋" w:hAnsi="仿宋" w:hint="eastAsia"/>
          <w:sz w:val="32"/>
          <w:szCs w:val="32"/>
        </w:rPr>
        <w:t xml:space="preserve"> 13</w:t>
      </w:r>
      <w:r>
        <w:rPr>
          <w:rFonts w:ascii="仿宋" w:eastAsia="仿宋" w:hAnsi="仿宋" w:hint="eastAsia"/>
          <w:sz w:val="32"/>
          <w:szCs w:val="32"/>
        </w:rPr>
        <w:t>加大代表议案建议</w:t>
      </w:r>
      <w:r>
        <w:rPr>
          <w:rFonts w:ascii="仿宋" w:eastAsia="仿宋" w:hAnsi="仿宋" w:hint="eastAsia"/>
          <w:sz w:val="32"/>
          <w:szCs w:val="32"/>
        </w:rPr>
        <w:t>督办力度</w:t>
      </w:r>
      <w:r>
        <w:rPr>
          <w:rFonts w:ascii="仿宋" w:eastAsia="仿宋" w:hAnsi="仿宋" w:hint="eastAsia"/>
          <w:sz w:val="32"/>
          <w:szCs w:val="32"/>
        </w:rPr>
        <w:t xml:space="preserve"> 14.</w:t>
      </w:r>
      <w:r>
        <w:rPr>
          <w:rFonts w:ascii="仿宋" w:eastAsia="仿宋" w:hAnsi="仿宋" w:hint="eastAsia"/>
          <w:sz w:val="32"/>
          <w:szCs w:val="32"/>
        </w:rPr>
        <w:t>加强人大街道工委建设</w:t>
      </w:r>
      <w:r>
        <w:rPr>
          <w:rFonts w:ascii="仿宋" w:eastAsia="仿宋" w:hAnsi="仿宋" w:hint="eastAsia"/>
          <w:sz w:val="32"/>
          <w:szCs w:val="32"/>
        </w:rPr>
        <w:t xml:space="preserve"> 15.</w:t>
      </w:r>
      <w:r>
        <w:rPr>
          <w:rFonts w:ascii="仿宋" w:eastAsia="仿宋" w:hAnsi="仿宋" w:hint="eastAsia"/>
          <w:sz w:val="32"/>
          <w:szCs w:val="32"/>
        </w:rPr>
        <w:t>认真做好市人大代表的服务和联络工作</w:t>
      </w:r>
      <w:r>
        <w:rPr>
          <w:rFonts w:ascii="仿宋" w:eastAsia="仿宋" w:hAnsi="仿宋" w:hint="eastAsia"/>
          <w:sz w:val="32"/>
          <w:szCs w:val="32"/>
        </w:rPr>
        <w:t xml:space="preserve">  </w:t>
      </w:r>
      <w:r>
        <w:rPr>
          <w:rFonts w:ascii="仿宋" w:eastAsia="仿宋" w:hAnsi="仿宋" w:hint="eastAsia"/>
          <w:sz w:val="32"/>
          <w:szCs w:val="32"/>
        </w:rPr>
        <w:t>四、坚持提升履职能力，持续加强自身建设</w:t>
      </w:r>
      <w:r>
        <w:rPr>
          <w:rFonts w:ascii="仿宋" w:eastAsia="仿宋" w:hAnsi="仿宋" w:hint="eastAsia"/>
          <w:sz w:val="32"/>
          <w:szCs w:val="32"/>
        </w:rPr>
        <w:t>16.</w:t>
      </w:r>
      <w:r>
        <w:rPr>
          <w:rFonts w:ascii="仿宋" w:eastAsia="仿宋" w:hAnsi="仿宋" w:hint="eastAsia"/>
          <w:sz w:val="32"/>
          <w:szCs w:val="32"/>
        </w:rPr>
        <w:t>强化理论武装</w:t>
      </w:r>
      <w:r>
        <w:rPr>
          <w:rFonts w:ascii="仿宋" w:eastAsia="仿宋" w:hAnsi="仿宋" w:hint="eastAsia"/>
          <w:sz w:val="32"/>
          <w:szCs w:val="32"/>
        </w:rPr>
        <w:t xml:space="preserve"> 17.</w:t>
      </w:r>
      <w:r>
        <w:rPr>
          <w:rFonts w:ascii="仿宋" w:eastAsia="仿宋" w:hAnsi="仿宋" w:hint="eastAsia"/>
          <w:sz w:val="32"/>
          <w:szCs w:val="32"/>
        </w:rPr>
        <w:t>加强作风建设</w:t>
      </w:r>
      <w:r>
        <w:rPr>
          <w:rFonts w:ascii="仿宋" w:eastAsia="仿宋" w:hAnsi="仿宋" w:hint="eastAsia"/>
          <w:sz w:val="32"/>
          <w:szCs w:val="32"/>
        </w:rPr>
        <w:t xml:space="preserve"> 18.</w:t>
      </w:r>
      <w:r>
        <w:rPr>
          <w:rFonts w:ascii="仿宋" w:eastAsia="仿宋" w:hAnsi="仿宋" w:hint="eastAsia"/>
          <w:sz w:val="32"/>
          <w:szCs w:val="32"/>
        </w:rPr>
        <w:t>加强机关党建工作和干部队伍建设</w:t>
      </w:r>
    </w:p>
    <w:p w:rsidR="00585755" w:rsidRDefault="00C94667">
      <w:pPr>
        <w:spacing w:line="360" w:lineRule="auto"/>
        <w:ind w:firstLineChars="200" w:firstLine="643"/>
        <w:outlineLvl w:val="1"/>
        <w:rPr>
          <w:rFonts w:ascii="楷体_GB2312" w:eastAsia="楷体_GB2312" w:hAnsi="仿宋" w:cs="仿宋_GB2312"/>
          <w:b/>
          <w:sz w:val="32"/>
          <w:szCs w:val="32"/>
        </w:rPr>
      </w:pPr>
      <w:r>
        <w:rPr>
          <w:rFonts w:ascii="楷体_GB2312" w:eastAsia="楷体_GB2312" w:hAnsi="仿宋" w:cs="仿宋_GB2312" w:hint="eastAsia"/>
          <w:b/>
          <w:sz w:val="32"/>
          <w:szCs w:val="32"/>
        </w:rPr>
        <w:lastRenderedPageBreak/>
        <w:t>（二）</w:t>
      </w:r>
      <w:bookmarkEnd w:id="11"/>
      <w:r>
        <w:rPr>
          <w:rFonts w:ascii="楷体_GB2312" w:eastAsia="楷体_GB2312" w:hAnsi="仿宋" w:cs="仿宋_GB2312" w:hint="eastAsia"/>
          <w:b/>
          <w:sz w:val="32"/>
          <w:szCs w:val="32"/>
        </w:rPr>
        <w:t>部门决策情况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决策依据</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扎实开展“不忘初心、牢记使命”主题教育。区人大常委会党组、机关党组和机关全体党员干部把深入学习贯彻习近平新时代中国特色社会主义思想作为根本任务，紧扣主题、严格标准、强化责任，坚持抓思想认识到位、抓检视问题到位、抓整改落实到位、抓组织领导到位，切实把学习教育、调查研究、检视问题、整</w:t>
      </w:r>
      <w:r>
        <w:rPr>
          <w:rFonts w:ascii="仿宋" w:eastAsia="仿宋" w:hAnsi="仿宋" w:hint="eastAsia"/>
          <w:sz w:val="32"/>
          <w:szCs w:val="32"/>
        </w:rPr>
        <w:t>改落实贯穿始终。开展专题学习研讨</w:t>
      </w:r>
      <w:r>
        <w:rPr>
          <w:rFonts w:ascii="仿宋" w:eastAsia="仿宋" w:hAnsi="仿宋" w:hint="eastAsia"/>
          <w:sz w:val="32"/>
          <w:szCs w:val="32"/>
        </w:rPr>
        <w:t>12</w:t>
      </w:r>
      <w:r>
        <w:rPr>
          <w:rFonts w:ascii="仿宋" w:eastAsia="仿宋" w:hAnsi="仿宋" w:hint="eastAsia"/>
          <w:sz w:val="32"/>
          <w:szCs w:val="32"/>
        </w:rPr>
        <w:t>次，形成调研报告</w:t>
      </w:r>
      <w:r>
        <w:rPr>
          <w:rFonts w:ascii="仿宋" w:eastAsia="仿宋" w:hAnsi="仿宋" w:hint="eastAsia"/>
          <w:sz w:val="32"/>
          <w:szCs w:val="32"/>
        </w:rPr>
        <w:t>16</w:t>
      </w:r>
      <w:r>
        <w:rPr>
          <w:rFonts w:ascii="仿宋" w:eastAsia="仿宋" w:hAnsi="仿宋" w:hint="eastAsia"/>
          <w:sz w:val="32"/>
          <w:szCs w:val="32"/>
        </w:rPr>
        <w:t>篇，征求意见</w:t>
      </w:r>
      <w:r>
        <w:rPr>
          <w:rFonts w:ascii="仿宋" w:eastAsia="仿宋" w:hAnsi="仿宋" w:hint="eastAsia"/>
          <w:sz w:val="32"/>
          <w:szCs w:val="32"/>
        </w:rPr>
        <w:t>66</w:t>
      </w:r>
      <w:r>
        <w:rPr>
          <w:rFonts w:ascii="仿宋" w:eastAsia="仿宋" w:hAnsi="仿宋" w:hint="eastAsia"/>
          <w:sz w:val="32"/>
          <w:szCs w:val="32"/>
        </w:rPr>
        <w:t>条次，制定整改措施</w:t>
      </w:r>
      <w:r>
        <w:rPr>
          <w:rFonts w:ascii="仿宋" w:eastAsia="仿宋" w:hAnsi="仿宋" w:hint="eastAsia"/>
          <w:sz w:val="32"/>
          <w:szCs w:val="32"/>
        </w:rPr>
        <w:t>46</w:t>
      </w:r>
      <w:r>
        <w:rPr>
          <w:rFonts w:ascii="仿宋" w:eastAsia="仿宋" w:hAnsi="仿宋" w:hint="eastAsia"/>
          <w:sz w:val="32"/>
          <w:szCs w:val="32"/>
        </w:rPr>
        <w:t>条，建章立制</w:t>
      </w:r>
      <w:r>
        <w:rPr>
          <w:rFonts w:ascii="仿宋" w:eastAsia="仿宋" w:hAnsi="仿宋" w:hint="eastAsia"/>
          <w:sz w:val="32"/>
          <w:szCs w:val="32"/>
        </w:rPr>
        <w:t>44</w:t>
      </w:r>
      <w:r>
        <w:rPr>
          <w:rFonts w:ascii="仿宋" w:eastAsia="仿宋" w:hAnsi="仿宋" w:hint="eastAsia"/>
          <w:sz w:val="32"/>
          <w:szCs w:val="32"/>
        </w:rPr>
        <w:t>项，确保学风实、过程实、整改实、效果实，推动主题教育取得阶段性成果，以人大工作创新发展的实际成效彰显主题教育效果。</w:t>
      </w:r>
      <w:r>
        <w:rPr>
          <w:rFonts w:ascii="仿宋" w:eastAsia="仿宋" w:hAnsi="仿宋" w:hint="eastAsia"/>
          <w:sz w:val="32"/>
          <w:szCs w:val="32"/>
        </w:rPr>
        <w:t xml:space="preserve"> </w:t>
      </w:r>
      <w:r>
        <w:rPr>
          <w:rFonts w:ascii="仿宋" w:eastAsia="仿宋" w:hAnsi="仿宋" w:hint="eastAsia"/>
          <w:sz w:val="32"/>
          <w:szCs w:val="32"/>
        </w:rPr>
        <w:t>常委会依法行使监督、决定、任免等职权，做到监督动真格、支持有力度，努力推动区域经济社会发展依法有序运行。全年召开常委会会议</w:t>
      </w:r>
      <w:r>
        <w:rPr>
          <w:rFonts w:ascii="仿宋" w:eastAsia="仿宋" w:hAnsi="仿宋" w:hint="eastAsia"/>
          <w:sz w:val="32"/>
          <w:szCs w:val="32"/>
        </w:rPr>
        <w:t>10</w:t>
      </w:r>
      <w:r>
        <w:rPr>
          <w:rFonts w:ascii="仿宋" w:eastAsia="仿宋" w:hAnsi="仿宋" w:hint="eastAsia"/>
          <w:sz w:val="32"/>
          <w:szCs w:val="32"/>
        </w:rPr>
        <w:t>次，主任会议</w:t>
      </w:r>
      <w:r>
        <w:rPr>
          <w:rFonts w:ascii="仿宋" w:eastAsia="仿宋" w:hAnsi="仿宋" w:hint="eastAsia"/>
          <w:sz w:val="32"/>
          <w:szCs w:val="32"/>
        </w:rPr>
        <w:t>12</w:t>
      </w:r>
      <w:r>
        <w:rPr>
          <w:rFonts w:ascii="仿宋" w:eastAsia="仿宋" w:hAnsi="仿宋" w:hint="eastAsia"/>
          <w:sz w:val="32"/>
          <w:szCs w:val="32"/>
        </w:rPr>
        <w:t>次。听取、审议区“一府两院”专项工作报告</w:t>
      </w:r>
      <w:r>
        <w:rPr>
          <w:rFonts w:ascii="仿宋" w:eastAsia="仿宋" w:hAnsi="仿宋" w:hint="eastAsia"/>
          <w:sz w:val="32"/>
          <w:szCs w:val="32"/>
        </w:rPr>
        <w:t>23</w:t>
      </w:r>
      <w:r>
        <w:rPr>
          <w:rFonts w:ascii="仿宋" w:eastAsia="仿宋" w:hAnsi="仿宋" w:hint="eastAsia"/>
          <w:sz w:val="32"/>
          <w:szCs w:val="32"/>
        </w:rPr>
        <w:t>项，依法作出决议、决定</w:t>
      </w:r>
      <w:r>
        <w:rPr>
          <w:rFonts w:ascii="仿宋" w:eastAsia="仿宋" w:hAnsi="仿宋" w:hint="eastAsia"/>
          <w:sz w:val="32"/>
          <w:szCs w:val="32"/>
        </w:rPr>
        <w:t>6</w:t>
      </w:r>
      <w:r>
        <w:rPr>
          <w:rFonts w:ascii="仿宋" w:eastAsia="仿宋" w:hAnsi="仿宋" w:hint="eastAsia"/>
          <w:sz w:val="32"/>
          <w:szCs w:val="32"/>
        </w:rPr>
        <w:t>项，开展执法检查</w:t>
      </w:r>
      <w:r>
        <w:rPr>
          <w:rFonts w:ascii="仿宋" w:eastAsia="仿宋" w:hAnsi="仿宋" w:hint="eastAsia"/>
          <w:sz w:val="32"/>
          <w:szCs w:val="32"/>
        </w:rPr>
        <w:t>5</w:t>
      </w:r>
      <w:r>
        <w:rPr>
          <w:rFonts w:ascii="仿宋" w:eastAsia="仿宋" w:hAnsi="仿宋" w:hint="eastAsia"/>
          <w:sz w:val="32"/>
          <w:szCs w:val="32"/>
        </w:rPr>
        <w:t>次，组织代表视察活动</w:t>
      </w:r>
      <w:r>
        <w:rPr>
          <w:rFonts w:ascii="仿宋" w:eastAsia="仿宋" w:hAnsi="仿宋" w:hint="eastAsia"/>
          <w:sz w:val="32"/>
          <w:szCs w:val="32"/>
        </w:rPr>
        <w:t>50</w:t>
      </w:r>
      <w:r>
        <w:rPr>
          <w:rFonts w:ascii="仿宋" w:eastAsia="仿宋" w:hAnsi="仿宋" w:hint="eastAsia"/>
          <w:sz w:val="32"/>
          <w:szCs w:val="32"/>
        </w:rPr>
        <w:t>余次。推动落实区十七届人大五次会议</w:t>
      </w:r>
      <w:r>
        <w:rPr>
          <w:rFonts w:ascii="仿宋" w:eastAsia="仿宋" w:hAnsi="仿宋" w:hint="eastAsia"/>
          <w:sz w:val="32"/>
          <w:szCs w:val="32"/>
        </w:rPr>
        <w:t>确定的《关于推动“创新南开”建设、打造学城创城产城三城融合科技生态城的议案》，就制定并宣传落实好各项政策措施，创新工作体制机制，强化科技创新重点工作落实等方面提出意见要求。积极发挥常委会在全国文明城</w:t>
      </w:r>
      <w:r>
        <w:rPr>
          <w:rFonts w:ascii="仿宋" w:eastAsia="仿宋" w:hAnsi="仿宋" w:hint="eastAsia"/>
          <w:sz w:val="32"/>
          <w:szCs w:val="32"/>
        </w:rPr>
        <w:lastRenderedPageBreak/>
        <w:t>区国家卫生区创建中的作用，加强对市容环境综合整治、社区环境清理、菜市场规范等重点工作的监督，常委会主任会议成员率队深入街道社区督导暗访，组织代表开展视察调研、联系选民、征求意见活动，助推创建工作取得实效。听取和审议区政府关于</w:t>
      </w:r>
      <w:r>
        <w:rPr>
          <w:rFonts w:ascii="仿宋" w:eastAsia="仿宋" w:hAnsi="仿宋" w:hint="eastAsia"/>
          <w:sz w:val="32"/>
          <w:szCs w:val="32"/>
        </w:rPr>
        <w:t>2019</w:t>
      </w:r>
      <w:r>
        <w:rPr>
          <w:rFonts w:ascii="仿宋" w:eastAsia="仿宋" w:hAnsi="仿宋" w:hint="eastAsia"/>
          <w:sz w:val="32"/>
          <w:szCs w:val="32"/>
        </w:rPr>
        <w:t>年国民经济和社会发展计划执行情况报告以及关于国有资产管理、民营经济发展、政府债务等</w:t>
      </w:r>
      <w:r>
        <w:rPr>
          <w:rFonts w:ascii="仿宋" w:eastAsia="仿宋" w:hAnsi="仿宋" w:hint="eastAsia"/>
          <w:sz w:val="32"/>
          <w:szCs w:val="32"/>
        </w:rPr>
        <w:t>情况报告，促进提高风险防控能力，营造优质发展环境。围绕全面深化改革，加强对机构改革后政府各部门职能调整和作用发挥情况的监督</w:t>
      </w:r>
      <w:r>
        <w:rPr>
          <w:rFonts w:ascii="仿宋" w:eastAsia="仿宋" w:hAnsi="仿宋" w:hint="eastAsia"/>
          <w:sz w:val="32"/>
          <w:szCs w:val="32"/>
        </w:rPr>
        <w:t>,</w:t>
      </w:r>
      <w:r>
        <w:rPr>
          <w:rFonts w:ascii="仿宋" w:eastAsia="仿宋" w:hAnsi="仿宋" w:hint="eastAsia"/>
          <w:sz w:val="32"/>
          <w:szCs w:val="32"/>
        </w:rPr>
        <w:t>听取区住房和建设委员会、区退役军人事务局依法履职，完成重点工作情况汇报。坚持以人民为中心的发展思想，恪守为民情怀，大力保障和改善民生。聚焦安全生产，在</w:t>
      </w:r>
      <w:r>
        <w:rPr>
          <w:rFonts w:ascii="仿宋" w:eastAsia="仿宋" w:hAnsi="仿宋" w:hint="eastAsia"/>
          <w:sz w:val="32"/>
          <w:szCs w:val="32"/>
        </w:rPr>
        <w:t>2018</w:t>
      </w:r>
      <w:r>
        <w:rPr>
          <w:rFonts w:ascii="仿宋" w:eastAsia="仿宋" w:hAnsi="仿宋" w:hint="eastAsia"/>
          <w:sz w:val="32"/>
          <w:szCs w:val="32"/>
        </w:rPr>
        <w:t>年对全区安全生产工作进行全面督查的基础上，对全区人员密集场所开展安全生产专项督查。充分发挥人大监督职能，为全区安全生产工作念好“紧箍咒”、为高质量发展筑牢“防火墙”。听取和审议区政府关于环境质量状况和环保目标完成、创建国家食品安全</w:t>
      </w:r>
      <w:r>
        <w:rPr>
          <w:rFonts w:ascii="仿宋" w:eastAsia="仿宋" w:hAnsi="仿宋" w:hint="eastAsia"/>
          <w:sz w:val="32"/>
          <w:szCs w:val="32"/>
        </w:rPr>
        <w:t>示范城市、协调推进教育发展和教育布局规划、大力推广全民健身开展群众体育工作、公共基础设施建设、养老服务、棚户区改造、市容环境整治工作情况汇报。对医疗卫生、物业管理、社区建设等民生工作开展视察、调研，促进提升公共服务、生态环境保护和城市建设管理水平，更好满足人民日益增长的美好生活需要。对《中华人民共和国人民调解法》、《天</w:t>
      </w:r>
      <w:r>
        <w:rPr>
          <w:rFonts w:ascii="仿宋" w:eastAsia="仿宋" w:hAnsi="仿宋" w:hint="eastAsia"/>
          <w:sz w:val="32"/>
          <w:szCs w:val="32"/>
        </w:rPr>
        <w:lastRenderedPageBreak/>
        <w:t>津市文明行为促进条例》等法律法规实施情况开展检查，坚持问题导向，采取专题学习、集中座谈、实地察看、随机暗访、追踪监督等多种方式，针对法律执行中存在的薄弱环节，发现问题、剖析成因、提出建议，向区</w:t>
      </w:r>
      <w:r>
        <w:rPr>
          <w:rFonts w:ascii="仿宋" w:eastAsia="仿宋" w:hAnsi="仿宋" w:hint="eastAsia"/>
          <w:sz w:val="32"/>
          <w:szCs w:val="32"/>
        </w:rPr>
        <w:t>委、市人大常委会作专项报告，充分发挥法律巡视的利剑作用，为各项事业发展提供有力法治保障。听取区政府关于信访工作、区法院关于基本解决执行难问题、区检察院内设机构改革后检察工作创新发展等情况汇报，促进依法行政、公正司法。认真做好信访接待工作，全年受理群众来信来访</w:t>
      </w:r>
      <w:r>
        <w:rPr>
          <w:rFonts w:ascii="仿宋" w:eastAsia="仿宋" w:hAnsi="仿宋" w:hint="eastAsia"/>
          <w:sz w:val="32"/>
          <w:szCs w:val="32"/>
        </w:rPr>
        <w:t>98</w:t>
      </w:r>
      <w:r>
        <w:rPr>
          <w:rFonts w:ascii="仿宋" w:eastAsia="仿宋" w:hAnsi="仿宋" w:hint="eastAsia"/>
          <w:sz w:val="32"/>
          <w:szCs w:val="32"/>
        </w:rPr>
        <w:t>件次，加大对信访件的督办力度，依法维护人民群众合法权益和切身利益</w:t>
      </w:r>
      <w:r>
        <w:rPr>
          <w:rFonts w:ascii="仿宋" w:eastAsia="仿宋" w:hAnsi="仿宋" w:hint="eastAsia"/>
          <w:sz w:val="32"/>
          <w:szCs w:val="32"/>
        </w:rPr>
        <w:t>,</w:t>
      </w:r>
      <w:r>
        <w:rPr>
          <w:rFonts w:ascii="仿宋" w:eastAsia="仿宋" w:hAnsi="仿宋" w:hint="eastAsia"/>
          <w:sz w:val="32"/>
          <w:szCs w:val="32"/>
        </w:rPr>
        <w:t>推进法治南开建设。听取和审议</w:t>
      </w:r>
      <w:r>
        <w:rPr>
          <w:rFonts w:ascii="仿宋" w:eastAsia="仿宋" w:hAnsi="仿宋" w:hint="eastAsia"/>
          <w:sz w:val="32"/>
          <w:szCs w:val="32"/>
        </w:rPr>
        <w:t>2018</w:t>
      </w:r>
      <w:r>
        <w:rPr>
          <w:rFonts w:ascii="仿宋" w:eastAsia="仿宋" w:hAnsi="仿宋" w:hint="eastAsia"/>
          <w:sz w:val="32"/>
          <w:szCs w:val="32"/>
        </w:rPr>
        <w:t>年区级决算报告、</w:t>
      </w:r>
      <w:r>
        <w:rPr>
          <w:rFonts w:ascii="仿宋" w:eastAsia="仿宋" w:hAnsi="仿宋" w:hint="eastAsia"/>
          <w:sz w:val="32"/>
          <w:szCs w:val="32"/>
        </w:rPr>
        <w:t>2019</w:t>
      </w:r>
      <w:r>
        <w:rPr>
          <w:rFonts w:ascii="仿宋" w:eastAsia="仿宋" w:hAnsi="仿宋" w:hint="eastAsia"/>
          <w:sz w:val="32"/>
          <w:szCs w:val="32"/>
        </w:rPr>
        <w:t>年预算执行情况汇报、</w:t>
      </w:r>
      <w:r>
        <w:rPr>
          <w:rFonts w:ascii="仿宋" w:eastAsia="仿宋" w:hAnsi="仿宋" w:hint="eastAsia"/>
          <w:sz w:val="32"/>
          <w:szCs w:val="32"/>
        </w:rPr>
        <w:t>2018</w:t>
      </w:r>
      <w:r>
        <w:rPr>
          <w:rFonts w:ascii="仿宋" w:eastAsia="仿宋" w:hAnsi="仿宋" w:hint="eastAsia"/>
          <w:sz w:val="32"/>
          <w:szCs w:val="32"/>
        </w:rPr>
        <w:t>年预算执行和其他财政收支情况的审计工作及审计查出问题整改情况报告，审查批准了</w:t>
      </w:r>
      <w:r>
        <w:rPr>
          <w:rFonts w:ascii="仿宋" w:eastAsia="仿宋" w:hAnsi="仿宋" w:hint="eastAsia"/>
          <w:sz w:val="32"/>
          <w:szCs w:val="32"/>
        </w:rPr>
        <w:t>2018</w:t>
      </w:r>
      <w:r>
        <w:rPr>
          <w:rFonts w:ascii="仿宋" w:eastAsia="仿宋" w:hAnsi="仿宋" w:hint="eastAsia"/>
          <w:sz w:val="32"/>
          <w:szCs w:val="32"/>
        </w:rPr>
        <w:t>年区级决算和</w:t>
      </w:r>
      <w:r>
        <w:rPr>
          <w:rFonts w:ascii="仿宋" w:eastAsia="仿宋" w:hAnsi="仿宋" w:hint="eastAsia"/>
          <w:sz w:val="32"/>
          <w:szCs w:val="32"/>
        </w:rPr>
        <w:t>2019</w:t>
      </w:r>
      <w:r>
        <w:rPr>
          <w:rFonts w:ascii="仿宋" w:eastAsia="仿宋" w:hAnsi="仿宋" w:hint="eastAsia"/>
          <w:sz w:val="32"/>
          <w:szCs w:val="32"/>
        </w:rPr>
        <w:t>年预算调整意见。重视运用审计结果，对审计问题清单整改落实情况进行跟踪检查，强化各类风险防控，推动公共财政规范有效运行。积极推进预算联网监督工作，实现对国库集中支付系统实时在线监督，促进预算执行和财政资金管理不断规范，预算审查监督的针对性和有效性进一步增强。坚持党管干部与人大依法任免相统一，确保市委、区委决定通过法定程序成为全区人民的共同意志。完善人大专门委员会设置，优化人大常委会和专委会组成人员结构，设立了监察司法、财政经济、教科文卫、城建环保、</w:t>
      </w:r>
      <w:r>
        <w:rPr>
          <w:rFonts w:ascii="仿宋" w:eastAsia="仿宋" w:hAnsi="仿宋" w:hint="eastAsia"/>
          <w:sz w:val="32"/>
          <w:szCs w:val="32"/>
        </w:rPr>
        <w:lastRenderedPageBreak/>
        <w:t>社会建设</w:t>
      </w:r>
      <w:r>
        <w:rPr>
          <w:rFonts w:ascii="仿宋" w:eastAsia="仿宋" w:hAnsi="仿宋" w:hint="eastAsia"/>
          <w:sz w:val="32"/>
          <w:szCs w:val="32"/>
        </w:rPr>
        <w:t>5</w:t>
      </w:r>
      <w:r>
        <w:rPr>
          <w:rFonts w:ascii="仿宋" w:eastAsia="仿宋" w:hAnsi="仿宋" w:hint="eastAsia"/>
          <w:sz w:val="32"/>
          <w:szCs w:val="32"/>
        </w:rPr>
        <w:t>个人大专门委员会。补选市人大代表</w:t>
      </w:r>
      <w:r>
        <w:rPr>
          <w:rFonts w:ascii="仿宋" w:eastAsia="仿宋" w:hAnsi="仿宋" w:hint="eastAsia"/>
          <w:sz w:val="32"/>
          <w:szCs w:val="32"/>
        </w:rPr>
        <w:t>2</w:t>
      </w:r>
      <w:r>
        <w:rPr>
          <w:rFonts w:ascii="仿宋" w:eastAsia="仿宋" w:hAnsi="仿宋" w:hint="eastAsia"/>
          <w:sz w:val="32"/>
          <w:szCs w:val="32"/>
        </w:rPr>
        <w:t>名、区人大</w:t>
      </w:r>
      <w:r>
        <w:rPr>
          <w:rFonts w:ascii="仿宋" w:eastAsia="仿宋" w:hAnsi="仿宋" w:hint="eastAsia"/>
          <w:sz w:val="32"/>
          <w:szCs w:val="32"/>
        </w:rPr>
        <w:t>代表</w:t>
      </w:r>
      <w:r>
        <w:rPr>
          <w:rFonts w:ascii="仿宋" w:eastAsia="仿宋" w:hAnsi="仿宋" w:hint="eastAsia"/>
          <w:sz w:val="32"/>
          <w:szCs w:val="32"/>
        </w:rPr>
        <w:t>13</w:t>
      </w:r>
      <w:r>
        <w:rPr>
          <w:rFonts w:ascii="仿宋" w:eastAsia="仿宋" w:hAnsi="仿宋" w:hint="eastAsia"/>
          <w:sz w:val="32"/>
          <w:szCs w:val="32"/>
        </w:rPr>
        <w:t>名，任免区级国家机关工作人员</w:t>
      </w:r>
      <w:r>
        <w:rPr>
          <w:rFonts w:ascii="仿宋" w:eastAsia="仿宋" w:hAnsi="仿宋" w:hint="eastAsia"/>
          <w:sz w:val="32"/>
          <w:szCs w:val="32"/>
        </w:rPr>
        <w:t>134</w:t>
      </w:r>
      <w:r>
        <w:rPr>
          <w:rFonts w:ascii="仿宋" w:eastAsia="仿宋" w:hAnsi="仿宋" w:hint="eastAsia"/>
          <w:sz w:val="32"/>
          <w:szCs w:val="32"/>
        </w:rPr>
        <w:t>人次。加强对被任命人员的监督，严格执行《南开区实施宪法宣誓制度细则》和相关人事任免制度，完善法律知识考试、宪法宣誓和任后谈话制度，强化被任命人员的国家意识、法律意识、公仆意识。坚持对代表履职进行严格管理，充分利用《履职手册》，实行“一代表一档案”，健全代表履职档案，规范履职记录，动态掌握每一位人大代表任职期间参加学习培训、视察检查、调查研究以及提出议案、建议等活动情况，使每位人大代表的履职轨迹有案可查。赴全国人大北京培训基地举办市、区人大代表履职能力提升培训班，围绕</w:t>
      </w:r>
      <w:r>
        <w:rPr>
          <w:rFonts w:ascii="仿宋" w:eastAsia="仿宋" w:hAnsi="仿宋" w:hint="eastAsia"/>
          <w:sz w:val="32"/>
          <w:szCs w:val="32"/>
        </w:rPr>
        <w:t>学习习近平总书记关于坚持和完善人民代表大会制度的重要思想，增强人大监督实效，新时代人大代表履职等内容进行专题辅导讲座，为提高代表依法履职能力和水平奠定理论基础。</w:t>
      </w:r>
      <w:r>
        <w:rPr>
          <w:rFonts w:ascii="仿宋" w:eastAsia="仿宋" w:hAnsi="仿宋" w:hint="eastAsia"/>
          <w:sz w:val="32"/>
          <w:szCs w:val="32"/>
        </w:rPr>
        <w:br/>
        <w:t xml:space="preserve">    </w:t>
      </w:r>
      <w:r>
        <w:rPr>
          <w:rFonts w:ascii="仿宋" w:eastAsia="仿宋" w:hAnsi="仿宋" w:hint="eastAsia"/>
          <w:sz w:val="32"/>
          <w:szCs w:val="32"/>
        </w:rPr>
        <w:t>搭建联系群众平台。加强示范代表工作站建设，发挥引领带动作用，推进代表进站全员化、联系活动长效化、活动机制规范化、解决问题实效化。为代表依法履职、密切联系人民群众搭建有效载体，支持和保障代表通过代表与选民见面会、入户走访谈心谈话、与社区居民共庆传统佳节等方式，与选民面对面“零距离”互动，倾听选民心声，回答选民询问，接受选民监督，推动群众反映的</w:t>
      </w:r>
      <w:r>
        <w:rPr>
          <w:rFonts w:ascii="仿宋" w:eastAsia="仿宋" w:hAnsi="仿宋" w:hint="eastAsia"/>
          <w:sz w:val="32"/>
          <w:szCs w:val="32"/>
        </w:rPr>
        <w:t>问题得到及时、有效的解决。</w:t>
      </w:r>
      <w:r>
        <w:rPr>
          <w:rFonts w:ascii="仿宋" w:eastAsia="仿宋" w:hAnsi="仿宋" w:hint="eastAsia"/>
          <w:sz w:val="32"/>
          <w:szCs w:val="32"/>
        </w:rPr>
        <w:br/>
      </w:r>
      <w:r>
        <w:rPr>
          <w:rFonts w:ascii="仿宋" w:eastAsia="仿宋" w:hAnsi="仿宋" w:hint="eastAsia"/>
          <w:sz w:val="32"/>
          <w:szCs w:val="32"/>
        </w:rPr>
        <w:lastRenderedPageBreak/>
        <w:t xml:space="preserve">  </w:t>
      </w:r>
      <w:r>
        <w:rPr>
          <w:rFonts w:ascii="仿宋" w:eastAsia="仿宋" w:hAnsi="仿宋" w:hint="eastAsia"/>
          <w:sz w:val="32"/>
          <w:szCs w:val="32"/>
        </w:rPr>
        <w:t>搭建代表活动平台。聚焦中心任务，抓住民生热点，深度挖掘代表活动主题，落实好单月代表统一活动、双月代表进选区联系选民的工作机制。邀请代表</w:t>
      </w:r>
      <w:r>
        <w:rPr>
          <w:rFonts w:ascii="仿宋" w:eastAsia="仿宋" w:hAnsi="仿宋" w:hint="eastAsia"/>
          <w:sz w:val="32"/>
          <w:szCs w:val="32"/>
        </w:rPr>
        <w:t>200</w:t>
      </w:r>
      <w:r>
        <w:rPr>
          <w:rFonts w:ascii="仿宋" w:eastAsia="仿宋" w:hAnsi="仿宋" w:hint="eastAsia"/>
          <w:sz w:val="32"/>
          <w:szCs w:val="32"/>
        </w:rPr>
        <w:t>余人次列席会议、旁听法院庭审、参加检察院开放日。年中、年末分别组织市、区人大代表围绕区域经济社会发展重点工作进行视察，运用执法检查、专题调研、与政府职能部门对话等方式，充分发挥代表专业、行业优势，推动市、区重点工作。指导人大街道工委充分发挥“前沿窗口”作用，组织开展爱国主义教育、创文创卫志愿服务、扶贫助困等代表活动，积极为代表依法履职创造</w:t>
      </w:r>
      <w:r>
        <w:rPr>
          <w:rFonts w:ascii="仿宋" w:eastAsia="仿宋" w:hAnsi="仿宋" w:hint="eastAsia"/>
          <w:sz w:val="32"/>
          <w:szCs w:val="32"/>
        </w:rPr>
        <w:t>条件、提供保障。强化市、区人大代表互动，通过市人大代表争取市级部门对南开的支持。在市十七届人大二次会议上，南开团市代表以高度的政治责任感，积极为市、区发展建言献策，共提交议案</w:t>
      </w:r>
      <w:r>
        <w:rPr>
          <w:rFonts w:ascii="仿宋" w:eastAsia="仿宋" w:hAnsi="仿宋" w:hint="eastAsia"/>
          <w:sz w:val="32"/>
          <w:szCs w:val="32"/>
        </w:rPr>
        <w:t>24</w:t>
      </w:r>
      <w:r>
        <w:rPr>
          <w:rFonts w:ascii="仿宋" w:eastAsia="仿宋" w:hAnsi="仿宋" w:hint="eastAsia"/>
          <w:sz w:val="32"/>
          <w:szCs w:val="32"/>
        </w:rPr>
        <w:t>件，提出建议</w:t>
      </w:r>
      <w:r>
        <w:rPr>
          <w:rFonts w:ascii="仿宋" w:eastAsia="仿宋" w:hAnsi="仿宋" w:hint="eastAsia"/>
          <w:sz w:val="32"/>
          <w:szCs w:val="32"/>
        </w:rPr>
        <w:t>456</w:t>
      </w:r>
      <w:r>
        <w:rPr>
          <w:rFonts w:ascii="仿宋" w:eastAsia="仿宋" w:hAnsi="仿宋" w:hint="eastAsia"/>
          <w:sz w:val="32"/>
          <w:szCs w:val="32"/>
        </w:rPr>
        <w:t>件，受到市人大常委会充分肯定。</w:t>
      </w:r>
      <w:r>
        <w:rPr>
          <w:rFonts w:ascii="仿宋" w:eastAsia="仿宋" w:hAnsi="仿宋" w:hint="eastAsia"/>
          <w:sz w:val="32"/>
          <w:szCs w:val="32"/>
        </w:rPr>
        <w:br/>
      </w:r>
      <w:r>
        <w:rPr>
          <w:rFonts w:ascii="仿宋" w:eastAsia="仿宋" w:hAnsi="仿宋" w:hint="eastAsia"/>
          <w:sz w:val="32"/>
          <w:szCs w:val="32"/>
        </w:rPr>
        <w:t>搭建议案建议督办平台。坚持办理工作“三公开”和主任会议成员牵头督办制度，采取线上“交办”与线下“督办”相结合，加强代表议案建议办理平台使用推广，完善平台功能，确保工作有效落实。加大对涉及部门多、办理难度大的代表建议督办力度，督促承办部门进一步密切与代表的沟通联系，及时反馈办理情况，广</w:t>
      </w:r>
      <w:r>
        <w:rPr>
          <w:rFonts w:ascii="仿宋" w:eastAsia="仿宋" w:hAnsi="仿宋" w:hint="eastAsia"/>
          <w:sz w:val="32"/>
          <w:szCs w:val="32"/>
        </w:rPr>
        <w:t>泛征求代表意见，切实提高落实率，更好调动代表的积极性、主动性、创造性，解决好涉及人民群众切身利益的热点、难点问题。</w:t>
      </w:r>
      <w:r>
        <w:rPr>
          <w:rFonts w:ascii="仿宋" w:eastAsia="仿宋" w:hAnsi="仿宋" w:hint="eastAsia"/>
          <w:sz w:val="32"/>
          <w:szCs w:val="32"/>
        </w:rPr>
        <w:br/>
      </w:r>
      <w:r>
        <w:rPr>
          <w:rFonts w:ascii="仿宋" w:eastAsia="仿宋" w:hAnsi="仿宋" w:hint="eastAsia"/>
          <w:sz w:val="32"/>
          <w:szCs w:val="32"/>
        </w:rPr>
        <w:lastRenderedPageBreak/>
        <w:t>加强信息化建设，顺应大数据、“互联网</w:t>
      </w:r>
      <w:r>
        <w:rPr>
          <w:rFonts w:ascii="仿宋" w:eastAsia="仿宋" w:hAnsi="仿宋" w:hint="eastAsia"/>
          <w:sz w:val="32"/>
          <w:szCs w:val="32"/>
        </w:rPr>
        <w:t>+</w:t>
      </w:r>
      <w:r>
        <w:rPr>
          <w:rFonts w:ascii="仿宋" w:eastAsia="仿宋" w:hAnsi="仿宋" w:hint="eastAsia"/>
          <w:sz w:val="32"/>
          <w:szCs w:val="32"/>
        </w:rPr>
        <w:t>”发展趋势，充分利用门户网站、微信等新媒体，宣传人大监督、代表风采、自身建设、理论研究等工作成效，有力传递人大声音，增强人大影响力。全年向全国及市、区有关媒体报送稿件信息</w:t>
      </w:r>
      <w:r>
        <w:rPr>
          <w:rFonts w:ascii="仿宋" w:eastAsia="仿宋" w:hAnsi="仿宋" w:hint="eastAsia"/>
          <w:sz w:val="32"/>
          <w:szCs w:val="32"/>
        </w:rPr>
        <w:t>330</w:t>
      </w:r>
      <w:r>
        <w:rPr>
          <w:rFonts w:ascii="仿宋" w:eastAsia="仿宋" w:hAnsi="仿宋" w:hint="eastAsia"/>
          <w:sz w:val="32"/>
          <w:szCs w:val="32"/>
        </w:rPr>
        <w:t>余篇，《天津人大》、《天津日报•南开时讯》、“和美南开”公众号、区人大常委会网站、《南开人大信息》刊登发布信息</w:t>
      </w:r>
      <w:r>
        <w:rPr>
          <w:rFonts w:ascii="仿宋" w:eastAsia="仿宋" w:hAnsi="仿宋" w:hint="eastAsia"/>
          <w:sz w:val="32"/>
          <w:szCs w:val="32"/>
        </w:rPr>
        <w:t>280</w:t>
      </w:r>
      <w:r>
        <w:rPr>
          <w:rFonts w:ascii="仿宋" w:eastAsia="仿宋" w:hAnsi="仿宋" w:hint="eastAsia"/>
          <w:sz w:val="32"/>
          <w:szCs w:val="32"/>
        </w:rPr>
        <w:t>余条、专刊</w:t>
      </w:r>
      <w:r>
        <w:rPr>
          <w:rFonts w:ascii="仿宋" w:eastAsia="仿宋" w:hAnsi="仿宋" w:hint="eastAsia"/>
          <w:sz w:val="32"/>
          <w:szCs w:val="32"/>
        </w:rPr>
        <w:t>4</w:t>
      </w:r>
      <w:r>
        <w:rPr>
          <w:rFonts w:ascii="仿宋" w:eastAsia="仿宋" w:hAnsi="仿宋" w:hint="eastAsia"/>
          <w:sz w:val="32"/>
          <w:szCs w:val="32"/>
        </w:rPr>
        <w:t>期。被市人大常委会评为宣传和信息工作先进单位。</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决</w:t>
      </w:r>
      <w:r>
        <w:rPr>
          <w:rFonts w:ascii="仿宋" w:eastAsia="仿宋" w:hAnsi="仿宋" w:hint="eastAsia"/>
          <w:sz w:val="32"/>
          <w:szCs w:val="32"/>
        </w:rPr>
        <w:t>策流程</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坚持谁申请资金谁设定目标。根据单位人员情况编制单位基本支出预算和绩效目标。根据业务部门的工作编制项目支出预算和绩效目标。建立健全工作机制，开展预算绩效运行跟踪监控。</w:t>
      </w:r>
    </w:p>
    <w:p w:rsidR="00585755" w:rsidRDefault="00C94667">
      <w:pPr>
        <w:spacing w:line="360" w:lineRule="auto"/>
        <w:ind w:firstLine="640"/>
        <w:rPr>
          <w:rFonts w:ascii="黑体" w:eastAsia="黑体" w:hAnsi="黑体"/>
          <w:sz w:val="32"/>
          <w:szCs w:val="32"/>
        </w:rPr>
      </w:pPr>
      <w:r>
        <w:rPr>
          <w:rFonts w:ascii="黑体" w:eastAsia="黑体" w:hAnsi="黑体" w:hint="eastAsia"/>
          <w:sz w:val="32"/>
          <w:szCs w:val="32"/>
        </w:rPr>
        <w:t>三、部门预算、预算执行及管理情况</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（一）部门预算编制情况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年部门预算</w:t>
      </w:r>
      <w:r>
        <w:rPr>
          <w:rFonts w:ascii="仿宋" w:eastAsia="仿宋" w:hAnsi="仿宋" w:hint="eastAsia"/>
          <w:sz w:val="32"/>
          <w:szCs w:val="32"/>
        </w:rPr>
        <w:t>1057.83</w:t>
      </w:r>
      <w:r>
        <w:rPr>
          <w:rFonts w:ascii="仿宋" w:eastAsia="仿宋" w:hAnsi="仿宋" w:hint="eastAsia"/>
          <w:sz w:val="32"/>
          <w:szCs w:val="32"/>
        </w:rPr>
        <w:t>万元，其中基本支出</w:t>
      </w:r>
      <w:r>
        <w:rPr>
          <w:rFonts w:ascii="仿宋" w:eastAsia="仿宋" w:hAnsi="仿宋" w:hint="eastAsia"/>
          <w:sz w:val="32"/>
          <w:szCs w:val="32"/>
        </w:rPr>
        <w:t>932.83</w:t>
      </w:r>
      <w:r>
        <w:rPr>
          <w:rFonts w:ascii="仿宋" w:eastAsia="仿宋" w:hAnsi="仿宋" w:hint="eastAsia"/>
          <w:sz w:val="32"/>
          <w:szCs w:val="32"/>
        </w:rPr>
        <w:t>万元，项目支出</w:t>
      </w:r>
      <w:r>
        <w:rPr>
          <w:rFonts w:ascii="仿宋" w:eastAsia="仿宋" w:hAnsi="仿宋" w:hint="eastAsia"/>
          <w:sz w:val="32"/>
          <w:szCs w:val="32"/>
        </w:rPr>
        <w:t>125</w:t>
      </w:r>
      <w:r>
        <w:rPr>
          <w:rFonts w:ascii="仿宋" w:eastAsia="仿宋" w:hAnsi="仿宋" w:hint="eastAsia"/>
          <w:sz w:val="32"/>
          <w:szCs w:val="32"/>
        </w:rPr>
        <w:t>万元。基本支出包括人员支出和公用支出</w:t>
      </w:r>
      <w:r>
        <w:rPr>
          <w:rFonts w:ascii="仿宋" w:eastAsia="仿宋" w:hAnsi="仿宋" w:hint="eastAsia"/>
          <w:sz w:val="32"/>
          <w:szCs w:val="32"/>
        </w:rPr>
        <w:t xml:space="preserve"> </w:t>
      </w:r>
      <w:r>
        <w:rPr>
          <w:rFonts w:ascii="仿宋" w:eastAsia="仿宋" w:hAnsi="仿宋" w:hint="eastAsia"/>
          <w:sz w:val="32"/>
          <w:szCs w:val="32"/>
        </w:rPr>
        <w:t>。项目支出包括会议费、代表活动费</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（二）部门预算执行情况</w:t>
      </w:r>
    </w:p>
    <w:p w:rsidR="00585755" w:rsidRDefault="00C94667">
      <w:pPr>
        <w:spacing w:line="360" w:lineRule="auto"/>
        <w:ind w:firstLine="640"/>
        <w:rPr>
          <w:rFonts w:ascii="仿宋" w:eastAsia="仿宋" w:hAnsi="仿宋"/>
          <w:color w:val="000000"/>
          <w:sz w:val="24"/>
        </w:rPr>
      </w:pPr>
      <w:bookmarkStart w:id="12" w:name="_Toc263686390"/>
      <w:bookmarkStart w:id="13" w:name="_Toc268005765"/>
      <w:bookmarkStart w:id="14" w:name="_Toc171765188"/>
      <w:bookmarkStart w:id="15" w:name="_Toc171764863"/>
      <w:bookmarkStart w:id="16" w:name="_Toc171772698"/>
      <w:bookmarkEnd w:id="8"/>
      <w:r>
        <w:rPr>
          <w:rFonts w:ascii="仿宋" w:eastAsia="仿宋" w:hAnsi="仿宋" w:hint="eastAsia"/>
          <w:sz w:val="32"/>
          <w:szCs w:val="32"/>
        </w:rPr>
        <w:t>2019</w:t>
      </w:r>
      <w:r>
        <w:rPr>
          <w:rFonts w:ascii="仿宋" w:eastAsia="仿宋" w:hAnsi="仿宋" w:hint="eastAsia"/>
          <w:sz w:val="32"/>
          <w:szCs w:val="32"/>
        </w:rPr>
        <w:t>年部门决算收入</w:t>
      </w:r>
      <w:r>
        <w:rPr>
          <w:rFonts w:ascii="仿宋" w:eastAsia="仿宋" w:hAnsi="仿宋" w:hint="eastAsia"/>
          <w:sz w:val="32"/>
          <w:szCs w:val="32"/>
        </w:rPr>
        <w:t>1176.9</w:t>
      </w:r>
      <w:r>
        <w:rPr>
          <w:rFonts w:ascii="仿宋" w:eastAsia="仿宋" w:hAnsi="仿宋" w:hint="eastAsia"/>
          <w:sz w:val="32"/>
          <w:szCs w:val="32"/>
        </w:rPr>
        <w:t>万元。年初结余结转</w:t>
      </w:r>
      <w:r>
        <w:rPr>
          <w:rFonts w:ascii="仿宋" w:eastAsia="仿宋" w:hAnsi="仿宋" w:hint="eastAsia"/>
          <w:sz w:val="32"/>
          <w:szCs w:val="32"/>
        </w:rPr>
        <w:t>63.9</w:t>
      </w:r>
      <w:r>
        <w:rPr>
          <w:rFonts w:ascii="仿宋" w:eastAsia="仿宋" w:hAnsi="仿宋" w:hint="eastAsia"/>
          <w:sz w:val="32"/>
          <w:szCs w:val="32"/>
        </w:rPr>
        <w:lastRenderedPageBreak/>
        <w:t>万元。决算支出</w:t>
      </w:r>
      <w:r>
        <w:rPr>
          <w:rFonts w:ascii="仿宋" w:eastAsia="仿宋" w:hAnsi="仿宋" w:hint="eastAsia"/>
          <w:sz w:val="32"/>
          <w:szCs w:val="32"/>
        </w:rPr>
        <w:t>1179.66</w:t>
      </w:r>
      <w:r>
        <w:rPr>
          <w:rFonts w:ascii="仿宋" w:eastAsia="仿宋" w:hAnsi="仿宋" w:hint="eastAsia"/>
          <w:sz w:val="32"/>
          <w:szCs w:val="32"/>
        </w:rPr>
        <w:t>万元，年末结余结转</w:t>
      </w:r>
      <w:r>
        <w:rPr>
          <w:rFonts w:ascii="仿宋" w:eastAsia="仿宋" w:hAnsi="仿宋" w:hint="eastAsia"/>
          <w:sz w:val="32"/>
          <w:szCs w:val="32"/>
        </w:rPr>
        <w:t>65.06</w:t>
      </w:r>
      <w:r>
        <w:rPr>
          <w:rFonts w:ascii="仿宋" w:eastAsia="仿宋" w:hAnsi="仿宋" w:hint="eastAsia"/>
          <w:sz w:val="32"/>
          <w:szCs w:val="32"/>
        </w:rPr>
        <w:t>万元。其中基本支出</w:t>
      </w:r>
      <w:r>
        <w:rPr>
          <w:rFonts w:ascii="仿宋" w:eastAsia="仿宋" w:hAnsi="仿宋" w:hint="eastAsia"/>
          <w:sz w:val="32"/>
          <w:szCs w:val="32"/>
        </w:rPr>
        <w:t>1057.91</w:t>
      </w:r>
      <w:r>
        <w:rPr>
          <w:rFonts w:ascii="仿宋" w:eastAsia="仿宋" w:hAnsi="仿宋" w:hint="eastAsia"/>
          <w:sz w:val="32"/>
          <w:szCs w:val="32"/>
        </w:rPr>
        <w:t>万元，项目支出</w:t>
      </w:r>
      <w:r>
        <w:rPr>
          <w:rFonts w:ascii="仿宋" w:eastAsia="仿宋" w:hAnsi="仿宋" w:hint="eastAsia"/>
          <w:sz w:val="32"/>
          <w:szCs w:val="32"/>
        </w:rPr>
        <w:t>121.75</w:t>
      </w:r>
      <w:r>
        <w:rPr>
          <w:rFonts w:ascii="仿宋" w:eastAsia="仿宋" w:hAnsi="仿宋" w:hint="eastAsia"/>
          <w:sz w:val="32"/>
          <w:szCs w:val="32"/>
        </w:rPr>
        <w:t>万元。</w:t>
      </w:r>
    </w:p>
    <w:p w:rsidR="00585755" w:rsidRDefault="00C94667">
      <w:pPr>
        <w:spacing w:line="360" w:lineRule="auto"/>
        <w:ind w:firstLine="640"/>
        <w:rPr>
          <w:rFonts w:ascii="仿宋" w:eastAsia="仿宋" w:hAnsi="仿宋"/>
          <w:sz w:val="32"/>
          <w:szCs w:val="32"/>
        </w:rPr>
      </w:pPr>
      <w:r>
        <w:rPr>
          <w:rFonts w:ascii="楷体_GB2312" w:eastAsia="楷体_GB2312" w:hAnsi="仿宋" w:hint="eastAsia"/>
          <w:b/>
          <w:sz w:val="32"/>
          <w:szCs w:val="32"/>
        </w:rPr>
        <w:t>（三）部门预算的管理情况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预算管理的主体是财务部门和相关业务部门，对纳入预算管理的全部财政资金开展预算绩效管理，建立健全预算管理规章制度，组织实施预算绩效运行和跟踪监督</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（四）部门财务管理情况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建立健全单位内部控制制度及管理手册，保证财政资金安全、有效使用，保证财务信息真实完整</w:t>
      </w:r>
    </w:p>
    <w:p w:rsidR="00585755" w:rsidRDefault="00C94667">
      <w:pPr>
        <w:pStyle w:val="a6"/>
        <w:spacing w:before="0" w:beforeAutospacing="0" w:after="0" w:afterAutospacing="0" w:line="360" w:lineRule="auto"/>
        <w:ind w:firstLineChars="200" w:firstLine="643"/>
        <w:jc w:val="both"/>
        <w:rPr>
          <w:rFonts w:ascii="黑体" w:eastAsia="黑体" w:hAnsi="黑体" w:cs="Times New Roman"/>
          <w:b/>
          <w:color w:val="auto"/>
          <w:kern w:val="2"/>
          <w:sz w:val="32"/>
          <w:szCs w:val="32"/>
        </w:rPr>
      </w:pPr>
      <w:r>
        <w:rPr>
          <w:rFonts w:ascii="黑体" w:eastAsia="黑体" w:hAnsi="黑体" w:cs="Times New Roman" w:hint="eastAsia"/>
          <w:b/>
          <w:color w:val="auto"/>
          <w:kern w:val="2"/>
          <w:sz w:val="32"/>
          <w:szCs w:val="32"/>
        </w:rPr>
        <w:t>四、部门管理情况</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（一）制度建设情况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建立健全单位</w:t>
      </w:r>
      <w:r>
        <w:rPr>
          <w:rFonts w:ascii="仿宋" w:eastAsia="仿宋" w:hAnsi="仿宋" w:hint="eastAsia"/>
          <w:sz w:val="32"/>
          <w:szCs w:val="32"/>
        </w:rPr>
        <w:t>内部控制制度及管理手册</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（二）部门项目管理情况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本单位项目资金为</w:t>
      </w:r>
      <w:r>
        <w:rPr>
          <w:rFonts w:ascii="仿宋" w:eastAsia="仿宋" w:hAnsi="仿宋" w:hint="eastAsia"/>
          <w:sz w:val="32"/>
          <w:szCs w:val="32"/>
        </w:rPr>
        <w:t>1.</w:t>
      </w:r>
      <w:r>
        <w:rPr>
          <w:rFonts w:ascii="仿宋" w:eastAsia="仿宋" w:hAnsi="仿宋" w:hint="eastAsia"/>
          <w:sz w:val="32"/>
          <w:szCs w:val="32"/>
        </w:rPr>
        <w:t>会议费：主要召开每年一次的全体代表大会；</w:t>
      </w:r>
      <w:r>
        <w:rPr>
          <w:rFonts w:ascii="仿宋" w:eastAsia="仿宋" w:hAnsi="仿宋" w:hint="eastAsia"/>
          <w:sz w:val="32"/>
          <w:szCs w:val="32"/>
        </w:rPr>
        <w:t>2.</w:t>
      </w:r>
      <w:r>
        <w:rPr>
          <w:rFonts w:ascii="仿宋" w:eastAsia="仿宋" w:hAnsi="仿宋" w:hint="eastAsia"/>
          <w:sz w:val="32"/>
          <w:szCs w:val="32"/>
        </w:rPr>
        <w:t>代表活动费：主要用于</w:t>
      </w:r>
      <w:r>
        <w:rPr>
          <w:rFonts w:ascii="仿宋" w:eastAsia="仿宋" w:hAnsi="仿宋" w:hint="eastAsia"/>
          <w:sz w:val="32"/>
          <w:szCs w:val="32"/>
        </w:rPr>
        <w:t>12</w:t>
      </w:r>
      <w:r>
        <w:rPr>
          <w:rFonts w:ascii="仿宋" w:eastAsia="仿宋" w:hAnsi="仿宋" w:hint="eastAsia"/>
          <w:sz w:val="32"/>
          <w:szCs w:val="32"/>
        </w:rPr>
        <w:t>个街道工委代表工作经费，代表履职培训、考察调研等。</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（三）部门资产管理情况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本单位固定资产年末</w:t>
      </w:r>
      <w:r>
        <w:rPr>
          <w:rFonts w:ascii="仿宋" w:eastAsia="仿宋" w:hAnsi="仿宋" w:hint="eastAsia"/>
          <w:sz w:val="32"/>
          <w:szCs w:val="32"/>
        </w:rPr>
        <w:t>277.4</w:t>
      </w:r>
      <w:r>
        <w:rPr>
          <w:rFonts w:ascii="仿宋" w:eastAsia="仿宋" w:hAnsi="仿宋" w:hint="eastAsia"/>
          <w:sz w:val="32"/>
          <w:szCs w:val="32"/>
        </w:rPr>
        <w:t>万元。建立健全固定资产管理制度，定期进行固定资产清查盘点工作</w:t>
      </w:r>
    </w:p>
    <w:p w:rsidR="00585755" w:rsidRDefault="00C94667">
      <w:pPr>
        <w:spacing w:line="360" w:lineRule="auto"/>
        <w:ind w:firstLine="640"/>
        <w:rPr>
          <w:rFonts w:ascii="黑体" w:eastAsia="黑体" w:hAnsi="黑体" w:cs="Times New Roman"/>
          <w:b/>
          <w:sz w:val="32"/>
          <w:szCs w:val="32"/>
        </w:rPr>
      </w:pPr>
      <w:r>
        <w:rPr>
          <w:rFonts w:ascii="黑体" w:eastAsia="黑体" w:hAnsi="黑体" w:cs="Times New Roman" w:hint="eastAsia"/>
          <w:b/>
          <w:sz w:val="32"/>
          <w:szCs w:val="32"/>
        </w:rPr>
        <w:lastRenderedPageBreak/>
        <w:t>五、部门绩效实现情况</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（一）部门产出目标完成情况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常委会依法行使监督、决定、任免等职权，做到监督动真格、支持有力度，努力推动区域经济社会发展依法有序运行。全年召开常委会会议</w:t>
      </w:r>
      <w:r>
        <w:rPr>
          <w:rFonts w:ascii="仿宋" w:eastAsia="仿宋" w:hAnsi="仿宋" w:hint="eastAsia"/>
          <w:sz w:val="32"/>
          <w:szCs w:val="32"/>
        </w:rPr>
        <w:t>10</w:t>
      </w:r>
      <w:r>
        <w:rPr>
          <w:rFonts w:ascii="仿宋" w:eastAsia="仿宋" w:hAnsi="仿宋" w:hint="eastAsia"/>
          <w:sz w:val="32"/>
          <w:szCs w:val="32"/>
        </w:rPr>
        <w:t>次，主任会议</w:t>
      </w:r>
      <w:r>
        <w:rPr>
          <w:rFonts w:ascii="仿宋" w:eastAsia="仿宋" w:hAnsi="仿宋" w:hint="eastAsia"/>
          <w:sz w:val="32"/>
          <w:szCs w:val="32"/>
        </w:rPr>
        <w:t>12</w:t>
      </w:r>
      <w:r>
        <w:rPr>
          <w:rFonts w:ascii="仿宋" w:eastAsia="仿宋" w:hAnsi="仿宋" w:hint="eastAsia"/>
          <w:sz w:val="32"/>
          <w:szCs w:val="32"/>
        </w:rPr>
        <w:t>次。听取、审议区“一府两院”专项工作报告</w:t>
      </w:r>
      <w:r>
        <w:rPr>
          <w:rFonts w:ascii="仿宋" w:eastAsia="仿宋" w:hAnsi="仿宋" w:hint="eastAsia"/>
          <w:sz w:val="32"/>
          <w:szCs w:val="32"/>
        </w:rPr>
        <w:t>23</w:t>
      </w:r>
      <w:r>
        <w:rPr>
          <w:rFonts w:ascii="仿宋" w:eastAsia="仿宋" w:hAnsi="仿宋" w:hint="eastAsia"/>
          <w:sz w:val="32"/>
          <w:szCs w:val="32"/>
        </w:rPr>
        <w:t>项，依法作出决议、决定</w:t>
      </w:r>
      <w:r>
        <w:rPr>
          <w:rFonts w:ascii="仿宋" w:eastAsia="仿宋" w:hAnsi="仿宋" w:hint="eastAsia"/>
          <w:sz w:val="32"/>
          <w:szCs w:val="32"/>
        </w:rPr>
        <w:t>6</w:t>
      </w:r>
      <w:r>
        <w:rPr>
          <w:rFonts w:ascii="仿宋" w:eastAsia="仿宋" w:hAnsi="仿宋" w:hint="eastAsia"/>
          <w:sz w:val="32"/>
          <w:szCs w:val="32"/>
        </w:rPr>
        <w:t>项，开展执法检查</w:t>
      </w:r>
      <w:r>
        <w:rPr>
          <w:rFonts w:ascii="仿宋" w:eastAsia="仿宋" w:hAnsi="仿宋" w:hint="eastAsia"/>
          <w:sz w:val="32"/>
          <w:szCs w:val="32"/>
        </w:rPr>
        <w:t>5</w:t>
      </w:r>
      <w:r>
        <w:rPr>
          <w:rFonts w:ascii="仿宋" w:eastAsia="仿宋" w:hAnsi="仿宋" w:hint="eastAsia"/>
          <w:sz w:val="32"/>
          <w:szCs w:val="32"/>
        </w:rPr>
        <w:t>次，组织代表视察活动</w:t>
      </w:r>
      <w:r>
        <w:rPr>
          <w:rFonts w:ascii="仿宋" w:eastAsia="仿宋" w:hAnsi="仿宋" w:hint="eastAsia"/>
          <w:sz w:val="32"/>
          <w:szCs w:val="32"/>
        </w:rPr>
        <w:t>50</w:t>
      </w:r>
      <w:r>
        <w:rPr>
          <w:rFonts w:ascii="仿宋" w:eastAsia="仿宋" w:hAnsi="仿宋" w:hint="eastAsia"/>
          <w:sz w:val="32"/>
          <w:szCs w:val="32"/>
        </w:rPr>
        <w:t>余次。推动落实区十七届人大五次会议确定的《关于推动“创新南开”建设、打造学城创城产城三城融合科技生态城的议案》，就制定并宣传落实好各项政策措施，创新工作体制机制，强化科技创新重点工作落实等方面提出意见要求。积极发挥常委会在全国文明城区国家卫生区创建中的作用，加</w:t>
      </w:r>
      <w:r>
        <w:rPr>
          <w:rFonts w:ascii="仿宋" w:eastAsia="仿宋" w:hAnsi="仿宋" w:hint="eastAsia"/>
          <w:sz w:val="32"/>
          <w:szCs w:val="32"/>
        </w:rPr>
        <w:t>强对市容环境综合整治、社区环境清理、菜市场规范等重点工作的监督，常委会主任会议成员率队深入街道社区督导暗访，组织代表开展视察调研、联系选民、征求意见活动，助推创建工作取得实效。听取和审议区政府关于</w:t>
      </w:r>
      <w:r>
        <w:rPr>
          <w:rFonts w:ascii="仿宋" w:eastAsia="仿宋" w:hAnsi="仿宋" w:hint="eastAsia"/>
          <w:sz w:val="32"/>
          <w:szCs w:val="32"/>
        </w:rPr>
        <w:t>2019</w:t>
      </w:r>
      <w:r>
        <w:rPr>
          <w:rFonts w:ascii="仿宋" w:eastAsia="仿宋" w:hAnsi="仿宋" w:hint="eastAsia"/>
          <w:sz w:val="32"/>
          <w:szCs w:val="32"/>
        </w:rPr>
        <w:t>年国民经济和社会发展计划执行情况报告以及关于国有资产管理、民营经济发展、政府债务等情况报告，促进提高风险防控能力，营造优质发展环境。围绕全面深化改革，加强对机构改革后政府各部门职能调整和作用发挥情况的监督</w:t>
      </w:r>
      <w:r>
        <w:rPr>
          <w:rFonts w:ascii="仿宋" w:eastAsia="仿宋" w:hAnsi="仿宋" w:hint="eastAsia"/>
          <w:sz w:val="32"/>
          <w:szCs w:val="32"/>
        </w:rPr>
        <w:t>,</w:t>
      </w:r>
      <w:r>
        <w:rPr>
          <w:rFonts w:ascii="仿宋" w:eastAsia="仿宋" w:hAnsi="仿宋" w:hint="eastAsia"/>
          <w:sz w:val="32"/>
          <w:szCs w:val="32"/>
        </w:rPr>
        <w:t>听取区住房和建设委员会、区退役军人事务局依法履职，完成重点工作情况汇</w:t>
      </w:r>
      <w:r>
        <w:rPr>
          <w:rFonts w:ascii="仿宋" w:eastAsia="仿宋" w:hAnsi="仿宋" w:hint="eastAsia"/>
          <w:sz w:val="32"/>
          <w:szCs w:val="32"/>
        </w:rPr>
        <w:lastRenderedPageBreak/>
        <w:t>报。坚持以人民为中心的发展思想，恪</w:t>
      </w:r>
      <w:r>
        <w:rPr>
          <w:rFonts w:ascii="仿宋" w:eastAsia="仿宋" w:hAnsi="仿宋" w:hint="eastAsia"/>
          <w:sz w:val="32"/>
          <w:szCs w:val="32"/>
        </w:rPr>
        <w:t>守为民情怀，大力保障和改善民生。聚焦安全生产，在</w:t>
      </w:r>
      <w:r>
        <w:rPr>
          <w:rFonts w:ascii="仿宋" w:eastAsia="仿宋" w:hAnsi="仿宋" w:hint="eastAsia"/>
          <w:sz w:val="32"/>
          <w:szCs w:val="32"/>
        </w:rPr>
        <w:t>2018</w:t>
      </w:r>
      <w:r>
        <w:rPr>
          <w:rFonts w:ascii="仿宋" w:eastAsia="仿宋" w:hAnsi="仿宋" w:hint="eastAsia"/>
          <w:sz w:val="32"/>
          <w:szCs w:val="32"/>
        </w:rPr>
        <w:t>年对全区安全生产工作进行全面督查的基础上，对全区人员密集场所开展安全生产专项督查。充分发挥人大监督职能，为全区安全生产工作念好“紧箍咒”、为高质量发展筑牢“防火墙”。听取和审议区政府关于环境质量状况和环保目标完成、创建国家食品安全示范城市、协调推进教育发展和教育布局规划、大力推广全民健身开展群众体育工作、公共基础设施建设、养老服务、棚户区改造、市容环境整治工作情况汇报。对医疗卫生、物业管理、社区建设等民生工作开展视察、调研，促进提升公共服务、生态环境保</w:t>
      </w:r>
      <w:r>
        <w:rPr>
          <w:rFonts w:ascii="仿宋" w:eastAsia="仿宋" w:hAnsi="仿宋" w:hint="eastAsia"/>
          <w:sz w:val="32"/>
          <w:szCs w:val="32"/>
        </w:rPr>
        <w:t>护和城市建设管理水平，更好满足人民日益增长的美好生活需要。对《中华人民共和国人民调解法》、《天津市文明行为促进条例》等法律法规实施情况开展检查，坚持问题导向，采取专题学习、集中座谈、实地察看、随机暗访、追踪监督等多种方式，针对法律执行中存在的薄弱环节，发现问题、剖析成因、提出建议，向区委、市人大常委会作专项报告，充分发挥法律巡视的利剑作用，为各项事业发展提供有力法治保障。听取区政府关于信访工作、区法院关于基本解决执行难问题、区检察院内设机构改革后检察工作创新发展等情况汇报，促进依法行政、公正司法。认真做好信</w:t>
      </w:r>
      <w:r>
        <w:rPr>
          <w:rFonts w:ascii="仿宋" w:eastAsia="仿宋" w:hAnsi="仿宋" w:hint="eastAsia"/>
          <w:sz w:val="32"/>
          <w:szCs w:val="32"/>
        </w:rPr>
        <w:t>访接待工作，全年受理群众来信来访</w:t>
      </w:r>
      <w:r>
        <w:rPr>
          <w:rFonts w:ascii="仿宋" w:eastAsia="仿宋" w:hAnsi="仿宋" w:hint="eastAsia"/>
          <w:sz w:val="32"/>
          <w:szCs w:val="32"/>
        </w:rPr>
        <w:t>98</w:t>
      </w:r>
      <w:r>
        <w:rPr>
          <w:rFonts w:ascii="仿宋" w:eastAsia="仿宋" w:hAnsi="仿宋" w:hint="eastAsia"/>
          <w:sz w:val="32"/>
          <w:szCs w:val="32"/>
        </w:rPr>
        <w:t>件次，加大对信访件的督办力度，依法维护人民群众合法权益</w:t>
      </w:r>
      <w:r>
        <w:rPr>
          <w:rFonts w:ascii="仿宋" w:eastAsia="仿宋" w:hAnsi="仿宋" w:hint="eastAsia"/>
          <w:sz w:val="32"/>
          <w:szCs w:val="32"/>
        </w:rPr>
        <w:lastRenderedPageBreak/>
        <w:t>和切身利益</w:t>
      </w:r>
      <w:r>
        <w:rPr>
          <w:rFonts w:ascii="仿宋" w:eastAsia="仿宋" w:hAnsi="仿宋" w:hint="eastAsia"/>
          <w:sz w:val="32"/>
          <w:szCs w:val="32"/>
        </w:rPr>
        <w:t>,</w:t>
      </w:r>
      <w:r>
        <w:rPr>
          <w:rFonts w:ascii="仿宋" w:eastAsia="仿宋" w:hAnsi="仿宋" w:hint="eastAsia"/>
          <w:sz w:val="32"/>
          <w:szCs w:val="32"/>
        </w:rPr>
        <w:t>推进法治南开建设。听取和审议</w:t>
      </w:r>
      <w:r>
        <w:rPr>
          <w:rFonts w:ascii="仿宋" w:eastAsia="仿宋" w:hAnsi="仿宋" w:hint="eastAsia"/>
          <w:sz w:val="32"/>
          <w:szCs w:val="32"/>
        </w:rPr>
        <w:t>2018</w:t>
      </w:r>
      <w:r>
        <w:rPr>
          <w:rFonts w:ascii="仿宋" w:eastAsia="仿宋" w:hAnsi="仿宋" w:hint="eastAsia"/>
          <w:sz w:val="32"/>
          <w:szCs w:val="32"/>
        </w:rPr>
        <w:t>年区级决算报告、</w:t>
      </w:r>
      <w:r>
        <w:rPr>
          <w:rFonts w:ascii="仿宋" w:eastAsia="仿宋" w:hAnsi="仿宋" w:hint="eastAsia"/>
          <w:sz w:val="32"/>
          <w:szCs w:val="32"/>
        </w:rPr>
        <w:t>2019</w:t>
      </w:r>
      <w:r>
        <w:rPr>
          <w:rFonts w:ascii="仿宋" w:eastAsia="仿宋" w:hAnsi="仿宋" w:hint="eastAsia"/>
          <w:sz w:val="32"/>
          <w:szCs w:val="32"/>
        </w:rPr>
        <w:t>年预算执行情况汇报、</w:t>
      </w:r>
      <w:r>
        <w:rPr>
          <w:rFonts w:ascii="仿宋" w:eastAsia="仿宋" w:hAnsi="仿宋" w:hint="eastAsia"/>
          <w:sz w:val="32"/>
          <w:szCs w:val="32"/>
        </w:rPr>
        <w:t>2018</w:t>
      </w:r>
      <w:r>
        <w:rPr>
          <w:rFonts w:ascii="仿宋" w:eastAsia="仿宋" w:hAnsi="仿宋" w:hint="eastAsia"/>
          <w:sz w:val="32"/>
          <w:szCs w:val="32"/>
        </w:rPr>
        <w:t>年预算执行和其他财政收支情况的审计工作及审计查出问题整改情况报告，审查批准了</w:t>
      </w:r>
      <w:r>
        <w:rPr>
          <w:rFonts w:ascii="仿宋" w:eastAsia="仿宋" w:hAnsi="仿宋" w:hint="eastAsia"/>
          <w:sz w:val="32"/>
          <w:szCs w:val="32"/>
        </w:rPr>
        <w:t>2018</w:t>
      </w:r>
      <w:r>
        <w:rPr>
          <w:rFonts w:ascii="仿宋" w:eastAsia="仿宋" w:hAnsi="仿宋" w:hint="eastAsia"/>
          <w:sz w:val="32"/>
          <w:szCs w:val="32"/>
        </w:rPr>
        <w:t>年区级决算和</w:t>
      </w:r>
      <w:r>
        <w:rPr>
          <w:rFonts w:ascii="仿宋" w:eastAsia="仿宋" w:hAnsi="仿宋" w:hint="eastAsia"/>
          <w:sz w:val="32"/>
          <w:szCs w:val="32"/>
        </w:rPr>
        <w:t>2019</w:t>
      </w:r>
      <w:r>
        <w:rPr>
          <w:rFonts w:ascii="仿宋" w:eastAsia="仿宋" w:hAnsi="仿宋" w:hint="eastAsia"/>
          <w:sz w:val="32"/>
          <w:szCs w:val="32"/>
        </w:rPr>
        <w:t>年预算调整意见。重视运用审计结果，对审计问题清单整改落实情况进行跟踪检查，强化各类风险防控，推动公共财政规范有效运行。积极推进预算联网监督工作，实现对国库集中支付系统实时在线监督，促进预算执行和财政资金管理不断规范，预</w:t>
      </w:r>
      <w:r>
        <w:rPr>
          <w:rFonts w:ascii="仿宋" w:eastAsia="仿宋" w:hAnsi="仿宋" w:hint="eastAsia"/>
          <w:sz w:val="32"/>
          <w:szCs w:val="32"/>
        </w:rPr>
        <w:t>算审查监督的针对性和有效性进一步增强。坚持党管干部与人大依法任免相统一，确保市委、区委决定通过法定程序成为全区人民的共同意志。完善人大专门委员会设置，优化人大常委会和专委会组成人员结构，设立了监察司法、财政经济、教科文卫、城建环保、社会建设</w:t>
      </w:r>
      <w:r>
        <w:rPr>
          <w:rFonts w:ascii="仿宋" w:eastAsia="仿宋" w:hAnsi="仿宋" w:hint="eastAsia"/>
          <w:sz w:val="32"/>
          <w:szCs w:val="32"/>
        </w:rPr>
        <w:t>5</w:t>
      </w:r>
      <w:r>
        <w:rPr>
          <w:rFonts w:ascii="仿宋" w:eastAsia="仿宋" w:hAnsi="仿宋" w:hint="eastAsia"/>
          <w:sz w:val="32"/>
          <w:szCs w:val="32"/>
        </w:rPr>
        <w:t>个人大专门委员会。补选市人大代表</w:t>
      </w:r>
      <w:r>
        <w:rPr>
          <w:rFonts w:ascii="仿宋" w:eastAsia="仿宋" w:hAnsi="仿宋" w:hint="eastAsia"/>
          <w:sz w:val="32"/>
          <w:szCs w:val="32"/>
        </w:rPr>
        <w:t>2</w:t>
      </w:r>
      <w:r>
        <w:rPr>
          <w:rFonts w:ascii="仿宋" w:eastAsia="仿宋" w:hAnsi="仿宋" w:hint="eastAsia"/>
          <w:sz w:val="32"/>
          <w:szCs w:val="32"/>
        </w:rPr>
        <w:t>名、区人大代表</w:t>
      </w:r>
      <w:r>
        <w:rPr>
          <w:rFonts w:ascii="仿宋" w:eastAsia="仿宋" w:hAnsi="仿宋" w:hint="eastAsia"/>
          <w:sz w:val="32"/>
          <w:szCs w:val="32"/>
        </w:rPr>
        <w:t>13</w:t>
      </w:r>
      <w:r>
        <w:rPr>
          <w:rFonts w:ascii="仿宋" w:eastAsia="仿宋" w:hAnsi="仿宋" w:hint="eastAsia"/>
          <w:sz w:val="32"/>
          <w:szCs w:val="32"/>
        </w:rPr>
        <w:t>名，任免区级国家机关工作人员</w:t>
      </w:r>
      <w:r>
        <w:rPr>
          <w:rFonts w:ascii="仿宋" w:eastAsia="仿宋" w:hAnsi="仿宋" w:hint="eastAsia"/>
          <w:sz w:val="32"/>
          <w:szCs w:val="32"/>
        </w:rPr>
        <w:t>134</w:t>
      </w:r>
      <w:r>
        <w:rPr>
          <w:rFonts w:ascii="仿宋" w:eastAsia="仿宋" w:hAnsi="仿宋" w:hint="eastAsia"/>
          <w:sz w:val="32"/>
          <w:szCs w:val="32"/>
        </w:rPr>
        <w:t>人次。加强对被任命人员的监督，严格执行《南开区实施宪法宣誓制度细则》和相关人事任免制度，完善法律知识考试、宪法宣誓和任后谈话制度，强化被任命人员的国家意识、法律意识、公仆意识。坚持对代</w:t>
      </w:r>
      <w:r>
        <w:rPr>
          <w:rFonts w:ascii="仿宋" w:eastAsia="仿宋" w:hAnsi="仿宋" w:hint="eastAsia"/>
          <w:sz w:val="32"/>
          <w:szCs w:val="32"/>
        </w:rPr>
        <w:t>表履职进行严格管理，充分利用《履职手册》，实行“一代表一档案”，健全代表履职档案，规范履职记录，动态掌握每一位人大代表任职期间参加学习培训、视察检查、调查研究以及提出议案、建议等活动情况，使每位人大代表的履职轨迹有案可查。赴全国</w:t>
      </w:r>
      <w:r>
        <w:rPr>
          <w:rFonts w:ascii="仿宋" w:eastAsia="仿宋" w:hAnsi="仿宋" w:hint="eastAsia"/>
          <w:sz w:val="32"/>
          <w:szCs w:val="32"/>
        </w:rPr>
        <w:lastRenderedPageBreak/>
        <w:t>人大北京培训基地举办市、区人大代表履职能力提升培训班，围绕学习习近平总书记关于坚持和完善人民代表大会制度的重要思想，增强人大监督实效，新时代人大代表履职等内容进行专题辅导讲座，为提高代表依法履职能力和水平奠定理论基础。加强示范代表工作站建设，发挥引领带动作用，推进代表进站全员化、联系</w:t>
      </w:r>
      <w:r>
        <w:rPr>
          <w:rFonts w:ascii="仿宋" w:eastAsia="仿宋" w:hAnsi="仿宋" w:hint="eastAsia"/>
          <w:sz w:val="32"/>
          <w:szCs w:val="32"/>
        </w:rPr>
        <w:t>活动长效化、活动机制规范化、解决问题实效化。为代表依法履职、密切联系人民群众搭建有效载体，支持和保障代表通过代表与选民见面会、入户走访谈心谈话、与社区居民共庆传统佳节等方式，与选民面对面“零距离”互动，倾听选民心声，回答选民询问，接受选民监督，推动群众反映的问题得到及时、有效的解决。聚焦中心任务，抓住民生热点，深度挖掘代表活动主题，落实好单月代表统一活动、双月代表进选区联系选民的工作机制。邀请代表</w:t>
      </w:r>
      <w:r>
        <w:rPr>
          <w:rFonts w:ascii="仿宋" w:eastAsia="仿宋" w:hAnsi="仿宋" w:hint="eastAsia"/>
          <w:sz w:val="32"/>
          <w:szCs w:val="32"/>
        </w:rPr>
        <w:t>200</w:t>
      </w:r>
      <w:r>
        <w:rPr>
          <w:rFonts w:ascii="仿宋" w:eastAsia="仿宋" w:hAnsi="仿宋" w:hint="eastAsia"/>
          <w:sz w:val="32"/>
          <w:szCs w:val="32"/>
        </w:rPr>
        <w:t>余人次列席会议、旁听法院庭审、参加检察院开放日。年中、年末分别组织市、区人大代表围绕区域经济社会发展重点工</w:t>
      </w:r>
      <w:r>
        <w:rPr>
          <w:rFonts w:ascii="仿宋" w:eastAsia="仿宋" w:hAnsi="仿宋" w:hint="eastAsia"/>
          <w:sz w:val="32"/>
          <w:szCs w:val="32"/>
        </w:rPr>
        <w:t>作进行视察，运用执法检查、专题调研、与政府职能部门对话等方式，充分发挥代表专业、行业优势，推动市、区重点工作。指导人大街道工委充分发挥“前沿窗口”作用，组织开展爱国主义教育、创文创卫志愿服务、扶贫助困等代表活动，积极为代表依法履职创造条件、提供保障。强化市、区人大代表互动，通过市人大代表争取市级部门对南开的支持。在市十七届人大二次会议上，南开团市代</w:t>
      </w:r>
      <w:r>
        <w:rPr>
          <w:rFonts w:ascii="仿宋" w:eastAsia="仿宋" w:hAnsi="仿宋" w:hint="eastAsia"/>
          <w:sz w:val="32"/>
          <w:szCs w:val="32"/>
        </w:rPr>
        <w:lastRenderedPageBreak/>
        <w:t>表以高度的政治责任感，积极为市、区发展建言献策，共提交议案</w:t>
      </w:r>
      <w:r>
        <w:rPr>
          <w:rFonts w:ascii="仿宋" w:eastAsia="仿宋" w:hAnsi="仿宋" w:hint="eastAsia"/>
          <w:sz w:val="32"/>
          <w:szCs w:val="32"/>
        </w:rPr>
        <w:t>24</w:t>
      </w:r>
      <w:r>
        <w:rPr>
          <w:rFonts w:ascii="仿宋" w:eastAsia="仿宋" w:hAnsi="仿宋" w:hint="eastAsia"/>
          <w:sz w:val="32"/>
          <w:szCs w:val="32"/>
        </w:rPr>
        <w:t>件，提出建议</w:t>
      </w:r>
      <w:r>
        <w:rPr>
          <w:rFonts w:ascii="仿宋" w:eastAsia="仿宋" w:hAnsi="仿宋" w:hint="eastAsia"/>
          <w:sz w:val="32"/>
          <w:szCs w:val="32"/>
        </w:rPr>
        <w:t>456</w:t>
      </w:r>
      <w:r>
        <w:rPr>
          <w:rFonts w:ascii="仿宋" w:eastAsia="仿宋" w:hAnsi="仿宋" w:hint="eastAsia"/>
          <w:sz w:val="32"/>
          <w:szCs w:val="32"/>
        </w:rPr>
        <w:t>件，受到市人大常委会充分肯定。坚持办理工作“三公开”和主任会议成员牵头督办制度，采</w:t>
      </w:r>
      <w:r>
        <w:rPr>
          <w:rFonts w:ascii="仿宋" w:eastAsia="仿宋" w:hAnsi="仿宋" w:hint="eastAsia"/>
          <w:sz w:val="32"/>
          <w:szCs w:val="32"/>
        </w:rPr>
        <w:t>取线上“交办”与线下“督办”相结合，加强代表议案建议办理平台使用推广，完善平台功能，确保工作有效落实。加大对涉及部门多、办理难度大的代表建议督办力度，督促承办部门进一步密切与代表的沟通联系，及时反馈办理情况，广泛征求代表意见，切实提高落实率，更好调动代表的积极性、主动性、创造性，解决好涉及人民群众切身利益的热点、难点问题。加强信息化建设，顺应大数据、“互联网</w:t>
      </w:r>
      <w:r>
        <w:rPr>
          <w:rFonts w:ascii="仿宋" w:eastAsia="仿宋" w:hAnsi="仿宋" w:hint="eastAsia"/>
          <w:sz w:val="32"/>
          <w:szCs w:val="32"/>
        </w:rPr>
        <w:t>+</w:t>
      </w:r>
      <w:r>
        <w:rPr>
          <w:rFonts w:ascii="仿宋" w:eastAsia="仿宋" w:hAnsi="仿宋" w:hint="eastAsia"/>
          <w:sz w:val="32"/>
          <w:szCs w:val="32"/>
        </w:rPr>
        <w:t>”发展趋势，充分利用门户网站、微信等新媒体，宣传人大监督、代表风采、自身建设、理论研究等工作成效，有力传递人大声音，增强人大影响力。全年向全国及市、区</w:t>
      </w:r>
      <w:r>
        <w:rPr>
          <w:rFonts w:ascii="仿宋" w:eastAsia="仿宋" w:hAnsi="仿宋" w:hint="eastAsia"/>
          <w:sz w:val="32"/>
          <w:szCs w:val="32"/>
        </w:rPr>
        <w:t>有关媒体报送稿件信息</w:t>
      </w:r>
      <w:r>
        <w:rPr>
          <w:rFonts w:ascii="仿宋" w:eastAsia="仿宋" w:hAnsi="仿宋" w:hint="eastAsia"/>
          <w:sz w:val="32"/>
          <w:szCs w:val="32"/>
        </w:rPr>
        <w:t>330</w:t>
      </w:r>
      <w:r>
        <w:rPr>
          <w:rFonts w:ascii="仿宋" w:eastAsia="仿宋" w:hAnsi="仿宋" w:hint="eastAsia"/>
          <w:sz w:val="32"/>
          <w:szCs w:val="32"/>
        </w:rPr>
        <w:t>余篇，《天津人大》、《天津日报•南开时讯》、“和美南开”公众号、区人大常委会网站、《南开人大信息》刊登发布信息</w:t>
      </w:r>
      <w:r>
        <w:rPr>
          <w:rFonts w:ascii="仿宋" w:eastAsia="仿宋" w:hAnsi="仿宋" w:hint="eastAsia"/>
          <w:sz w:val="32"/>
          <w:szCs w:val="32"/>
        </w:rPr>
        <w:t>280</w:t>
      </w:r>
      <w:r>
        <w:rPr>
          <w:rFonts w:ascii="仿宋" w:eastAsia="仿宋" w:hAnsi="仿宋" w:hint="eastAsia"/>
          <w:sz w:val="32"/>
          <w:szCs w:val="32"/>
        </w:rPr>
        <w:t>余条、专刊</w:t>
      </w:r>
      <w:r>
        <w:rPr>
          <w:rFonts w:ascii="仿宋" w:eastAsia="仿宋" w:hAnsi="仿宋" w:hint="eastAsia"/>
          <w:sz w:val="32"/>
          <w:szCs w:val="32"/>
        </w:rPr>
        <w:t>4</w:t>
      </w:r>
      <w:r>
        <w:rPr>
          <w:rFonts w:ascii="仿宋" w:eastAsia="仿宋" w:hAnsi="仿宋" w:hint="eastAsia"/>
          <w:sz w:val="32"/>
          <w:szCs w:val="32"/>
        </w:rPr>
        <w:t>期。被市人大常委会评为宣传和信息工作先进单位。</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（二）部门效果目标实现情况</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常委会依法行使监督、决定、任免等职权，做到监督动真格、支持有力度，努力推动区域经济社会发展依法有序运行。全年召开常委会会议</w:t>
      </w:r>
      <w:r>
        <w:rPr>
          <w:rFonts w:ascii="仿宋" w:eastAsia="仿宋" w:hAnsi="仿宋" w:hint="eastAsia"/>
          <w:sz w:val="32"/>
          <w:szCs w:val="32"/>
        </w:rPr>
        <w:t>10</w:t>
      </w:r>
      <w:r>
        <w:rPr>
          <w:rFonts w:ascii="仿宋" w:eastAsia="仿宋" w:hAnsi="仿宋" w:hint="eastAsia"/>
          <w:sz w:val="32"/>
          <w:szCs w:val="32"/>
        </w:rPr>
        <w:t>次，主任会议</w:t>
      </w:r>
      <w:r>
        <w:rPr>
          <w:rFonts w:ascii="仿宋" w:eastAsia="仿宋" w:hAnsi="仿宋" w:hint="eastAsia"/>
          <w:sz w:val="32"/>
          <w:szCs w:val="32"/>
        </w:rPr>
        <w:t>12</w:t>
      </w:r>
      <w:r>
        <w:rPr>
          <w:rFonts w:ascii="仿宋" w:eastAsia="仿宋" w:hAnsi="仿宋" w:hint="eastAsia"/>
          <w:sz w:val="32"/>
          <w:szCs w:val="32"/>
        </w:rPr>
        <w:t>次。听取、审</w:t>
      </w:r>
      <w:r>
        <w:rPr>
          <w:rFonts w:ascii="仿宋" w:eastAsia="仿宋" w:hAnsi="仿宋" w:hint="eastAsia"/>
          <w:sz w:val="32"/>
          <w:szCs w:val="32"/>
        </w:rPr>
        <w:lastRenderedPageBreak/>
        <w:t>议区“一府两院”专项工作报告</w:t>
      </w:r>
      <w:r>
        <w:rPr>
          <w:rFonts w:ascii="仿宋" w:eastAsia="仿宋" w:hAnsi="仿宋" w:hint="eastAsia"/>
          <w:sz w:val="32"/>
          <w:szCs w:val="32"/>
        </w:rPr>
        <w:t>23</w:t>
      </w:r>
      <w:r>
        <w:rPr>
          <w:rFonts w:ascii="仿宋" w:eastAsia="仿宋" w:hAnsi="仿宋" w:hint="eastAsia"/>
          <w:sz w:val="32"/>
          <w:szCs w:val="32"/>
        </w:rPr>
        <w:t>项，依法作出决议、决定</w:t>
      </w:r>
      <w:r>
        <w:rPr>
          <w:rFonts w:ascii="仿宋" w:eastAsia="仿宋" w:hAnsi="仿宋" w:hint="eastAsia"/>
          <w:sz w:val="32"/>
          <w:szCs w:val="32"/>
        </w:rPr>
        <w:t>6</w:t>
      </w:r>
      <w:r>
        <w:rPr>
          <w:rFonts w:ascii="仿宋" w:eastAsia="仿宋" w:hAnsi="仿宋" w:hint="eastAsia"/>
          <w:sz w:val="32"/>
          <w:szCs w:val="32"/>
        </w:rPr>
        <w:t>项，开展执法检查</w:t>
      </w:r>
      <w:r>
        <w:rPr>
          <w:rFonts w:ascii="仿宋" w:eastAsia="仿宋" w:hAnsi="仿宋" w:hint="eastAsia"/>
          <w:sz w:val="32"/>
          <w:szCs w:val="32"/>
        </w:rPr>
        <w:t>5</w:t>
      </w:r>
      <w:r>
        <w:rPr>
          <w:rFonts w:ascii="仿宋" w:eastAsia="仿宋" w:hAnsi="仿宋" w:hint="eastAsia"/>
          <w:sz w:val="32"/>
          <w:szCs w:val="32"/>
        </w:rPr>
        <w:t>次，组织代表视察活动</w:t>
      </w:r>
      <w:r>
        <w:rPr>
          <w:rFonts w:ascii="仿宋" w:eastAsia="仿宋" w:hAnsi="仿宋" w:hint="eastAsia"/>
          <w:sz w:val="32"/>
          <w:szCs w:val="32"/>
        </w:rPr>
        <w:t>50</w:t>
      </w:r>
      <w:r>
        <w:rPr>
          <w:rFonts w:ascii="仿宋" w:eastAsia="仿宋" w:hAnsi="仿宋" w:hint="eastAsia"/>
          <w:sz w:val="32"/>
          <w:szCs w:val="32"/>
        </w:rPr>
        <w:t>余次。推动落实区十七届人大五次</w:t>
      </w:r>
      <w:r>
        <w:rPr>
          <w:rFonts w:ascii="仿宋" w:eastAsia="仿宋" w:hAnsi="仿宋" w:hint="eastAsia"/>
          <w:sz w:val="32"/>
          <w:szCs w:val="32"/>
        </w:rPr>
        <w:t>会议确定的《关于推动“创新南开”建设、打造学城创城产城三城融合科技生态城的议案》，就制定并宣传落实好各项政策措施，创新工作体制机制，强化科技创新重点工作落实等方面提出意见要求。积极发挥常委会在全国文明城区国家卫生区创建中的作用，加强对市容环境综合整治、社区环境清理、菜市场规范等重点工作的监督，常委会主任会议成员率队深入街道社区督导暗访，组织代表开展视察调研、联系选民、征求意见活动，助推创建工作取得实效。听取和审议区政府关于</w:t>
      </w:r>
      <w:r>
        <w:rPr>
          <w:rFonts w:ascii="仿宋" w:eastAsia="仿宋" w:hAnsi="仿宋" w:hint="eastAsia"/>
          <w:sz w:val="32"/>
          <w:szCs w:val="32"/>
        </w:rPr>
        <w:t>2019</w:t>
      </w:r>
      <w:r>
        <w:rPr>
          <w:rFonts w:ascii="仿宋" w:eastAsia="仿宋" w:hAnsi="仿宋" w:hint="eastAsia"/>
          <w:sz w:val="32"/>
          <w:szCs w:val="32"/>
        </w:rPr>
        <w:t>年国民经济和社会发展计划执行情况报告以及关于国有资产管理、民营经济发展、政府债</w:t>
      </w:r>
      <w:r>
        <w:rPr>
          <w:rFonts w:ascii="仿宋" w:eastAsia="仿宋" w:hAnsi="仿宋" w:hint="eastAsia"/>
          <w:sz w:val="32"/>
          <w:szCs w:val="32"/>
        </w:rPr>
        <w:t>务等情况报告，促进提高风险防控能力，营造优质发展环境。围绕全面深化改革，加强对机构改革后政府各部门职能调整和作用发挥情况的监督</w:t>
      </w:r>
      <w:r>
        <w:rPr>
          <w:rFonts w:ascii="仿宋" w:eastAsia="仿宋" w:hAnsi="仿宋" w:hint="eastAsia"/>
          <w:sz w:val="32"/>
          <w:szCs w:val="32"/>
        </w:rPr>
        <w:t>,</w:t>
      </w:r>
      <w:r>
        <w:rPr>
          <w:rFonts w:ascii="仿宋" w:eastAsia="仿宋" w:hAnsi="仿宋" w:hint="eastAsia"/>
          <w:sz w:val="32"/>
          <w:szCs w:val="32"/>
        </w:rPr>
        <w:t>听取区住房和建设委员会、区退役军人事务局依法履职，完成重点工作情况汇报。坚持以人民为中心的发展思想，恪守为民情怀，大力保障和改善民生。聚焦安全生产，在</w:t>
      </w:r>
      <w:r>
        <w:rPr>
          <w:rFonts w:ascii="仿宋" w:eastAsia="仿宋" w:hAnsi="仿宋" w:hint="eastAsia"/>
          <w:sz w:val="32"/>
          <w:szCs w:val="32"/>
        </w:rPr>
        <w:t>2018</w:t>
      </w:r>
      <w:r>
        <w:rPr>
          <w:rFonts w:ascii="仿宋" w:eastAsia="仿宋" w:hAnsi="仿宋" w:hint="eastAsia"/>
          <w:sz w:val="32"/>
          <w:szCs w:val="32"/>
        </w:rPr>
        <w:t>年对全区安全生产工作进行全面督查的基础上，对全区人员密集场所开展安全生产专项督查。充分发挥人大监督职能，为全区安全生产工作念好“紧箍咒”、为高质量发展筑牢“防火墙”。听取和审议区政府关于环境质量状况和环保目标完成、创建国家食</w:t>
      </w:r>
      <w:r>
        <w:rPr>
          <w:rFonts w:ascii="仿宋" w:eastAsia="仿宋" w:hAnsi="仿宋" w:hint="eastAsia"/>
          <w:sz w:val="32"/>
          <w:szCs w:val="32"/>
        </w:rPr>
        <w:lastRenderedPageBreak/>
        <w:t>品</w:t>
      </w:r>
      <w:r>
        <w:rPr>
          <w:rFonts w:ascii="仿宋" w:eastAsia="仿宋" w:hAnsi="仿宋" w:hint="eastAsia"/>
          <w:sz w:val="32"/>
          <w:szCs w:val="32"/>
        </w:rPr>
        <w:t>安全示范城市、协调推进教育发展和教育布局规划、大力推广全民健身开展群众体育工作、公共基础设施建设、养老服务、棚户区改造、市容环境整治工作情况汇报。对医疗卫生、物业管理、社区建设等民生工作开展视察、调研，促进提升公共服务、生态环境保护和城市建设管理水平，更好满足人民日益增长的美好生活需要。对《中华人民共和国人民调解法》、《天津市文明行为促进条例》等法律法规实施情况开展检查，坚持问题导向，采取专题学习、集中座谈、实地察看、随机暗访、追踪监督等多种方式，针对法律执行中存在的薄弱环节，发现问题、剖析成因、提出建议，</w:t>
      </w:r>
      <w:r>
        <w:rPr>
          <w:rFonts w:ascii="仿宋" w:eastAsia="仿宋" w:hAnsi="仿宋" w:hint="eastAsia"/>
          <w:sz w:val="32"/>
          <w:szCs w:val="32"/>
        </w:rPr>
        <w:t>向区委、市人大常委会作专项报告，充分发挥法律巡视的利剑作用，为各项事业发展提供有力法治保障。听取区政府关于信访工作、区法院关于基本解决执行难问题、区检察院内设机构改革后检察工作创新发展等情况汇报，促进依法行政、公正司法。认真做好信访接待工作，全年受理群众来信来访</w:t>
      </w:r>
      <w:r>
        <w:rPr>
          <w:rFonts w:ascii="仿宋" w:eastAsia="仿宋" w:hAnsi="仿宋" w:hint="eastAsia"/>
          <w:sz w:val="32"/>
          <w:szCs w:val="32"/>
        </w:rPr>
        <w:t>98</w:t>
      </w:r>
      <w:r>
        <w:rPr>
          <w:rFonts w:ascii="仿宋" w:eastAsia="仿宋" w:hAnsi="仿宋" w:hint="eastAsia"/>
          <w:sz w:val="32"/>
          <w:szCs w:val="32"/>
        </w:rPr>
        <w:t>件次，加大对信访件的督办力度，依法维护人民群众合法权益和切身利益</w:t>
      </w:r>
      <w:r>
        <w:rPr>
          <w:rFonts w:ascii="仿宋" w:eastAsia="仿宋" w:hAnsi="仿宋" w:hint="eastAsia"/>
          <w:sz w:val="32"/>
          <w:szCs w:val="32"/>
        </w:rPr>
        <w:t>,</w:t>
      </w:r>
      <w:r>
        <w:rPr>
          <w:rFonts w:ascii="仿宋" w:eastAsia="仿宋" w:hAnsi="仿宋" w:hint="eastAsia"/>
          <w:sz w:val="32"/>
          <w:szCs w:val="32"/>
        </w:rPr>
        <w:t>推进法治南开建设。听取和审议</w:t>
      </w:r>
      <w:r>
        <w:rPr>
          <w:rFonts w:ascii="仿宋" w:eastAsia="仿宋" w:hAnsi="仿宋" w:hint="eastAsia"/>
          <w:sz w:val="32"/>
          <w:szCs w:val="32"/>
        </w:rPr>
        <w:t>2018</w:t>
      </w:r>
      <w:r>
        <w:rPr>
          <w:rFonts w:ascii="仿宋" w:eastAsia="仿宋" w:hAnsi="仿宋" w:hint="eastAsia"/>
          <w:sz w:val="32"/>
          <w:szCs w:val="32"/>
        </w:rPr>
        <w:t>年区级决算报告、</w:t>
      </w:r>
      <w:r>
        <w:rPr>
          <w:rFonts w:ascii="仿宋" w:eastAsia="仿宋" w:hAnsi="仿宋" w:hint="eastAsia"/>
          <w:sz w:val="32"/>
          <w:szCs w:val="32"/>
        </w:rPr>
        <w:t>2019</w:t>
      </w:r>
      <w:r>
        <w:rPr>
          <w:rFonts w:ascii="仿宋" w:eastAsia="仿宋" w:hAnsi="仿宋" w:hint="eastAsia"/>
          <w:sz w:val="32"/>
          <w:szCs w:val="32"/>
        </w:rPr>
        <w:t>年预算执行情况汇报、</w:t>
      </w:r>
      <w:r>
        <w:rPr>
          <w:rFonts w:ascii="仿宋" w:eastAsia="仿宋" w:hAnsi="仿宋" w:hint="eastAsia"/>
          <w:sz w:val="32"/>
          <w:szCs w:val="32"/>
        </w:rPr>
        <w:t>2018</w:t>
      </w:r>
      <w:r>
        <w:rPr>
          <w:rFonts w:ascii="仿宋" w:eastAsia="仿宋" w:hAnsi="仿宋" w:hint="eastAsia"/>
          <w:sz w:val="32"/>
          <w:szCs w:val="32"/>
        </w:rPr>
        <w:t>年预算执行和其他财政收支情况的审计工作及审计查出问题整改情况报告，审查批准了</w:t>
      </w:r>
      <w:r>
        <w:rPr>
          <w:rFonts w:ascii="仿宋" w:eastAsia="仿宋" w:hAnsi="仿宋" w:hint="eastAsia"/>
          <w:sz w:val="32"/>
          <w:szCs w:val="32"/>
        </w:rPr>
        <w:t>2018</w:t>
      </w:r>
      <w:r>
        <w:rPr>
          <w:rFonts w:ascii="仿宋" w:eastAsia="仿宋" w:hAnsi="仿宋" w:hint="eastAsia"/>
          <w:sz w:val="32"/>
          <w:szCs w:val="32"/>
        </w:rPr>
        <w:t>年区级决</w:t>
      </w:r>
      <w:r>
        <w:rPr>
          <w:rFonts w:ascii="仿宋" w:eastAsia="仿宋" w:hAnsi="仿宋" w:hint="eastAsia"/>
          <w:sz w:val="32"/>
          <w:szCs w:val="32"/>
        </w:rPr>
        <w:t>算和</w:t>
      </w:r>
      <w:r>
        <w:rPr>
          <w:rFonts w:ascii="仿宋" w:eastAsia="仿宋" w:hAnsi="仿宋" w:hint="eastAsia"/>
          <w:sz w:val="32"/>
          <w:szCs w:val="32"/>
        </w:rPr>
        <w:t>2019</w:t>
      </w:r>
      <w:r>
        <w:rPr>
          <w:rFonts w:ascii="仿宋" w:eastAsia="仿宋" w:hAnsi="仿宋" w:hint="eastAsia"/>
          <w:sz w:val="32"/>
          <w:szCs w:val="32"/>
        </w:rPr>
        <w:t>年预算调整意见。重视运用审计结果，对审计问题清单整改落实情况进行跟踪检查，强化各类风险防控，推动公共财政规范有效运行。积极</w:t>
      </w:r>
      <w:r>
        <w:rPr>
          <w:rFonts w:ascii="仿宋" w:eastAsia="仿宋" w:hAnsi="仿宋" w:hint="eastAsia"/>
          <w:sz w:val="32"/>
          <w:szCs w:val="32"/>
        </w:rPr>
        <w:lastRenderedPageBreak/>
        <w:t>推进预算联网监督工作，实现对国库集中支付系统实时在线监督，促进预算执行和财政资金管理不断规范，预算审查监督的针对性和有效性进一步增强。坚持党管干部与人大依法任免相统一，确保市委、区委决定通过法定程序成为全区人民的共同意志。完善人大专门委员会设置，优化人大常委会和专委会组成人员结构，设立了监察司法、财政经济、教科文卫、城建环保、社会建设</w:t>
      </w:r>
      <w:r>
        <w:rPr>
          <w:rFonts w:ascii="仿宋" w:eastAsia="仿宋" w:hAnsi="仿宋" w:hint="eastAsia"/>
          <w:sz w:val="32"/>
          <w:szCs w:val="32"/>
        </w:rPr>
        <w:t>5</w:t>
      </w:r>
      <w:r>
        <w:rPr>
          <w:rFonts w:ascii="仿宋" w:eastAsia="仿宋" w:hAnsi="仿宋" w:hint="eastAsia"/>
          <w:sz w:val="32"/>
          <w:szCs w:val="32"/>
        </w:rPr>
        <w:t>个人大专门委员会。补选市人大代表</w:t>
      </w:r>
      <w:r>
        <w:rPr>
          <w:rFonts w:ascii="仿宋" w:eastAsia="仿宋" w:hAnsi="仿宋" w:hint="eastAsia"/>
          <w:sz w:val="32"/>
          <w:szCs w:val="32"/>
        </w:rPr>
        <w:t>2</w:t>
      </w:r>
      <w:r>
        <w:rPr>
          <w:rFonts w:ascii="仿宋" w:eastAsia="仿宋" w:hAnsi="仿宋" w:hint="eastAsia"/>
          <w:sz w:val="32"/>
          <w:szCs w:val="32"/>
        </w:rPr>
        <w:t>名、区</w:t>
      </w:r>
      <w:r>
        <w:rPr>
          <w:rFonts w:ascii="仿宋" w:eastAsia="仿宋" w:hAnsi="仿宋" w:hint="eastAsia"/>
          <w:sz w:val="32"/>
          <w:szCs w:val="32"/>
        </w:rPr>
        <w:t>人大代表</w:t>
      </w:r>
      <w:r>
        <w:rPr>
          <w:rFonts w:ascii="仿宋" w:eastAsia="仿宋" w:hAnsi="仿宋" w:hint="eastAsia"/>
          <w:sz w:val="32"/>
          <w:szCs w:val="32"/>
        </w:rPr>
        <w:t>13</w:t>
      </w:r>
      <w:r>
        <w:rPr>
          <w:rFonts w:ascii="仿宋" w:eastAsia="仿宋" w:hAnsi="仿宋" w:hint="eastAsia"/>
          <w:sz w:val="32"/>
          <w:szCs w:val="32"/>
        </w:rPr>
        <w:t>名，任免区级国家机关工作人员</w:t>
      </w:r>
      <w:r>
        <w:rPr>
          <w:rFonts w:ascii="仿宋" w:eastAsia="仿宋" w:hAnsi="仿宋" w:hint="eastAsia"/>
          <w:sz w:val="32"/>
          <w:szCs w:val="32"/>
        </w:rPr>
        <w:t>134</w:t>
      </w:r>
      <w:r>
        <w:rPr>
          <w:rFonts w:ascii="仿宋" w:eastAsia="仿宋" w:hAnsi="仿宋" w:hint="eastAsia"/>
          <w:sz w:val="32"/>
          <w:szCs w:val="32"/>
        </w:rPr>
        <w:t>人次。加强对被任命人员的监督，严格执行《南开区实施宪法宣誓制度细则》和相关人事任免制度，完善法律知识考试、宪法宣誓和任后谈话制度，强化被任命人员的国家意识、法律意识、公仆意识。坚持对代表履职进行严格管理，充分利用《履职手册》，实行“一代表一档案”，健全代表履职档案，规范履职记录，动态掌握每一位人大代表任职期间参加学习培训、视察检查、调查研究以及提出议案、建议等活动情况，使每位人大代表的履职轨迹有案可查。赴全国人大北京培训基地举办市、区人大代表履职能力提升培训班，</w:t>
      </w:r>
      <w:r>
        <w:rPr>
          <w:rFonts w:ascii="仿宋" w:eastAsia="仿宋" w:hAnsi="仿宋" w:hint="eastAsia"/>
          <w:sz w:val="32"/>
          <w:szCs w:val="32"/>
        </w:rPr>
        <w:t>围绕学习习近平总书记关于坚持和完善人民代表大会制度的重要思想，增强人大监督实效，新时代人大代表履职等内容进行专题辅导讲座，为提高代表依法履职能力和水平奠定理论基础。加强示范代表工作站建设，发挥引领带动作用，推进代表进站全员化、联系活动长效化、活动机制规范化、</w:t>
      </w:r>
      <w:r>
        <w:rPr>
          <w:rFonts w:ascii="仿宋" w:eastAsia="仿宋" w:hAnsi="仿宋" w:hint="eastAsia"/>
          <w:sz w:val="32"/>
          <w:szCs w:val="32"/>
        </w:rPr>
        <w:lastRenderedPageBreak/>
        <w:t>解决问题实效化。为代表依法履职、密切联系人民群众搭建有效载体，支持和保障代表通过代表与选民见面会、入户走访谈心谈话、与社区居民共庆传统佳节等方式，与选民面对面“零距离”互动，倾听选民心声，回答选民询问，接受选民监督，推动群众反映的问题得到及时、有效的解决</w:t>
      </w:r>
      <w:r>
        <w:rPr>
          <w:rFonts w:ascii="仿宋" w:eastAsia="仿宋" w:hAnsi="仿宋" w:hint="eastAsia"/>
          <w:sz w:val="32"/>
          <w:szCs w:val="32"/>
        </w:rPr>
        <w:t>。聚焦中心任务，抓住民生热点，深度挖掘代表活动主题，落实好单月代表统一活动、双月代表进选区联系选民的工作机制。邀请代表</w:t>
      </w:r>
      <w:r>
        <w:rPr>
          <w:rFonts w:ascii="仿宋" w:eastAsia="仿宋" w:hAnsi="仿宋" w:hint="eastAsia"/>
          <w:sz w:val="32"/>
          <w:szCs w:val="32"/>
        </w:rPr>
        <w:t>200</w:t>
      </w:r>
      <w:r>
        <w:rPr>
          <w:rFonts w:ascii="仿宋" w:eastAsia="仿宋" w:hAnsi="仿宋" w:hint="eastAsia"/>
          <w:sz w:val="32"/>
          <w:szCs w:val="32"/>
        </w:rPr>
        <w:t>余人次列席会议、旁听法院庭审、参加检察院开放日。年中、年末分别组织市、区人大代表围绕区域经济社会发展重点工作进行视察，运用执法检查、专题调研、与政府职能部门对话等方式，充分发挥代表专业、行业优势，推动市、区重点工作。指导人大街道工委充分发挥“前沿窗口”作用，组织开展爱国主义教育、创文创卫志愿服务、扶贫助困等代表活动，积极为代表依法履职创造条件、提供保障。强化市、区人大代表互动，通过市人</w:t>
      </w:r>
      <w:r>
        <w:rPr>
          <w:rFonts w:ascii="仿宋" w:eastAsia="仿宋" w:hAnsi="仿宋" w:hint="eastAsia"/>
          <w:sz w:val="32"/>
          <w:szCs w:val="32"/>
        </w:rPr>
        <w:t>大代表争取市级部门对南开的支持。在市十七届人大二次会议上，南开团市代表以高度的政治责任感，积极为市、区发展建言献策，共提交议案</w:t>
      </w:r>
      <w:r>
        <w:rPr>
          <w:rFonts w:ascii="仿宋" w:eastAsia="仿宋" w:hAnsi="仿宋" w:hint="eastAsia"/>
          <w:sz w:val="32"/>
          <w:szCs w:val="32"/>
        </w:rPr>
        <w:t>24</w:t>
      </w:r>
      <w:r>
        <w:rPr>
          <w:rFonts w:ascii="仿宋" w:eastAsia="仿宋" w:hAnsi="仿宋" w:hint="eastAsia"/>
          <w:sz w:val="32"/>
          <w:szCs w:val="32"/>
        </w:rPr>
        <w:t>件，提出建议</w:t>
      </w:r>
      <w:r>
        <w:rPr>
          <w:rFonts w:ascii="仿宋" w:eastAsia="仿宋" w:hAnsi="仿宋" w:hint="eastAsia"/>
          <w:sz w:val="32"/>
          <w:szCs w:val="32"/>
        </w:rPr>
        <w:t>456</w:t>
      </w:r>
      <w:r>
        <w:rPr>
          <w:rFonts w:ascii="仿宋" w:eastAsia="仿宋" w:hAnsi="仿宋" w:hint="eastAsia"/>
          <w:sz w:val="32"/>
          <w:szCs w:val="32"/>
        </w:rPr>
        <w:t>件，受到市人大常委会充分肯定。坚持办理工作“三公开”和主任会议成员牵头督办制度，采取线上“交办”与线下“督办”相结合，加强代表议案建议办理平台使用推广，完善平台功能，确保工作有效落实。加大对涉及部门多、办理难度大的代表建议督办力度，督促</w:t>
      </w:r>
      <w:r>
        <w:rPr>
          <w:rFonts w:ascii="仿宋" w:eastAsia="仿宋" w:hAnsi="仿宋" w:hint="eastAsia"/>
          <w:sz w:val="32"/>
          <w:szCs w:val="32"/>
        </w:rPr>
        <w:lastRenderedPageBreak/>
        <w:t>承办部门进一步密切与代表的沟通联系，及时反馈办理情况，广泛征求代表意见，切实提高落实率，更好调动代表的积极性、主动性、创造性，解</w:t>
      </w:r>
      <w:r>
        <w:rPr>
          <w:rFonts w:ascii="仿宋" w:eastAsia="仿宋" w:hAnsi="仿宋" w:hint="eastAsia"/>
          <w:sz w:val="32"/>
          <w:szCs w:val="32"/>
        </w:rPr>
        <w:t>决好涉及人民群众切身利益的热点、难点问题。加强信息化建设，顺应大数据、“互联网</w:t>
      </w:r>
      <w:r>
        <w:rPr>
          <w:rFonts w:ascii="仿宋" w:eastAsia="仿宋" w:hAnsi="仿宋" w:hint="eastAsia"/>
          <w:sz w:val="32"/>
          <w:szCs w:val="32"/>
        </w:rPr>
        <w:t>+</w:t>
      </w:r>
      <w:r>
        <w:rPr>
          <w:rFonts w:ascii="仿宋" w:eastAsia="仿宋" w:hAnsi="仿宋" w:hint="eastAsia"/>
          <w:sz w:val="32"/>
          <w:szCs w:val="32"/>
        </w:rPr>
        <w:t>”发展趋势，充分利用门户网站、微信等新媒体，宣传人大监督、代表风采、自身建设、理论研究等工作成效，有力传递人大声音，增强人大影响力。全年向全国及市、区有关媒体报送稿件信息</w:t>
      </w:r>
      <w:r>
        <w:rPr>
          <w:rFonts w:ascii="仿宋" w:eastAsia="仿宋" w:hAnsi="仿宋" w:hint="eastAsia"/>
          <w:sz w:val="32"/>
          <w:szCs w:val="32"/>
        </w:rPr>
        <w:t>330</w:t>
      </w:r>
      <w:r>
        <w:rPr>
          <w:rFonts w:ascii="仿宋" w:eastAsia="仿宋" w:hAnsi="仿宋" w:hint="eastAsia"/>
          <w:sz w:val="32"/>
          <w:szCs w:val="32"/>
        </w:rPr>
        <w:t>余篇，《天津人大》、《天津日报•南开时讯》、“和美南开”公众号、区人大常委会网站、《南开人大信息》刊登发布信息</w:t>
      </w:r>
      <w:r>
        <w:rPr>
          <w:rFonts w:ascii="仿宋" w:eastAsia="仿宋" w:hAnsi="仿宋" w:hint="eastAsia"/>
          <w:sz w:val="32"/>
          <w:szCs w:val="32"/>
        </w:rPr>
        <w:t>280</w:t>
      </w:r>
      <w:r>
        <w:rPr>
          <w:rFonts w:ascii="仿宋" w:eastAsia="仿宋" w:hAnsi="仿宋" w:hint="eastAsia"/>
          <w:sz w:val="32"/>
          <w:szCs w:val="32"/>
        </w:rPr>
        <w:t>余条、专刊</w:t>
      </w:r>
      <w:r>
        <w:rPr>
          <w:rFonts w:ascii="仿宋" w:eastAsia="仿宋" w:hAnsi="仿宋" w:hint="eastAsia"/>
          <w:sz w:val="32"/>
          <w:szCs w:val="32"/>
        </w:rPr>
        <w:t>4</w:t>
      </w:r>
      <w:r>
        <w:rPr>
          <w:rFonts w:ascii="仿宋" w:eastAsia="仿宋" w:hAnsi="仿宋" w:hint="eastAsia"/>
          <w:sz w:val="32"/>
          <w:szCs w:val="32"/>
        </w:rPr>
        <w:t>期。被市人大常委会评为宣传和信息工作先进单位。</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（三）绩效目标未完成情况及原因分析</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无</w:t>
      </w:r>
    </w:p>
    <w:p w:rsidR="00585755" w:rsidRDefault="00C94667">
      <w:pPr>
        <w:pStyle w:val="a6"/>
        <w:spacing w:before="0" w:beforeAutospacing="0" w:after="0" w:afterAutospacing="0" w:line="360" w:lineRule="auto"/>
        <w:ind w:firstLineChars="200" w:firstLine="643"/>
        <w:jc w:val="both"/>
        <w:rPr>
          <w:rFonts w:ascii="黑体" w:eastAsia="黑体" w:hAnsi="黑体" w:cs="Times New Roman"/>
          <w:b/>
          <w:color w:val="auto"/>
          <w:kern w:val="2"/>
          <w:sz w:val="32"/>
          <w:szCs w:val="32"/>
        </w:rPr>
      </w:pPr>
      <w:r>
        <w:rPr>
          <w:rFonts w:ascii="黑体" w:eastAsia="黑体" w:hAnsi="黑体" w:cs="Times New Roman" w:hint="eastAsia"/>
          <w:b/>
          <w:color w:val="auto"/>
          <w:kern w:val="2"/>
          <w:sz w:val="32"/>
          <w:szCs w:val="32"/>
        </w:rPr>
        <w:t>六、主要经验、存在问题和建议</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（一）主要</w:t>
      </w:r>
      <w:r>
        <w:rPr>
          <w:rFonts w:ascii="楷体_GB2312" w:eastAsia="楷体_GB2312" w:hAnsi="仿宋" w:hint="eastAsia"/>
          <w:b/>
          <w:sz w:val="32"/>
          <w:szCs w:val="32"/>
        </w:rPr>
        <w:t>经验</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一、以党的领导为统领，持续加强政治建设</w:t>
      </w:r>
      <w:r>
        <w:rPr>
          <w:rFonts w:ascii="仿宋" w:eastAsia="仿宋" w:hAnsi="仿宋" w:hint="eastAsia"/>
          <w:sz w:val="32"/>
          <w:szCs w:val="32"/>
        </w:rPr>
        <w:t xml:space="preserve">  </w:t>
      </w:r>
      <w:r>
        <w:rPr>
          <w:rFonts w:ascii="仿宋" w:eastAsia="仿宋" w:hAnsi="仿宋" w:hint="eastAsia"/>
          <w:sz w:val="32"/>
          <w:szCs w:val="32"/>
        </w:rPr>
        <w:t>二、以依法监督为重点，履职尽责促进发展三、以履职平台为保障，充分发挥代表作用</w:t>
      </w:r>
      <w:r>
        <w:rPr>
          <w:rFonts w:ascii="仿宋" w:eastAsia="仿宋" w:hAnsi="仿宋" w:hint="eastAsia"/>
          <w:sz w:val="32"/>
          <w:szCs w:val="32"/>
        </w:rPr>
        <w:t xml:space="preserve"> </w:t>
      </w:r>
      <w:r>
        <w:rPr>
          <w:rFonts w:ascii="仿宋" w:eastAsia="仿宋" w:hAnsi="仿宋" w:hint="eastAsia"/>
          <w:sz w:val="32"/>
          <w:szCs w:val="32"/>
        </w:rPr>
        <w:t>四、以提升能力为目标，全面推进自身建设</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（二）存在问题</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lastRenderedPageBreak/>
        <w:t>面对新时代新任务新要求，常委会在用足用好监督手段、增强监督针对性实效性，完善代表工作机制、充分发挥代表作用，以及创新工作思路、提高履职能力等方面还存在一些差距和不足。我们要高度重视这些问题，虚心听取代表和各方面的意见、建议，自觉接受监督，切实加以改进。</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（三）后续工作计划</w:t>
      </w:r>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是我市全面建成高质量小康社会和“十三五”规划收官之年。区人大常委会要在区委的领导下，深入学习贯彻习近平总书记关于坚持和完善人民代表大会制度的重要思想和对地方人大工作的重要指示精神，围绕中心、服务大局，按照区委“坚持一个定位，推动两个转变，聚焦四项重点工作”的要求，突出工作重点、依法履行职责，在推进国家治理体系和治理能力现代化进程中体现人大担当和作为。</w:t>
      </w:r>
      <w:r>
        <w:rPr>
          <w:rFonts w:ascii="仿宋" w:eastAsia="仿宋" w:hAnsi="仿宋" w:hint="eastAsia"/>
          <w:sz w:val="32"/>
          <w:szCs w:val="32"/>
        </w:rPr>
        <w:t xml:space="preserve">  </w:t>
      </w:r>
      <w:r>
        <w:rPr>
          <w:rFonts w:ascii="仿宋" w:eastAsia="仿宋" w:hAnsi="仿宋" w:hint="eastAsia"/>
          <w:sz w:val="32"/>
          <w:szCs w:val="32"/>
        </w:rPr>
        <w:t>一、坚持党的全面领导，确保正确政治方向二、坚持人民主体地位，促进保障改善民生</w:t>
      </w:r>
      <w:r>
        <w:rPr>
          <w:rFonts w:ascii="仿宋" w:eastAsia="仿宋" w:hAnsi="仿宋" w:hint="eastAsia"/>
          <w:sz w:val="32"/>
          <w:szCs w:val="32"/>
        </w:rPr>
        <w:t xml:space="preserve">  </w:t>
      </w:r>
      <w:r>
        <w:rPr>
          <w:rFonts w:ascii="仿宋" w:eastAsia="仿宋" w:hAnsi="仿宋" w:hint="eastAsia"/>
          <w:sz w:val="32"/>
          <w:szCs w:val="32"/>
        </w:rPr>
        <w:t>三、坚持依法开展监督，持续用力推进工作四、坚持严格培训管理，激发代</w:t>
      </w:r>
      <w:r>
        <w:rPr>
          <w:rFonts w:ascii="仿宋" w:eastAsia="仿宋" w:hAnsi="仿宋" w:hint="eastAsia"/>
          <w:sz w:val="32"/>
          <w:szCs w:val="32"/>
        </w:rPr>
        <w:t>表履职活力</w:t>
      </w:r>
      <w:r>
        <w:rPr>
          <w:rFonts w:ascii="仿宋" w:eastAsia="仿宋" w:hAnsi="仿宋" w:hint="eastAsia"/>
          <w:sz w:val="32"/>
          <w:szCs w:val="32"/>
        </w:rPr>
        <w:t xml:space="preserve"> </w:t>
      </w:r>
      <w:r>
        <w:rPr>
          <w:rFonts w:ascii="仿宋" w:eastAsia="仿宋" w:hAnsi="仿宋" w:hint="eastAsia"/>
          <w:sz w:val="32"/>
          <w:szCs w:val="32"/>
        </w:rPr>
        <w:t>五、坚持提升履职能力，持续加强自身建设</w:t>
      </w:r>
    </w:p>
    <w:p w:rsidR="00585755" w:rsidRDefault="00C94667">
      <w:pPr>
        <w:spacing w:line="360" w:lineRule="auto"/>
        <w:ind w:firstLine="640"/>
        <w:rPr>
          <w:rFonts w:ascii="楷体_GB2312" w:eastAsia="楷体_GB2312" w:hAnsi="仿宋"/>
          <w:b/>
          <w:sz w:val="32"/>
          <w:szCs w:val="32"/>
        </w:rPr>
      </w:pPr>
      <w:r>
        <w:rPr>
          <w:rFonts w:ascii="楷体_GB2312" w:eastAsia="楷体_GB2312" w:hAnsi="仿宋" w:hint="eastAsia"/>
          <w:b/>
          <w:sz w:val="32"/>
          <w:szCs w:val="32"/>
        </w:rPr>
        <w:t>（四）相关建议</w:t>
      </w:r>
    </w:p>
    <w:bookmarkEnd w:id="12"/>
    <w:bookmarkEnd w:id="13"/>
    <w:bookmarkEnd w:id="14"/>
    <w:bookmarkEnd w:id="15"/>
    <w:bookmarkEnd w:id="16"/>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t>无</w:t>
      </w:r>
    </w:p>
    <w:p w:rsidR="00585755" w:rsidRDefault="00C94667">
      <w:pPr>
        <w:pStyle w:val="a6"/>
        <w:spacing w:before="0" w:beforeAutospacing="0" w:after="0" w:afterAutospacing="0" w:line="360" w:lineRule="auto"/>
        <w:ind w:firstLineChars="200" w:firstLine="643"/>
        <w:jc w:val="both"/>
        <w:rPr>
          <w:rFonts w:ascii="仿宋" w:eastAsia="仿宋" w:hAnsi="仿宋"/>
          <w:sz w:val="32"/>
          <w:szCs w:val="32"/>
        </w:rPr>
      </w:pPr>
      <w:r>
        <w:rPr>
          <w:rFonts w:ascii="黑体" w:eastAsia="黑体" w:hAnsi="黑体" w:cs="Times New Roman" w:hint="eastAsia"/>
          <w:b/>
          <w:color w:val="auto"/>
          <w:kern w:val="2"/>
          <w:sz w:val="32"/>
          <w:szCs w:val="32"/>
        </w:rPr>
        <w:t>七、其他需要说明的问题</w:t>
      </w:r>
      <w:bookmarkEnd w:id="9"/>
    </w:p>
    <w:p w:rsidR="00585755" w:rsidRDefault="00C94667">
      <w:pPr>
        <w:spacing w:line="360" w:lineRule="auto"/>
        <w:ind w:firstLine="640"/>
        <w:rPr>
          <w:rFonts w:ascii="仿宋" w:eastAsia="仿宋" w:hAnsi="仿宋"/>
          <w:sz w:val="32"/>
          <w:szCs w:val="32"/>
        </w:rPr>
      </w:pPr>
      <w:r>
        <w:rPr>
          <w:rFonts w:ascii="仿宋" w:eastAsia="仿宋" w:hAnsi="仿宋" w:hint="eastAsia"/>
          <w:sz w:val="32"/>
          <w:szCs w:val="32"/>
        </w:rPr>
        <w:lastRenderedPageBreak/>
        <w:t>无</w:t>
      </w:r>
    </w:p>
    <w:p w:rsidR="00585755" w:rsidRDefault="00C94667">
      <w:pPr>
        <w:rPr>
          <w:rFonts w:ascii="仿宋_GB2312" w:eastAsia="仿宋_GB2312"/>
          <w:b/>
          <w:bCs/>
          <w:sz w:val="28"/>
          <w:szCs w:val="36"/>
        </w:rPr>
      </w:pPr>
      <w:r>
        <w:rPr>
          <w:rFonts w:ascii="仿宋_GB2312" w:eastAsia="仿宋_GB2312" w:hint="eastAsia"/>
          <w:b/>
          <w:bCs/>
          <w:sz w:val="28"/>
          <w:szCs w:val="36"/>
        </w:rPr>
        <w:t>附件</w:t>
      </w:r>
      <w:r>
        <w:rPr>
          <w:rFonts w:ascii="仿宋_GB2312" w:eastAsia="仿宋_GB2312" w:hint="eastAsia"/>
          <w:b/>
          <w:bCs/>
          <w:sz w:val="28"/>
          <w:szCs w:val="36"/>
        </w:rPr>
        <w:t xml:space="preserve">1 </w:t>
      </w:r>
      <w:r>
        <w:rPr>
          <w:rFonts w:ascii="仿宋_GB2312" w:eastAsia="仿宋_GB2312" w:hint="eastAsia"/>
          <w:b/>
          <w:bCs/>
          <w:sz w:val="28"/>
          <w:szCs w:val="36"/>
        </w:rPr>
        <w:t>年度主要任务完成情况</w:t>
      </w:r>
    </w:p>
    <w:tbl>
      <w:tblPr>
        <w:tblW w:w="774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75"/>
        <w:gridCol w:w="1651"/>
        <w:gridCol w:w="2085"/>
        <w:gridCol w:w="594"/>
        <w:gridCol w:w="480"/>
        <w:gridCol w:w="525"/>
        <w:gridCol w:w="594"/>
        <w:gridCol w:w="541"/>
        <w:gridCol w:w="503"/>
      </w:tblGrid>
      <w:tr w:rsidR="00585755">
        <w:trPr>
          <w:trHeight w:val="745"/>
        </w:trPr>
        <w:tc>
          <w:tcPr>
            <w:tcW w:w="775" w:type="dxa"/>
            <w:vMerge w:val="restart"/>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任务编号</w:t>
            </w:r>
          </w:p>
        </w:tc>
        <w:tc>
          <w:tcPr>
            <w:tcW w:w="1651" w:type="dxa"/>
            <w:vMerge w:val="restart"/>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kern w:val="0"/>
                <w:sz w:val="22"/>
                <w:szCs w:val="22"/>
                <w:lang w:bidi="ar"/>
              </w:rPr>
            </w:pPr>
            <w:r>
              <w:rPr>
                <w:rFonts w:ascii="仿宋_GB2312" w:eastAsia="仿宋_GB2312" w:hAnsi="宋体" w:cs="宋体" w:hint="eastAsia"/>
                <w:color w:val="000000"/>
                <w:kern w:val="0"/>
                <w:sz w:val="22"/>
                <w:szCs w:val="22"/>
                <w:lang w:bidi="ar"/>
              </w:rPr>
              <w:t>任务概述</w:t>
            </w:r>
          </w:p>
        </w:tc>
        <w:tc>
          <w:tcPr>
            <w:tcW w:w="2085" w:type="dxa"/>
            <w:vMerge w:val="restart"/>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完成情况</w:t>
            </w:r>
          </w:p>
        </w:tc>
        <w:tc>
          <w:tcPr>
            <w:tcW w:w="1599" w:type="dxa"/>
            <w:gridSpan w:val="3"/>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预算数（万元）</w:t>
            </w:r>
          </w:p>
        </w:tc>
        <w:tc>
          <w:tcPr>
            <w:tcW w:w="1637" w:type="dxa"/>
            <w:gridSpan w:val="3"/>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执行数（万元）</w:t>
            </w:r>
          </w:p>
        </w:tc>
      </w:tr>
      <w:tr w:rsidR="00585755">
        <w:trPr>
          <w:trHeight w:val="745"/>
        </w:trPr>
        <w:tc>
          <w:tcPr>
            <w:tcW w:w="775" w:type="dxa"/>
            <w:vMerge/>
            <w:shd w:val="clear" w:color="auto" w:fill="FFFFFF"/>
            <w:vAlign w:val="center"/>
          </w:tcPr>
          <w:p w:rsidR="00585755" w:rsidRDefault="00585755">
            <w:pPr>
              <w:spacing w:line="312" w:lineRule="auto"/>
              <w:jc w:val="center"/>
              <w:rPr>
                <w:rFonts w:ascii="仿宋_GB2312" w:eastAsia="仿宋_GB2312" w:hAnsi="宋体" w:cs="宋体"/>
                <w:color w:val="000000"/>
                <w:sz w:val="22"/>
                <w:szCs w:val="22"/>
              </w:rPr>
            </w:pPr>
          </w:p>
        </w:tc>
        <w:tc>
          <w:tcPr>
            <w:tcW w:w="1651" w:type="dxa"/>
            <w:vMerge/>
            <w:shd w:val="clear" w:color="auto" w:fill="FFFFFF"/>
            <w:vAlign w:val="center"/>
          </w:tcPr>
          <w:p w:rsidR="00585755" w:rsidRDefault="00585755">
            <w:pPr>
              <w:spacing w:line="312" w:lineRule="auto"/>
              <w:jc w:val="center"/>
              <w:rPr>
                <w:rFonts w:ascii="仿宋_GB2312" w:eastAsia="仿宋_GB2312" w:hAnsi="宋体" w:cs="宋体"/>
                <w:color w:val="000000"/>
                <w:sz w:val="22"/>
                <w:szCs w:val="22"/>
              </w:rPr>
            </w:pPr>
          </w:p>
        </w:tc>
        <w:tc>
          <w:tcPr>
            <w:tcW w:w="2085" w:type="dxa"/>
            <w:vMerge/>
            <w:shd w:val="clear" w:color="auto" w:fill="FFFFFF"/>
            <w:vAlign w:val="center"/>
          </w:tcPr>
          <w:p w:rsidR="00585755" w:rsidRDefault="00585755">
            <w:pPr>
              <w:spacing w:line="312" w:lineRule="auto"/>
              <w:jc w:val="center"/>
              <w:rPr>
                <w:rFonts w:ascii="仿宋_GB2312" w:eastAsia="仿宋_GB2312" w:hAnsi="宋体" w:cs="宋体"/>
                <w:color w:val="000000"/>
                <w:sz w:val="22"/>
                <w:szCs w:val="22"/>
              </w:rPr>
            </w:pPr>
          </w:p>
        </w:tc>
        <w:tc>
          <w:tcPr>
            <w:tcW w:w="594"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小计</w:t>
            </w:r>
          </w:p>
        </w:tc>
        <w:tc>
          <w:tcPr>
            <w:tcW w:w="480"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财政</w:t>
            </w:r>
            <w:r>
              <w:rPr>
                <w:rFonts w:ascii="仿宋_GB2312" w:eastAsia="仿宋_GB2312" w:hAnsi="宋体" w:cs="宋体" w:hint="eastAsia"/>
                <w:color w:val="000000"/>
                <w:kern w:val="0"/>
                <w:sz w:val="22"/>
                <w:szCs w:val="22"/>
                <w:lang w:bidi="ar"/>
              </w:rPr>
              <w:t xml:space="preserve">   </w:t>
            </w:r>
            <w:r>
              <w:rPr>
                <w:rFonts w:ascii="仿宋_GB2312" w:eastAsia="仿宋_GB2312" w:hAnsi="宋体" w:cs="宋体" w:hint="eastAsia"/>
                <w:color w:val="000000"/>
                <w:kern w:val="0"/>
                <w:sz w:val="22"/>
                <w:szCs w:val="22"/>
                <w:lang w:bidi="ar"/>
              </w:rPr>
              <w:t>拨款</w:t>
            </w:r>
          </w:p>
        </w:tc>
        <w:tc>
          <w:tcPr>
            <w:tcW w:w="525"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其他</w:t>
            </w:r>
            <w:r>
              <w:rPr>
                <w:rFonts w:ascii="仿宋_GB2312" w:eastAsia="仿宋_GB2312" w:hAnsi="宋体" w:cs="宋体" w:hint="eastAsia"/>
                <w:color w:val="000000"/>
                <w:kern w:val="0"/>
                <w:sz w:val="22"/>
                <w:szCs w:val="22"/>
                <w:lang w:bidi="ar"/>
              </w:rPr>
              <w:t xml:space="preserve">   </w:t>
            </w:r>
            <w:r>
              <w:rPr>
                <w:rFonts w:ascii="仿宋_GB2312" w:eastAsia="仿宋_GB2312" w:hAnsi="宋体" w:cs="宋体" w:hint="eastAsia"/>
                <w:color w:val="000000"/>
                <w:kern w:val="0"/>
                <w:sz w:val="22"/>
                <w:szCs w:val="22"/>
                <w:lang w:bidi="ar"/>
              </w:rPr>
              <w:t>资金</w:t>
            </w:r>
          </w:p>
        </w:tc>
        <w:tc>
          <w:tcPr>
            <w:tcW w:w="594"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小计</w:t>
            </w:r>
          </w:p>
        </w:tc>
        <w:tc>
          <w:tcPr>
            <w:tcW w:w="541"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财政</w:t>
            </w:r>
            <w:r>
              <w:rPr>
                <w:rFonts w:ascii="仿宋_GB2312" w:eastAsia="仿宋_GB2312" w:hAnsi="宋体" w:cs="宋体" w:hint="eastAsia"/>
                <w:color w:val="000000"/>
                <w:kern w:val="0"/>
                <w:sz w:val="22"/>
                <w:szCs w:val="22"/>
                <w:lang w:bidi="ar"/>
              </w:rPr>
              <w:t xml:space="preserve">   </w:t>
            </w:r>
            <w:r>
              <w:rPr>
                <w:rFonts w:ascii="仿宋_GB2312" w:eastAsia="仿宋_GB2312" w:hAnsi="宋体" w:cs="宋体" w:hint="eastAsia"/>
                <w:color w:val="000000"/>
                <w:kern w:val="0"/>
                <w:sz w:val="22"/>
                <w:szCs w:val="22"/>
                <w:lang w:bidi="ar"/>
              </w:rPr>
              <w:t>拨款</w:t>
            </w:r>
          </w:p>
        </w:tc>
        <w:tc>
          <w:tcPr>
            <w:tcW w:w="503"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其他</w:t>
            </w:r>
            <w:r>
              <w:rPr>
                <w:rFonts w:ascii="仿宋_GB2312" w:eastAsia="仿宋_GB2312" w:hAnsi="宋体" w:cs="宋体" w:hint="eastAsia"/>
                <w:color w:val="000000"/>
                <w:kern w:val="0"/>
                <w:sz w:val="22"/>
                <w:szCs w:val="22"/>
                <w:lang w:bidi="ar"/>
              </w:rPr>
              <w:t xml:space="preserve">  </w:t>
            </w:r>
            <w:r>
              <w:rPr>
                <w:rFonts w:ascii="仿宋_GB2312" w:eastAsia="仿宋_GB2312" w:hAnsi="宋体" w:cs="宋体" w:hint="eastAsia"/>
                <w:color w:val="000000"/>
                <w:kern w:val="0"/>
                <w:sz w:val="22"/>
                <w:szCs w:val="22"/>
                <w:lang w:bidi="ar"/>
              </w:rPr>
              <w:t>资金</w:t>
            </w:r>
          </w:p>
        </w:tc>
      </w:tr>
      <w:tr w:rsidR="00585755">
        <w:tc>
          <w:tcPr>
            <w:tcW w:w="775" w:type="dxa"/>
            <w:shd w:val="clear" w:color="auto" w:fill="FFFFFF"/>
            <w:vAlign w:val="center"/>
          </w:tcPr>
          <w:p w:rsidR="00585755" w:rsidRDefault="00C94667">
            <w:pPr>
              <w:spacing w:line="312" w:lineRule="auto"/>
              <w:jc w:val="center"/>
              <w:textAlignment w:val="center"/>
            </w:pPr>
            <w:r>
              <w:t>1</w:t>
            </w:r>
          </w:p>
        </w:tc>
        <w:tc>
          <w:tcPr>
            <w:tcW w:w="1651" w:type="dxa"/>
            <w:shd w:val="clear" w:color="auto" w:fill="FFFFFF"/>
            <w:vAlign w:val="center"/>
          </w:tcPr>
          <w:p w:rsidR="00585755" w:rsidRDefault="00C94667">
            <w:pPr>
              <w:spacing w:line="312" w:lineRule="auto"/>
              <w:jc w:val="left"/>
            </w:pPr>
            <w:r>
              <w:t>人员经费及公用支出</w:t>
            </w:r>
          </w:p>
        </w:tc>
        <w:tc>
          <w:tcPr>
            <w:tcW w:w="2085" w:type="dxa"/>
            <w:shd w:val="clear" w:color="auto" w:fill="FFFFFF"/>
            <w:vAlign w:val="center"/>
          </w:tcPr>
          <w:p w:rsidR="00585755" w:rsidRDefault="00C94667">
            <w:pPr>
              <w:spacing w:line="312" w:lineRule="auto"/>
              <w:jc w:val="left"/>
            </w:pPr>
            <w:r>
              <w:t>2018</w:t>
            </w:r>
            <w:r>
              <w:t>年末在编人数</w:t>
            </w:r>
            <w:r>
              <w:t>28</w:t>
            </w:r>
            <w:r>
              <w:t>人，退休人数为</w:t>
            </w:r>
            <w:r>
              <w:t>39</w:t>
            </w:r>
            <w:r>
              <w:t>人。全年人员及公用支出为</w:t>
            </w:r>
            <w:r>
              <w:t>1076.06</w:t>
            </w:r>
            <w:r>
              <w:t>万元，保证了在编人员及退休人员的正常工资福利支出和公务支出。</w:t>
            </w:r>
          </w:p>
        </w:tc>
        <w:tc>
          <w:tcPr>
            <w:tcW w:w="594" w:type="dxa"/>
            <w:shd w:val="clear" w:color="auto" w:fill="FFFFFF"/>
            <w:vAlign w:val="center"/>
          </w:tcPr>
          <w:p w:rsidR="00585755" w:rsidRDefault="00C94667">
            <w:pPr>
              <w:spacing w:line="312" w:lineRule="auto"/>
              <w:jc w:val="left"/>
            </w:pPr>
            <w:r>
              <w:t>932.83</w:t>
            </w:r>
          </w:p>
        </w:tc>
        <w:tc>
          <w:tcPr>
            <w:tcW w:w="480" w:type="dxa"/>
            <w:shd w:val="clear" w:color="auto" w:fill="FFFFFF"/>
            <w:vAlign w:val="center"/>
          </w:tcPr>
          <w:p w:rsidR="00585755" w:rsidRDefault="00C94667">
            <w:pPr>
              <w:spacing w:line="312" w:lineRule="auto"/>
              <w:jc w:val="left"/>
            </w:pPr>
            <w:r>
              <w:t>932.83</w:t>
            </w:r>
          </w:p>
        </w:tc>
        <w:tc>
          <w:tcPr>
            <w:tcW w:w="525" w:type="dxa"/>
            <w:shd w:val="clear" w:color="auto" w:fill="FFFFFF"/>
            <w:vAlign w:val="center"/>
          </w:tcPr>
          <w:p w:rsidR="00585755" w:rsidRDefault="00C94667">
            <w:pPr>
              <w:spacing w:line="312" w:lineRule="auto"/>
              <w:jc w:val="center"/>
            </w:pPr>
            <w:r>
              <w:t>0.0</w:t>
            </w:r>
          </w:p>
        </w:tc>
        <w:tc>
          <w:tcPr>
            <w:tcW w:w="594" w:type="dxa"/>
            <w:shd w:val="clear" w:color="auto" w:fill="FFFFFF"/>
            <w:vAlign w:val="center"/>
          </w:tcPr>
          <w:p w:rsidR="00585755" w:rsidRDefault="00C94667">
            <w:pPr>
              <w:spacing w:line="312" w:lineRule="auto"/>
              <w:jc w:val="center"/>
            </w:pPr>
            <w:r>
              <w:t>1076.06</w:t>
            </w:r>
          </w:p>
        </w:tc>
        <w:tc>
          <w:tcPr>
            <w:tcW w:w="541" w:type="dxa"/>
            <w:shd w:val="clear" w:color="auto" w:fill="FFFFFF"/>
            <w:vAlign w:val="center"/>
          </w:tcPr>
          <w:p w:rsidR="00585755" w:rsidRDefault="00C94667">
            <w:pPr>
              <w:spacing w:line="312" w:lineRule="auto"/>
              <w:jc w:val="center"/>
            </w:pPr>
            <w:r>
              <w:t>1076.06</w:t>
            </w:r>
          </w:p>
        </w:tc>
        <w:tc>
          <w:tcPr>
            <w:tcW w:w="503" w:type="dxa"/>
            <w:shd w:val="clear" w:color="auto" w:fill="FFFFFF"/>
            <w:vAlign w:val="center"/>
          </w:tcPr>
          <w:p w:rsidR="00585755" w:rsidRDefault="00C94667">
            <w:pPr>
              <w:spacing w:line="312" w:lineRule="auto"/>
              <w:jc w:val="center"/>
            </w:pPr>
            <w:r>
              <w:t>0.0</w:t>
            </w:r>
          </w:p>
        </w:tc>
      </w:tr>
      <w:tr w:rsidR="00585755">
        <w:tc>
          <w:tcPr>
            <w:tcW w:w="775" w:type="dxa"/>
            <w:shd w:val="clear" w:color="auto" w:fill="FFFFFF"/>
            <w:vAlign w:val="center"/>
          </w:tcPr>
          <w:p w:rsidR="00585755" w:rsidRDefault="00C94667">
            <w:pPr>
              <w:spacing w:line="312" w:lineRule="auto"/>
              <w:jc w:val="center"/>
              <w:textAlignment w:val="center"/>
            </w:pPr>
            <w:r>
              <w:t>2</w:t>
            </w:r>
          </w:p>
        </w:tc>
        <w:tc>
          <w:tcPr>
            <w:tcW w:w="1651" w:type="dxa"/>
            <w:shd w:val="clear" w:color="auto" w:fill="FFFFFF"/>
            <w:vAlign w:val="center"/>
          </w:tcPr>
          <w:p w:rsidR="00585755" w:rsidRDefault="00C94667">
            <w:pPr>
              <w:spacing w:line="312" w:lineRule="auto"/>
              <w:jc w:val="left"/>
            </w:pPr>
            <w:r>
              <w:t>人大会议</w:t>
            </w:r>
          </w:p>
        </w:tc>
        <w:tc>
          <w:tcPr>
            <w:tcW w:w="2085" w:type="dxa"/>
            <w:shd w:val="clear" w:color="auto" w:fill="FFFFFF"/>
            <w:vAlign w:val="center"/>
          </w:tcPr>
          <w:p w:rsidR="00585755" w:rsidRDefault="00C94667">
            <w:pPr>
              <w:spacing w:line="312" w:lineRule="auto"/>
              <w:jc w:val="left"/>
            </w:pPr>
            <w:r>
              <w:t>起草人大常委会的综合文件和办公文件。整理会议纪要、简报。起草人大常委会的各类文件。成功召开区人大十七届四次和五次会议</w:t>
            </w:r>
          </w:p>
        </w:tc>
        <w:tc>
          <w:tcPr>
            <w:tcW w:w="594" w:type="dxa"/>
            <w:shd w:val="clear" w:color="auto" w:fill="FFFFFF"/>
            <w:vAlign w:val="center"/>
          </w:tcPr>
          <w:p w:rsidR="00585755" w:rsidRDefault="00C94667">
            <w:pPr>
              <w:spacing w:line="312" w:lineRule="auto"/>
              <w:jc w:val="left"/>
            </w:pPr>
            <w:r>
              <w:t>40.0</w:t>
            </w:r>
          </w:p>
        </w:tc>
        <w:tc>
          <w:tcPr>
            <w:tcW w:w="480" w:type="dxa"/>
            <w:shd w:val="clear" w:color="auto" w:fill="FFFFFF"/>
            <w:vAlign w:val="center"/>
          </w:tcPr>
          <w:p w:rsidR="00585755" w:rsidRDefault="00C94667">
            <w:pPr>
              <w:spacing w:line="312" w:lineRule="auto"/>
              <w:jc w:val="left"/>
            </w:pPr>
            <w:r>
              <w:t>40.0</w:t>
            </w:r>
          </w:p>
        </w:tc>
        <w:tc>
          <w:tcPr>
            <w:tcW w:w="525" w:type="dxa"/>
            <w:shd w:val="clear" w:color="auto" w:fill="FFFFFF"/>
            <w:vAlign w:val="center"/>
          </w:tcPr>
          <w:p w:rsidR="00585755" w:rsidRDefault="00C94667">
            <w:pPr>
              <w:spacing w:line="312" w:lineRule="auto"/>
              <w:jc w:val="center"/>
            </w:pPr>
            <w:r>
              <w:t>0.0</w:t>
            </w:r>
          </w:p>
        </w:tc>
        <w:tc>
          <w:tcPr>
            <w:tcW w:w="594" w:type="dxa"/>
            <w:shd w:val="clear" w:color="auto" w:fill="FFFFFF"/>
            <w:vAlign w:val="center"/>
          </w:tcPr>
          <w:p w:rsidR="00585755" w:rsidRDefault="00C94667">
            <w:pPr>
              <w:spacing w:line="312" w:lineRule="auto"/>
              <w:jc w:val="center"/>
            </w:pPr>
            <w:r>
              <w:t>61.99</w:t>
            </w:r>
          </w:p>
        </w:tc>
        <w:tc>
          <w:tcPr>
            <w:tcW w:w="541" w:type="dxa"/>
            <w:shd w:val="clear" w:color="auto" w:fill="FFFFFF"/>
            <w:vAlign w:val="center"/>
          </w:tcPr>
          <w:p w:rsidR="00585755" w:rsidRDefault="00C94667">
            <w:pPr>
              <w:spacing w:line="312" w:lineRule="auto"/>
              <w:jc w:val="center"/>
            </w:pPr>
            <w:r>
              <w:t>61.99</w:t>
            </w:r>
          </w:p>
        </w:tc>
        <w:tc>
          <w:tcPr>
            <w:tcW w:w="503" w:type="dxa"/>
            <w:shd w:val="clear" w:color="auto" w:fill="FFFFFF"/>
            <w:vAlign w:val="center"/>
          </w:tcPr>
          <w:p w:rsidR="00585755" w:rsidRDefault="00C94667">
            <w:pPr>
              <w:spacing w:line="312" w:lineRule="auto"/>
              <w:jc w:val="center"/>
            </w:pPr>
            <w:r>
              <w:t>0.0</w:t>
            </w:r>
          </w:p>
        </w:tc>
      </w:tr>
      <w:tr w:rsidR="00585755">
        <w:tc>
          <w:tcPr>
            <w:tcW w:w="775" w:type="dxa"/>
            <w:shd w:val="clear" w:color="auto" w:fill="FFFFFF"/>
            <w:vAlign w:val="center"/>
          </w:tcPr>
          <w:p w:rsidR="00585755" w:rsidRDefault="00C94667">
            <w:pPr>
              <w:spacing w:line="312" w:lineRule="auto"/>
              <w:jc w:val="center"/>
              <w:textAlignment w:val="center"/>
            </w:pPr>
            <w:r>
              <w:t>3</w:t>
            </w:r>
          </w:p>
        </w:tc>
        <w:tc>
          <w:tcPr>
            <w:tcW w:w="1651" w:type="dxa"/>
            <w:shd w:val="clear" w:color="auto" w:fill="FFFFFF"/>
            <w:vAlign w:val="center"/>
          </w:tcPr>
          <w:p w:rsidR="00585755" w:rsidRDefault="00C94667">
            <w:pPr>
              <w:spacing w:line="312" w:lineRule="auto"/>
              <w:jc w:val="left"/>
            </w:pPr>
            <w:r>
              <w:t>代表工作</w:t>
            </w:r>
          </w:p>
        </w:tc>
        <w:tc>
          <w:tcPr>
            <w:tcW w:w="2085" w:type="dxa"/>
            <w:shd w:val="clear" w:color="auto" w:fill="FFFFFF"/>
            <w:vAlign w:val="center"/>
          </w:tcPr>
          <w:p w:rsidR="00585755" w:rsidRDefault="00C94667">
            <w:pPr>
              <w:spacing w:line="312" w:lineRule="auto"/>
              <w:jc w:val="left"/>
            </w:pPr>
            <w:r>
              <w:t>组织代表听取专项汇报、开展专项调研，其中教卫领域</w:t>
            </w:r>
            <w:r>
              <w:t>3</w:t>
            </w:r>
            <w:r>
              <w:t>次、内司领域</w:t>
            </w:r>
            <w:r>
              <w:t>6</w:t>
            </w:r>
            <w:r>
              <w:t>次、财经领域</w:t>
            </w:r>
            <w:r>
              <w:t>2</w:t>
            </w:r>
            <w:r>
              <w:t>次，城建领域</w:t>
            </w:r>
            <w:r>
              <w:t>5</w:t>
            </w:r>
            <w:r>
              <w:t>次，促进区各领域工作顺利开展。</w:t>
            </w:r>
            <w:r>
              <w:t xml:space="preserve"> </w:t>
            </w:r>
            <w:r>
              <w:t>组织视察，开展对民生重点工作（如：棚户区改造工作、区政府关于</w:t>
            </w:r>
            <w:r>
              <w:t>2017</w:t>
            </w:r>
            <w:r>
              <w:lastRenderedPageBreak/>
              <w:t>年度环境质量状况和环境保护目标完成情况、五年拆违工作进展情况和基础设施配套建设情况）的监督，促进民生改善</w:t>
            </w:r>
            <w:r>
              <w:br/>
            </w:r>
            <w:r>
              <w:t>组织市区代表学习培训，加强履职管理，完善代表学习培训机制，提高代表依法履职水平</w:t>
            </w:r>
          </w:p>
        </w:tc>
        <w:tc>
          <w:tcPr>
            <w:tcW w:w="594" w:type="dxa"/>
            <w:shd w:val="clear" w:color="auto" w:fill="FFFFFF"/>
            <w:vAlign w:val="center"/>
          </w:tcPr>
          <w:p w:rsidR="00585755" w:rsidRDefault="00C94667">
            <w:pPr>
              <w:spacing w:line="312" w:lineRule="auto"/>
              <w:jc w:val="left"/>
            </w:pPr>
            <w:r>
              <w:lastRenderedPageBreak/>
              <w:t>75.0</w:t>
            </w:r>
          </w:p>
        </w:tc>
        <w:tc>
          <w:tcPr>
            <w:tcW w:w="480" w:type="dxa"/>
            <w:shd w:val="clear" w:color="auto" w:fill="FFFFFF"/>
            <w:vAlign w:val="center"/>
          </w:tcPr>
          <w:p w:rsidR="00585755" w:rsidRDefault="00C94667">
            <w:pPr>
              <w:spacing w:line="312" w:lineRule="auto"/>
              <w:jc w:val="left"/>
            </w:pPr>
            <w:r>
              <w:t>75.0</w:t>
            </w:r>
          </w:p>
        </w:tc>
        <w:tc>
          <w:tcPr>
            <w:tcW w:w="525" w:type="dxa"/>
            <w:shd w:val="clear" w:color="auto" w:fill="FFFFFF"/>
            <w:vAlign w:val="center"/>
          </w:tcPr>
          <w:p w:rsidR="00585755" w:rsidRDefault="00C94667">
            <w:pPr>
              <w:spacing w:line="312" w:lineRule="auto"/>
              <w:jc w:val="center"/>
            </w:pPr>
            <w:r>
              <w:t>0.0</w:t>
            </w:r>
          </w:p>
        </w:tc>
        <w:tc>
          <w:tcPr>
            <w:tcW w:w="594" w:type="dxa"/>
            <w:shd w:val="clear" w:color="auto" w:fill="FFFFFF"/>
            <w:vAlign w:val="center"/>
          </w:tcPr>
          <w:p w:rsidR="00585755" w:rsidRDefault="00C94667">
            <w:pPr>
              <w:spacing w:line="312" w:lineRule="auto"/>
              <w:jc w:val="center"/>
            </w:pPr>
            <w:r>
              <w:t>30.0</w:t>
            </w:r>
          </w:p>
        </w:tc>
        <w:tc>
          <w:tcPr>
            <w:tcW w:w="541" w:type="dxa"/>
            <w:shd w:val="clear" w:color="auto" w:fill="FFFFFF"/>
            <w:vAlign w:val="center"/>
          </w:tcPr>
          <w:p w:rsidR="00585755" w:rsidRDefault="00C94667">
            <w:pPr>
              <w:spacing w:line="312" w:lineRule="auto"/>
              <w:jc w:val="center"/>
            </w:pPr>
            <w:r>
              <w:t>30.0</w:t>
            </w:r>
          </w:p>
        </w:tc>
        <w:tc>
          <w:tcPr>
            <w:tcW w:w="503" w:type="dxa"/>
            <w:shd w:val="clear" w:color="auto" w:fill="FFFFFF"/>
            <w:vAlign w:val="center"/>
          </w:tcPr>
          <w:p w:rsidR="00585755" w:rsidRDefault="00C94667">
            <w:pPr>
              <w:spacing w:line="312" w:lineRule="auto"/>
              <w:jc w:val="center"/>
            </w:pPr>
            <w:r>
              <w:t>0.0</w:t>
            </w:r>
          </w:p>
        </w:tc>
      </w:tr>
      <w:tr w:rsidR="00585755">
        <w:tc>
          <w:tcPr>
            <w:tcW w:w="775" w:type="dxa"/>
            <w:shd w:val="clear" w:color="auto" w:fill="FFFFFF"/>
            <w:vAlign w:val="center"/>
          </w:tcPr>
          <w:p w:rsidR="00585755" w:rsidRDefault="00C94667">
            <w:pPr>
              <w:spacing w:line="312" w:lineRule="auto"/>
              <w:jc w:val="center"/>
              <w:textAlignment w:val="center"/>
            </w:pPr>
            <w:r>
              <w:lastRenderedPageBreak/>
              <w:t>4</w:t>
            </w:r>
          </w:p>
        </w:tc>
        <w:tc>
          <w:tcPr>
            <w:tcW w:w="1651" w:type="dxa"/>
            <w:shd w:val="clear" w:color="auto" w:fill="FFFFFF"/>
            <w:vAlign w:val="center"/>
          </w:tcPr>
          <w:p w:rsidR="00585755" w:rsidRDefault="00C94667">
            <w:pPr>
              <w:spacing w:line="312" w:lineRule="auto"/>
              <w:jc w:val="left"/>
            </w:pPr>
            <w:r>
              <w:t>其他人大事务支出</w:t>
            </w:r>
          </w:p>
        </w:tc>
        <w:tc>
          <w:tcPr>
            <w:tcW w:w="2085" w:type="dxa"/>
            <w:shd w:val="clear" w:color="auto" w:fill="FFFFFF"/>
            <w:vAlign w:val="center"/>
          </w:tcPr>
          <w:p w:rsidR="00585755" w:rsidRDefault="00C94667">
            <w:pPr>
              <w:spacing w:line="312" w:lineRule="auto"/>
              <w:jc w:val="left"/>
            </w:pPr>
            <w:r>
              <w:t>包含劳务派遣制人员工资。</w:t>
            </w:r>
            <w:r>
              <w:t>2</w:t>
            </w:r>
            <w:r>
              <w:t>个工委与对口城市工委进行了调研考察和业务交流。组织区人民调解工作考察组赴重庆学习考察，形成考察报告上报区委，就多元矛盾纠纷化解和诉非衔接、诉调对接等工作提出建议，促进社会和谐稳定。</w:t>
            </w:r>
          </w:p>
        </w:tc>
        <w:tc>
          <w:tcPr>
            <w:tcW w:w="594" w:type="dxa"/>
            <w:shd w:val="clear" w:color="auto" w:fill="FFFFFF"/>
            <w:vAlign w:val="center"/>
          </w:tcPr>
          <w:p w:rsidR="00585755" w:rsidRDefault="00C94667">
            <w:pPr>
              <w:spacing w:line="312" w:lineRule="auto"/>
              <w:jc w:val="left"/>
            </w:pPr>
            <w:r>
              <w:t>10.0</w:t>
            </w:r>
          </w:p>
        </w:tc>
        <w:tc>
          <w:tcPr>
            <w:tcW w:w="480" w:type="dxa"/>
            <w:shd w:val="clear" w:color="auto" w:fill="FFFFFF"/>
            <w:vAlign w:val="center"/>
          </w:tcPr>
          <w:p w:rsidR="00585755" w:rsidRDefault="00C94667">
            <w:pPr>
              <w:spacing w:line="312" w:lineRule="auto"/>
              <w:jc w:val="left"/>
            </w:pPr>
            <w:r>
              <w:t>10.0</w:t>
            </w:r>
          </w:p>
        </w:tc>
        <w:tc>
          <w:tcPr>
            <w:tcW w:w="525" w:type="dxa"/>
            <w:shd w:val="clear" w:color="auto" w:fill="FFFFFF"/>
            <w:vAlign w:val="center"/>
          </w:tcPr>
          <w:p w:rsidR="00585755" w:rsidRDefault="00C94667">
            <w:pPr>
              <w:spacing w:line="312" w:lineRule="auto"/>
              <w:jc w:val="center"/>
            </w:pPr>
            <w:r>
              <w:t>0.0</w:t>
            </w:r>
          </w:p>
        </w:tc>
        <w:tc>
          <w:tcPr>
            <w:tcW w:w="594" w:type="dxa"/>
            <w:shd w:val="clear" w:color="auto" w:fill="FFFFFF"/>
            <w:vAlign w:val="center"/>
          </w:tcPr>
          <w:p w:rsidR="00585755" w:rsidRDefault="00C94667">
            <w:pPr>
              <w:spacing w:line="312" w:lineRule="auto"/>
              <w:jc w:val="center"/>
            </w:pPr>
            <w:r>
              <w:t>7.64</w:t>
            </w:r>
          </w:p>
        </w:tc>
        <w:tc>
          <w:tcPr>
            <w:tcW w:w="541" w:type="dxa"/>
            <w:shd w:val="clear" w:color="auto" w:fill="FFFFFF"/>
            <w:vAlign w:val="center"/>
          </w:tcPr>
          <w:p w:rsidR="00585755" w:rsidRDefault="00C94667">
            <w:pPr>
              <w:spacing w:line="312" w:lineRule="auto"/>
              <w:jc w:val="center"/>
            </w:pPr>
            <w:r>
              <w:t>7.64</w:t>
            </w:r>
          </w:p>
        </w:tc>
        <w:tc>
          <w:tcPr>
            <w:tcW w:w="503" w:type="dxa"/>
            <w:shd w:val="clear" w:color="auto" w:fill="FFFFFF"/>
            <w:vAlign w:val="center"/>
          </w:tcPr>
          <w:p w:rsidR="00585755" w:rsidRDefault="00C94667">
            <w:pPr>
              <w:spacing w:line="312" w:lineRule="auto"/>
              <w:jc w:val="center"/>
            </w:pPr>
            <w:r>
              <w:t>0.0</w:t>
            </w:r>
          </w:p>
        </w:tc>
      </w:tr>
      <w:tr w:rsidR="00585755">
        <w:trPr>
          <w:trHeight w:val="745"/>
        </w:trPr>
        <w:tc>
          <w:tcPr>
            <w:tcW w:w="4511" w:type="dxa"/>
            <w:gridSpan w:val="3"/>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金额合计</w:t>
            </w:r>
          </w:p>
        </w:tc>
        <w:tc>
          <w:tcPr>
            <w:tcW w:w="594" w:type="dxa"/>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1057.83</w:t>
            </w:r>
          </w:p>
        </w:tc>
        <w:tc>
          <w:tcPr>
            <w:tcW w:w="480" w:type="dxa"/>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1057.83</w:t>
            </w:r>
          </w:p>
        </w:tc>
        <w:tc>
          <w:tcPr>
            <w:tcW w:w="525" w:type="dxa"/>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0.0</w:t>
            </w:r>
          </w:p>
        </w:tc>
        <w:tc>
          <w:tcPr>
            <w:tcW w:w="594" w:type="dxa"/>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1175.69</w:t>
            </w:r>
          </w:p>
        </w:tc>
        <w:tc>
          <w:tcPr>
            <w:tcW w:w="541" w:type="dxa"/>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1175.69</w:t>
            </w:r>
          </w:p>
        </w:tc>
        <w:tc>
          <w:tcPr>
            <w:tcW w:w="503" w:type="dxa"/>
            <w:shd w:val="clear" w:color="auto" w:fill="FFFFFF"/>
            <w:vAlign w:val="center"/>
          </w:tcPr>
          <w:p w:rsidR="00585755" w:rsidRDefault="00C94667">
            <w:pPr>
              <w:spacing w:line="312" w:lineRule="auto"/>
              <w:jc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0.0</w:t>
            </w:r>
          </w:p>
        </w:tc>
      </w:tr>
    </w:tbl>
    <w:p w:rsidR="00585755" w:rsidRDefault="00585755">
      <w:pPr>
        <w:rPr>
          <w:rFonts w:ascii="仿宋_GB2312" w:eastAsia="仿宋_GB2312"/>
        </w:rPr>
      </w:pPr>
    </w:p>
    <w:p w:rsidR="00585755" w:rsidRDefault="00585755">
      <w:pPr>
        <w:rPr>
          <w:rFonts w:ascii="仿宋_GB2312" w:eastAsia="仿宋_GB2312"/>
        </w:rPr>
      </w:pPr>
    </w:p>
    <w:p w:rsidR="00585755" w:rsidRDefault="00C94667">
      <w:pPr>
        <w:rPr>
          <w:rFonts w:ascii="仿宋_GB2312" w:eastAsia="仿宋_GB2312"/>
          <w:b/>
          <w:bCs/>
          <w:sz w:val="28"/>
          <w:szCs w:val="36"/>
        </w:rPr>
      </w:pPr>
      <w:r>
        <w:rPr>
          <w:rFonts w:ascii="仿宋_GB2312" w:eastAsia="仿宋_GB2312" w:hint="eastAsia"/>
          <w:b/>
          <w:bCs/>
          <w:sz w:val="28"/>
          <w:szCs w:val="36"/>
        </w:rPr>
        <w:t>附件</w:t>
      </w:r>
      <w:r>
        <w:rPr>
          <w:rFonts w:ascii="仿宋_GB2312" w:eastAsia="仿宋_GB2312" w:hint="eastAsia"/>
          <w:b/>
          <w:bCs/>
          <w:sz w:val="28"/>
          <w:szCs w:val="36"/>
        </w:rPr>
        <w:t xml:space="preserve">2 </w:t>
      </w:r>
      <w:r>
        <w:rPr>
          <w:rFonts w:ascii="仿宋_GB2312" w:eastAsia="仿宋_GB2312" w:hint="eastAsia"/>
          <w:b/>
          <w:bCs/>
          <w:sz w:val="28"/>
          <w:szCs w:val="36"/>
        </w:rPr>
        <w:t>年度绩效目标完成情况</w:t>
      </w:r>
    </w:p>
    <w:p w:rsidR="00585755" w:rsidRDefault="00585755">
      <w:pPr>
        <w:rPr>
          <w:rFonts w:ascii="仿宋_GB2312" w:eastAsia="仿宋_GB2312"/>
        </w:rPr>
      </w:pPr>
    </w:p>
    <w:tbl>
      <w:tblPr>
        <w:tblW w:w="926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5"/>
        <w:gridCol w:w="5100"/>
      </w:tblGrid>
      <w:tr w:rsidR="00585755">
        <w:trPr>
          <w:trHeight w:val="745"/>
        </w:trPr>
        <w:tc>
          <w:tcPr>
            <w:tcW w:w="4165"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预期目标</w:t>
            </w:r>
          </w:p>
        </w:tc>
        <w:tc>
          <w:tcPr>
            <w:tcW w:w="5100" w:type="dxa"/>
            <w:shd w:val="clear" w:color="auto" w:fill="FFFFFF"/>
            <w:vAlign w:val="center"/>
          </w:tcPr>
          <w:p w:rsidR="00585755" w:rsidRDefault="00C94667">
            <w:pPr>
              <w:widowControl/>
              <w:spacing w:line="312" w:lineRule="auto"/>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kern w:val="0"/>
                <w:sz w:val="22"/>
                <w:szCs w:val="22"/>
                <w:lang w:bidi="ar"/>
              </w:rPr>
              <w:t>实际完成情况</w:t>
            </w:r>
          </w:p>
        </w:tc>
      </w:tr>
      <w:tr w:rsidR="00585755">
        <w:tc>
          <w:tcPr>
            <w:tcW w:w="4165" w:type="dxa"/>
            <w:shd w:val="clear" w:color="auto" w:fill="FFFFFF"/>
            <w:vAlign w:val="center"/>
          </w:tcPr>
          <w:p w:rsidR="00585755" w:rsidRDefault="00C94667">
            <w:pPr>
              <w:spacing w:line="312" w:lineRule="auto"/>
              <w:jc w:val="left"/>
              <w:textAlignment w:val="center"/>
            </w:pPr>
            <w:r>
              <w:lastRenderedPageBreak/>
              <w:t>保障</w:t>
            </w:r>
            <w:r>
              <w:t>28</w:t>
            </w:r>
            <w:r>
              <w:t>名在职人员，</w:t>
            </w:r>
            <w:r>
              <w:t>40</w:t>
            </w:r>
            <w:r>
              <w:t>名退休人员的正常办公、生活秩序。</w:t>
            </w:r>
          </w:p>
        </w:tc>
        <w:tc>
          <w:tcPr>
            <w:tcW w:w="5100" w:type="dxa"/>
            <w:shd w:val="clear" w:color="auto" w:fill="FFFFFF"/>
            <w:vAlign w:val="center"/>
          </w:tcPr>
          <w:p w:rsidR="00585755" w:rsidRDefault="00C94667">
            <w:pPr>
              <w:spacing w:line="312" w:lineRule="auto"/>
              <w:jc w:val="left"/>
            </w:pPr>
            <w:r>
              <w:t>2019</w:t>
            </w:r>
            <w:r>
              <w:t>年末在编人数</w:t>
            </w:r>
            <w:r>
              <w:t>28</w:t>
            </w:r>
            <w:r>
              <w:t>人，退休人数</w:t>
            </w:r>
            <w:r>
              <w:t>40</w:t>
            </w:r>
            <w:r>
              <w:t>人，全年人员及公用支出</w:t>
            </w:r>
            <w:r>
              <w:t>1057.90</w:t>
            </w:r>
            <w:r>
              <w:t>万元，保证了在编人员及退休人员的正常工资福利支出和机关的正常运转。</w:t>
            </w:r>
          </w:p>
        </w:tc>
      </w:tr>
      <w:tr w:rsidR="00585755">
        <w:tc>
          <w:tcPr>
            <w:tcW w:w="4165" w:type="dxa"/>
            <w:shd w:val="clear" w:color="auto" w:fill="FFFFFF"/>
            <w:vAlign w:val="center"/>
          </w:tcPr>
          <w:p w:rsidR="00585755" w:rsidRDefault="00C94667">
            <w:pPr>
              <w:spacing w:line="312" w:lineRule="auto"/>
              <w:jc w:val="left"/>
              <w:textAlignment w:val="center"/>
            </w:pPr>
            <w:r>
              <w:t>筹备召开区人民代表大会会议和区人大常委会会议。</w:t>
            </w:r>
          </w:p>
        </w:tc>
        <w:tc>
          <w:tcPr>
            <w:tcW w:w="5100" w:type="dxa"/>
            <w:shd w:val="clear" w:color="auto" w:fill="FFFFFF"/>
            <w:vAlign w:val="center"/>
          </w:tcPr>
          <w:p w:rsidR="00585755" w:rsidRDefault="00C94667">
            <w:pPr>
              <w:spacing w:line="312" w:lineRule="auto"/>
              <w:jc w:val="left"/>
            </w:pPr>
            <w:r>
              <w:t>起草人大常委会的各类文件。整理会议纪要。成功召开南开区人大第十七届五、六次全体代表大会。补选市人大代表</w:t>
            </w:r>
            <w:r>
              <w:t>2</w:t>
            </w:r>
            <w:r>
              <w:t>名，补选区人大代表</w:t>
            </w:r>
            <w:r>
              <w:t>13</w:t>
            </w:r>
            <w:r>
              <w:t>名，任免区级国家机关工作人员</w:t>
            </w:r>
            <w:r>
              <w:t>134</w:t>
            </w:r>
            <w:r>
              <w:t>人次。</w:t>
            </w:r>
          </w:p>
        </w:tc>
      </w:tr>
      <w:tr w:rsidR="00585755">
        <w:tc>
          <w:tcPr>
            <w:tcW w:w="4165" w:type="dxa"/>
            <w:shd w:val="clear" w:color="auto" w:fill="FFFFFF"/>
            <w:vAlign w:val="center"/>
          </w:tcPr>
          <w:p w:rsidR="00585755" w:rsidRDefault="00C94667">
            <w:pPr>
              <w:spacing w:line="312" w:lineRule="auto"/>
              <w:jc w:val="left"/>
              <w:textAlignment w:val="center"/>
            </w:pPr>
            <w:r>
              <w:t>保证来访渠道畅通，及时受理群众的来信来访，群众来信来访受理率</w:t>
            </w:r>
            <w:r>
              <w:t>100%</w:t>
            </w:r>
            <w:r>
              <w:t>。</w:t>
            </w:r>
          </w:p>
        </w:tc>
        <w:tc>
          <w:tcPr>
            <w:tcW w:w="5100" w:type="dxa"/>
            <w:shd w:val="clear" w:color="auto" w:fill="FFFFFF"/>
            <w:vAlign w:val="center"/>
          </w:tcPr>
          <w:p w:rsidR="00585755" w:rsidRDefault="00C94667">
            <w:pPr>
              <w:spacing w:line="312" w:lineRule="auto"/>
              <w:jc w:val="left"/>
            </w:pPr>
            <w:r>
              <w:t>认真做好信访接待工作，全年受理群众来信来访</w:t>
            </w:r>
            <w:r>
              <w:t>98</w:t>
            </w:r>
            <w:r>
              <w:t>件次，加大对信访件的督办力度，依法维护人民群众合法权益和切身利益</w:t>
            </w:r>
            <w:r>
              <w:t>,</w:t>
            </w:r>
            <w:r>
              <w:t>推进法治南开建设。</w:t>
            </w:r>
          </w:p>
        </w:tc>
      </w:tr>
      <w:tr w:rsidR="00585755">
        <w:tc>
          <w:tcPr>
            <w:tcW w:w="4165" w:type="dxa"/>
            <w:shd w:val="clear" w:color="auto" w:fill="FFFFFF"/>
            <w:vAlign w:val="center"/>
          </w:tcPr>
          <w:p w:rsidR="00585755" w:rsidRDefault="00C94667">
            <w:pPr>
              <w:spacing w:line="312" w:lineRule="auto"/>
              <w:jc w:val="left"/>
              <w:textAlignment w:val="center"/>
            </w:pPr>
            <w:r>
              <w:t>贯彻执行党的路线、方针、政策，保持正确政治方向，起草人大常委会工作报告和年度计划。</w:t>
            </w:r>
          </w:p>
        </w:tc>
        <w:tc>
          <w:tcPr>
            <w:tcW w:w="5100" w:type="dxa"/>
            <w:shd w:val="clear" w:color="auto" w:fill="FFFFFF"/>
            <w:vAlign w:val="center"/>
          </w:tcPr>
          <w:p w:rsidR="00585755" w:rsidRDefault="004300D9" w:rsidP="00C15244">
            <w:pPr>
              <w:spacing w:line="312" w:lineRule="auto"/>
              <w:jc w:val="left"/>
            </w:pPr>
            <w:r>
              <w:t>区人大</w:t>
            </w:r>
            <w:bookmarkStart w:id="17" w:name="_GoBack"/>
            <w:bookmarkEnd w:id="17"/>
            <w:r w:rsidR="00C94667">
              <w:t>常委会牢固树立</w:t>
            </w:r>
            <w:r w:rsidR="00C15244">
              <w:rPr>
                <w:rFonts w:hint="eastAsia"/>
              </w:rPr>
              <w:t>“</w:t>
            </w:r>
            <w:r w:rsidR="00C15244">
              <w:t>四个意识</w:t>
            </w:r>
            <w:r w:rsidR="00C15244">
              <w:rPr>
                <w:rFonts w:hint="eastAsia"/>
              </w:rPr>
              <w:t>”</w:t>
            </w:r>
            <w:r w:rsidR="00C94667">
              <w:t>，坚定</w:t>
            </w:r>
            <w:r w:rsidR="00C15244">
              <w:rPr>
                <w:rFonts w:hint="eastAsia"/>
              </w:rPr>
              <w:t>“</w:t>
            </w:r>
            <w:r w:rsidR="00C15244">
              <w:t>四个</w:t>
            </w:r>
            <w:r w:rsidR="00C15244">
              <w:rPr>
                <w:rFonts w:hint="eastAsia"/>
              </w:rPr>
              <w:t>自信</w:t>
            </w:r>
            <w:r w:rsidR="00C15244">
              <w:rPr>
                <w:rFonts w:hint="eastAsia"/>
              </w:rPr>
              <w:t>”</w:t>
            </w:r>
            <w:r w:rsidR="00C94667">
              <w:t>，</w:t>
            </w:r>
            <w:r w:rsidR="00C15244">
              <w:t>做到</w:t>
            </w:r>
            <w:r w:rsidR="00C15244">
              <w:rPr>
                <w:rFonts w:hint="eastAsia"/>
              </w:rPr>
              <w:t>“</w:t>
            </w:r>
            <w:r w:rsidR="00C15244">
              <w:t>两个</w:t>
            </w:r>
            <w:r w:rsidR="00C94667">
              <w:t>维护</w:t>
            </w:r>
            <w:r w:rsidR="00C15244">
              <w:rPr>
                <w:rFonts w:hint="eastAsia"/>
              </w:rPr>
              <w:t>”</w:t>
            </w:r>
            <w:r w:rsidR="00C94667">
              <w:t>，切实提高政治站位，严守党的政治纪律和政治规矩，坚持人大工作的正确政治方向。全年召开人大常委会会议</w:t>
            </w:r>
            <w:r w:rsidR="00C94667">
              <w:t>10</w:t>
            </w:r>
            <w:r w:rsidR="00C94667">
              <w:t>次，主任会议</w:t>
            </w:r>
            <w:r w:rsidR="00C94667">
              <w:t>12</w:t>
            </w:r>
            <w:r w:rsidR="00C94667">
              <w:t>次，听取审议区</w:t>
            </w:r>
            <w:r w:rsidR="00C94667">
              <w:t>“</w:t>
            </w:r>
            <w:r w:rsidR="00C94667">
              <w:t>一府两院</w:t>
            </w:r>
            <w:r w:rsidR="00C94667">
              <w:t>”</w:t>
            </w:r>
            <w:r w:rsidR="00C94667">
              <w:t>专项工作报告</w:t>
            </w:r>
            <w:r w:rsidR="00C94667">
              <w:t>23</w:t>
            </w:r>
            <w:r w:rsidR="00C94667">
              <w:t>项，依法作出决议决定</w:t>
            </w:r>
            <w:r w:rsidR="00C94667">
              <w:t>6</w:t>
            </w:r>
            <w:r w:rsidR="00C94667">
              <w:t>项，开展执法检查</w:t>
            </w:r>
            <w:r w:rsidR="00C94667">
              <w:t>5</w:t>
            </w:r>
            <w:r w:rsidR="00C94667">
              <w:t>次。</w:t>
            </w:r>
          </w:p>
        </w:tc>
      </w:tr>
      <w:tr w:rsidR="00585755">
        <w:tc>
          <w:tcPr>
            <w:tcW w:w="4165" w:type="dxa"/>
            <w:shd w:val="clear" w:color="auto" w:fill="FFFFFF"/>
            <w:vAlign w:val="center"/>
          </w:tcPr>
          <w:p w:rsidR="00585755" w:rsidRDefault="00C94667">
            <w:pPr>
              <w:spacing w:line="312" w:lineRule="auto"/>
              <w:jc w:val="left"/>
              <w:textAlignment w:val="center"/>
            </w:pPr>
            <w:r>
              <w:t>推进国家卫生城区和全国文明城区创建，为创文创卫工作献计出力。</w:t>
            </w:r>
          </w:p>
        </w:tc>
        <w:tc>
          <w:tcPr>
            <w:tcW w:w="5100" w:type="dxa"/>
            <w:shd w:val="clear" w:color="auto" w:fill="FFFFFF"/>
            <w:vAlign w:val="center"/>
          </w:tcPr>
          <w:p w:rsidR="00585755" w:rsidRDefault="00C94667">
            <w:pPr>
              <w:spacing w:line="312" w:lineRule="auto"/>
              <w:jc w:val="left"/>
            </w:pPr>
            <w:r>
              <w:t>听取和审议区政府关于环境质量状况和环保目标完成、创建国家食品安全示范城市、协调推进教育发展和教育布局规划、大力推广全民健身开展群众体育工作、公共基础设施建设、养老服务、棚户区改造、市容环境整治工作情况汇报。对医疗卫生、物业管理、社区建设等民生工作开展视察、调研，促进提升公共服务、生态环境保护和城市建设管理水平，更好满足人民日益增长的美好生活需要。</w:t>
            </w:r>
          </w:p>
        </w:tc>
      </w:tr>
      <w:tr w:rsidR="00585755">
        <w:tc>
          <w:tcPr>
            <w:tcW w:w="4165" w:type="dxa"/>
            <w:shd w:val="clear" w:color="auto" w:fill="FFFFFF"/>
            <w:vAlign w:val="center"/>
          </w:tcPr>
          <w:p w:rsidR="00585755" w:rsidRDefault="00C94667">
            <w:pPr>
              <w:spacing w:line="312" w:lineRule="auto"/>
              <w:jc w:val="left"/>
              <w:textAlignment w:val="center"/>
            </w:pPr>
            <w:r>
              <w:t>开展对区级预决算管理的监督</w:t>
            </w:r>
            <w:r>
              <w:t>1</w:t>
            </w:r>
            <w:r>
              <w:t>次，促进财政资金使用效益发挥。</w:t>
            </w:r>
          </w:p>
        </w:tc>
        <w:tc>
          <w:tcPr>
            <w:tcW w:w="5100" w:type="dxa"/>
            <w:shd w:val="clear" w:color="auto" w:fill="FFFFFF"/>
            <w:vAlign w:val="center"/>
          </w:tcPr>
          <w:p w:rsidR="00585755" w:rsidRDefault="00C94667">
            <w:pPr>
              <w:spacing w:line="312" w:lineRule="auto"/>
              <w:jc w:val="left"/>
            </w:pPr>
            <w:r>
              <w:t>听取和审议</w:t>
            </w:r>
            <w:r>
              <w:t>2018</w:t>
            </w:r>
            <w:r>
              <w:t>年区级决算报告、</w:t>
            </w:r>
            <w:r>
              <w:t>20</w:t>
            </w:r>
            <w:r>
              <w:t>19</w:t>
            </w:r>
            <w:r>
              <w:t>年预算执行情况汇报、</w:t>
            </w:r>
            <w:r>
              <w:t>2018</w:t>
            </w:r>
            <w:r>
              <w:t>年预算执行和其他财政收支情况的审计工作及审计查出问题整改情况报告，审查批准了</w:t>
            </w:r>
            <w:r>
              <w:t>2018</w:t>
            </w:r>
            <w:r>
              <w:t>年区级决算和</w:t>
            </w:r>
            <w:r>
              <w:t>2019</w:t>
            </w:r>
            <w:r>
              <w:t>年预算调整意见。重视运用审计结果，对审计问题清单整改落实情况进行跟踪检查，强化各类风险防控，推动公共财政规范有效运行。积极推进预算联网监督工作，实现对国库集中支付系统实时在线监督，</w:t>
            </w:r>
            <w:r>
              <w:lastRenderedPageBreak/>
              <w:t>促进预算执行和财政资金管理不断规范，预算审查监督的针对性和有效性进一步增强。</w:t>
            </w:r>
          </w:p>
        </w:tc>
      </w:tr>
      <w:tr w:rsidR="00585755">
        <w:tc>
          <w:tcPr>
            <w:tcW w:w="4165" w:type="dxa"/>
            <w:shd w:val="clear" w:color="auto" w:fill="FFFFFF"/>
            <w:vAlign w:val="center"/>
          </w:tcPr>
          <w:p w:rsidR="00585755" w:rsidRDefault="00C94667">
            <w:pPr>
              <w:spacing w:line="312" w:lineRule="auto"/>
              <w:jc w:val="left"/>
              <w:textAlignment w:val="center"/>
            </w:pPr>
            <w:r>
              <w:lastRenderedPageBreak/>
              <w:t>开展对民生重点工作（如：棚户区改造工作、区政府关于</w:t>
            </w:r>
            <w:r>
              <w:t>2018</w:t>
            </w:r>
            <w:r>
              <w:t>年度环境质量状况和环境保护目标完成情况、五年拆违工作进展情况和基础设施配套建设情况）的监督，促进民生改善。</w:t>
            </w:r>
          </w:p>
        </w:tc>
        <w:tc>
          <w:tcPr>
            <w:tcW w:w="5100" w:type="dxa"/>
            <w:shd w:val="clear" w:color="auto" w:fill="FFFFFF"/>
            <w:vAlign w:val="center"/>
          </w:tcPr>
          <w:p w:rsidR="00585755" w:rsidRDefault="00C94667">
            <w:pPr>
              <w:spacing w:line="312" w:lineRule="auto"/>
              <w:jc w:val="left"/>
            </w:pPr>
            <w:r>
              <w:t>听取和审议区政府关于环境质量状况和环保目标完成、创建国家食品安全示范城市、协调推进教育发展和教育布局规划、大力推广全民健身开展群众体育工作、公共基础设施建设、养老服务、棚户区改造、市容环境整治工作情况汇报。对医疗卫生、物业管理、社区建设等民生工作开展视察、调研，促进提升公共服务、生态环境保护和城市建设管理水平，更好满足人民日益增长的美好生活需要</w:t>
            </w:r>
            <w:r>
              <w:t>。</w:t>
            </w:r>
          </w:p>
        </w:tc>
      </w:tr>
      <w:tr w:rsidR="00585755">
        <w:tc>
          <w:tcPr>
            <w:tcW w:w="4165" w:type="dxa"/>
            <w:shd w:val="clear" w:color="auto" w:fill="FFFFFF"/>
            <w:vAlign w:val="center"/>
          </w:tcPr>
          <w:p w:rsidR="00585755" w:rsidRDefault="00C94667">
            <w:pPr>
              <w:spacing w:line="312" w:lineRule="auto"/>
              <w:jc w:val="left"/>
              <w:textAlignment w:val="center"/>
            </w:pPr>
            <w:r>
              <w:t>进行代表的学习培训和履职管理，完善代表学习培训机制，提高代表依法履职水平。</w:t>
            </w:r>
          </w:p>
        </w:tc>
        <w:tc>
          <w:tcPr>
            <w:tcW w:w="5100" w:type="dxa"/>
            <w:shd w:val="clear" w:color="auto" w:fill="FFFFFF"/>
            <w:vAlign w:val="center"/>
          </w:tcPr>
          <w:p w:rsidR="00585755" w:rsidRDefault="00C94667">
            <w:pPr>
              <w:spacing w:line="312" w:lineRule="auto"/>
              <w:jc w:val="left"/>
            </w:pPr>
            <w:r>
              <w:t>坚持对代表履职进行严格管理，充分利用《履职手册》，实行</w:t>
            </w:r>
            <w:r>
              <w:t>“</w:t>
            </w:r>
            <w:r>
              <w:t>一代表一档案</w:t>
            </w:r>
            <w:r>
              <w:t>”</w:t>
            </w:r>
            <w:r>
              <w:t>，健全代表履职档案，规范履职记录，动态掌握每一位人大代表任职期间参加学习培训、视察检查、调查研究以及提出议案、建议等活动情况，使每位人大代表的履职轨迹有案可查。赴全国人大北京培训基地举办市、区人大代表履职能力提升培训班，围绕学习习近平总书记关于坚持和完善人民代表大会制度的重要思想，增强人大监督实效，新时代人大代表履职等内容进行专题辅导讲座，为提高代表依法履职</w:t>
            </w:r>
            <w:r>
              <w:t>能力和水平奠定理论基础。</w:t>
            </w:r>
          </w:p>
        </w:tc>
      </w:tr>
      <w:tr w:rsidR="00585755">
        <w:tc>
          <w:tcPr>
            <w:tcW w:w="4165" w:type="dxa"/>
            <w:shd w:val="clear" w:color="auto" w:fill="FFFFFF"/>
            <w:vAlign w:val="center"/>
          </w:tcPr>
          <w:p w:rsidR="00585755" w:rsidRDefault="00C94667">
            <w:pPr>
              <w:spacing w:line="312" w:lineRule="auto"/>
              <w:jc w:val="left"/>
              <w:textAlignment w:val="center"/>
            </w:pPr>
            <w:r>
              <w:t>打造精品代表之家和示范代表工作站，密切代表与人民群众的联系，发挥代表议案及建议网络平台作用，使代表提出议案及建议更加便捷。</w:t>
            </w:r>
          </w:p>
        </w:tc>
        <w:tc>
          <w:tcPr>
            <w:tcW w:w="5100" w:type="dxa"/>
            <w:shd w:val="clear" w:color="auto" w:fill="FFFFFF"/>
            <w:vAlign w:val="center"/>
          </w:tcPr>
          <w:p w:rsidR="00585755" w:rsidRDefault="00C94667">
            <w:pPr>
              <w:spacing w:line="312" w:lineRule="auto"/>
              <w:jc w:val="left"/>
            </w:pPr>
            <w:r>
              <w:t>加强示范代表工作站建设，发挥引领带动作用，推进代表进站全员化、联系活动长效化、活动机制规范化、解决问题实效化。为代表依法履职、密切联系人民群众搭建有效载体，支持和保障代表通过代表与选民见面会、入户走访谈心谈话、与社区居民共庆传统佳节等方式，与选民面对面</w:t>
            </w:r>
            <w:r>
              <w:t>“</w:t>
            </w:r>
            <w:r>
              <w:t>零距离</w:t>
            </w:r>
            <w:r>
              <w:t>”</w:t>
            </w:r>
            <w:r>
              <w:t>互动，倾听选民心声，回答选民询问，接受选民监督，推动群众反映的问题得到及时、有效的解决。</w:t>
            </w:r>
          </w:p>
        </w:tc>
      </w:tr>
      <w:tr w:rsidR="00585755">
        <w:tc>
          <w:tcPr>
            <w:tcW w:w="4165" w:type="dxa"/>
            <w:shd w:val="clear" w:color="auto" w:fill="FFFFFF"/>
            <w:vAlign w:val="center"/>
          </w:tcPr>
          <w:p w:rsidR="00585755" w:rsidRDefault="00C94667">
            <w:pPr>
              <w:spacing w:line="312" w:lineRule="auto"/>
              <w:jc w:val="left"/>
              <w:textAlignment w:val="center"/>
            </w:pPr>
            <w:r>
              <w:t>组织代</w:t>
            </w:r>
            <w:r>
              <w:t>表听取专项汇报、开展专项调研，其中教卫领域</w:t>
            </w:r>
            <w:r>
              <w:t>3</w:t>
            </w:r>
            <w:r>
              <w:t>次、内司领域</w:t>
            </w:r>
            <w:r>
              <w:t>6</w:t>
            </w:r>
            <w:r>
              <w:t>次、财经领域</w:t>
            </w:r>
            <w:r>
              <w:t>2</w:t>
            </w:r>
            <w:r>
              <w:t>次，城建领域</w:t>
            </w:r>
            <w:r>
              <w:t>5</w:t>
            </w:r>
            <w:r>
              <w:t>次，促进区各领域工作顺利开展。</w:t>
            </w:r>
          </w:p>
        </w:tc>
        <w:tc>
          <w:tcPr>
            <w:tcW w:w="5100" w:type="dxa"/>
            <w:shd w:val="clear" w:color="auto" w:fill="FFFFFF"/>
            <w:vAlign w:val="center"/>
          </w:tcPr>
          <w:p w:rsidR="00585755" w:rsidRDefault="00C94667">
            <w:pPr>
              <w:spacing w:line="312" w:lineRule="auto"/>
              <w:jc w:val="left"/>
            </w:pPr>
            <w:r>
              <w:t>常委会依法行使监督、决定、任免等职权，做到监督动真格、支持有力度，努力推动区域经济社会发展依法有序运行。全年召开常委会会议</w:t>
            </w:r>
            <w:r>
              <w:t>10</w:t>
            </w:r>
            <w:r>
              <w:t>次，主任会议</w:t>
            </w:r>
            <w:r>
              <w:t>12</w:t>
            </w:r>
            <w:r>
              <w:t>次。</w:t>
            </w:r>
            <w:r>
              <w:lastRenderedPageBreak/>
              <w:t>听取、审议区</w:t>
            </w:r>
            <w:r>
              <w:t>“</w:t>
            </w:r>
            <w:r>
              <w:t>一府两院</w:t>
            </w:r>
            <w:r>
              <w:t>”</w:t>
            </w:r>
            <w:r>
              <w:t>专项工作报告</w:t>
            </w:r>
            <w:r>
              <w:t>23</w:t>
            </w:r>
            <w:r>
              <w:t>项，依法作出决议、决定</w:t>
            </w:r>
            <w:r>
              <w:t>6</w:t>
            </w:r>
            <w:r>
              <w:t>项，开展执法检查</w:t>
            </w:r>
            <w:r>
              <w:t>5</w:t>
            </w:r>
            <w:r>
              <w:t>次，组织代表视察活动</w:t>
            </w:r>
            <w:r>
              <w:t>50</w:t>
            </w:r>
            <w:r>
              <w:t>余次。</w:t>
            </w:r>
          </w:p>
        </w:tc>
      </w:tr>
    </w:tbl>
    <w:p w:rsidR="00585755" w:rsidRDefault="00585755">
      <w:pPr>
        <w:rPr>
          <w:rFonts w:ascii="仿宋_GB2312" w:eastAsia="仿宋_GB2312"/>
        </w:rPr>
      </w:pPr>
    </w:p>
    <w:p w:rsidR="00585755" w:rsidRDefault="00585755">
      <w:pPr>
        <w:spacing w:line="560" w:lineRule="exact"/>
        <w:ind w:firstLineChars="200" w:firstLine="640"/>
        <w:rPr>
          <w:rFonts w:ascii="仿宋" w:eastAsia="仿宋" w:hAnsi="仿宋"/>
          <w:sz w:val="32"/>
          <w:szCs w:val="32"/>
        </w:rPr>
      </w:pPr>
    </w:p>
    <w:sectPr w:rsidR="00585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67" w:rsidRDefault="00C94667">
      <w:pPr>
        <w:spacing w:after="0" w:line="240" w:lineRule="auto"/>
      </w:pPr>
      <w:r>
        <w:separator/>
      </w:r>
    </w:p>
  </w:endnote>
  <w:endnote w:type="continuationSeparator" w:id="0">
    <w:p w:rsidR="00C94667" w:rsidRDefault="00C9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55" w:rsidRDefault="00C9466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5755" w:rsidRDefault="0058575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55" w:rsidRDefault="00C9466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00D9">
      <w:rPr>
        <w:rStyle w:val="a7"/>
        <w:noProof/>
      </w:rPr>
      <w:t>24</w:t>
    </w:r>
    <w:r>
      <w:rPr>
        <w:rStyle w:val="a7"/>
      </w:rPr>
      <w:fldChar w:fldCharType="end"/>
    </w:r>
  </w:p>
  <w:p w:rsidR="00585755" w:rsidRDefault="0058575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55" w:rsidRDefault="0058575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67" w:rsidRDefault="00C94667">
      <w:pPr>
        <w:spacing w:after="0" w:line="240" w:lineRule="auto"/>
      </w:pPr>
      <w:r>
        <w:separator/>
      </w:r>
    </w:p>
  </w:footnote>
  <w:footnote w:type="continuationSeparator" w:id="0">
    <w:p w:rsidR="00C94667" w:rsidRDefault="00C9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55" w:rsidRDefault="0058575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55" w:rsidRDefault="00585755">
    <w:pPr>
      <w:pStyle w:val="a5"/>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755" w:rsidRDefault="0058575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5D"/>
    <w:rsid w:val="000366C0"/>
    <w:rsid w:val="00096ED1"/>
    <w:rsid w:val="000B725D"/>
    <w:rsid w:val="0012248D"/>
    <w:rsid w:val="001E0BA7"/>
    <w:rsid w:val="004300D9"/>
    <w:rsid w:val="00492B98"/>
    <w:rsid w:val="00585755"/>
    <w:rsid w:val="005D1600"/>
    <w:rsid w:val="00726F06"/>
    <w:rsid w:val="007C1C17"/>
    <w:rsid w:val="007D0D57"/>
    <w:rsid w:val="0080545B"/>
    <w:rsid w:val="009B4E28"/>
    <w:rsid w:val="00BA19A1"/>
    <w:rsid w:val="00C15244"/>
    <w:rsid w:val="00C747B2"/>
    <w:rsid w:val="00C94667"/>
    <w:rsid w:val="00D04AD3"/>
    <w:rsid w:val="00D06262"/>
    <w:rsid w:val="00D616BA"/>
    <w:rsid w:val="00E027E0"/>
    <w:rsid w:val="00E26FF1"/>
    <w:rsid w:val="00E27E43"/>
    <w:rsid w:val="00F11CD0"/>
    <w:rsid w:val="00F324E1"/>
    <w:rsid w:val="00F86BD4"/>
    <w:rsid w:val="00FB216A"/>
    <w:rsid w:val="090507D3"/>
    <w:rsid w:val="21B631A5"/>
    <w:rsid w:val="21C06A17"/>
    <w:rsid w:val="268B30A3"/>
    <w:rsid w:val="2EF91626"/>
    <w:rsid w:val="30375BD2"/>
    <w:rsid w:val="3F936BB3"/>
    <w:rsid w:val="4DCF2866"/>
    <w:rsid w:val="681E750B"/>
    <w:rsid w:val="68817EE4"/>
    <w:rsid w:val="7658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CC60E-9A60-4408-89A2-C678923D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ind w:left="284" w:firstLineChars="200" w:firstLine="200"/>
    </w:pPr>
    <w:rPr>
      <w:rFonts w:ascii="楷体_GB2312" w:eastAsia="楷体_GB2312" w:hAnsi="Times New Roman" w:cs="Times New Roman"/>
      <w:sz w:val="84"/>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color w:val="000000"/>
      <w:kern w:val="0"/>
      <w:sz w:val="24"/>
    </w:rPr>
  </w:style>
  <w:style w:type="character" w:styleId="a7">
    <w:name w:val="page number"/>
    <w:basedOn w:val="a0"/>
    <w:uiPriority w:val="99"/>
    <w:unhideWhenUsed/>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uiPriority w:val="99"/>
    <w:qFormat/>
    <w:rPr>
      <w:rFonts w:ascii="楷体_GB2312" w:eastAsia="楷体_GB2312" w:hAnsi="Times New Roman" w:cs="Times New Roman"/>
      <w:sz w:val="8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dc:creator>
  <cp:lastModifiedBy>Windows 用户</cp:lastModifiedBy>
  <cp:revision>16</cp:revision>
  <dcterms:created xsi:type="dcterms:W3CDTF">2018-07-23T08:42:00Z</dcterms:created>
  <dcterms:modified xsi:type="dcterms:W3CDTF">2025-08-29T11:15:00Z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