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620" w:type="dxa"/>
        <w:tblInd w:w="93" w:type="dxa"/>
        <w:tblLayout w:type="fixed"/>
        <w:tblCellMar>
          <w:top w:w="0" w:type="dxa"/>
          <w:left w:w="108" w:type="dxa"/>
          <w:bottom w:w="0" w:type="dxa"/>
          <w:right w:w="108" w:type="dxa"/>
        </w:tblCellMar>
      </w:tblPr>
      <w:tblGrid>
        <w:gridCol w:w="2283"/>
        <w:gridCol w:w="177"/>
        <w:gridCol w:w="6458"/>
        <w:gridCol w:w="702"/>
      </w:tblGrid>
      <w:tr>
        <w:tblPrEx>
          <w:tblLayout w:type="fixed"/>
          <w:tblCellMar>
            <w:top w:w="0" w:type="dxa"/>
            <w:left w:w="108" w:type="dxa"/>
            <w:bottom w:w="0" w:type="dxa"/>
            <w:right w:w="108" w:type="dxa"/>
          </w:tblCellMar>
        </w:tblPrEx>
        <w:trPr>
          <w:gridAfter w:val="2"/>
          <w:wAfter w:w="7160" w:type="dxa"/>
          <w:trHeight w:val="270" w:hRule="atLeast"/>
        </w:trPr>
        <w:tc>
          <w:tcPr>
            <w:tcW w:w="2460" w:type="dxa"/>
            <w:gridSpan w:val="2"/>
            <w:tcBorders>
              <w:top w:val="nil"/>
              <w:left w:val="nil"/>
              <w:bottom w:val="nil"/>
              <w:right w:val="nil"/>
            </w:tcBorders>
            <w:shd w:val="clear" w:color="auto" w:fill="auto"/>
            <w:vAlign w:val="center"/>
          </w:tcPr>
          <w:p>
            <w:pPr>
              <w:widowControl/>
              <w:jc w:val="left"/>
              <w:rPr>
                <w:rFonts w:ascii="方正黑体简体" w:hAnsi="宋体" w:eastAsia="方正黑体简体" w:cs="宋体"/>
                <w:kern w:val="0"/>
                <w:sz w:val="34"/>
                <w:szCs w:val="34"/>
              </w:rPr>
            </w:pPr>
            <w:r>
              <w:rPr>
                <w:rFonts w:ascii="Calibri" w:hAnsi="Calibri" w:eastAsia="方正仿宋简体" w:cs="Times New Roman"/>
                <w:sz w:val="34"/>
                <w:szCs w:val="34"/>
              </w:rPr>
              <w:br w:type="page"/>
            </w:r>
          </w:p>
        </w:tc>
      </w:tr>
      <w:tr>
        <w:tblPrEx>
          <w:tblLayout w:type="fixed"/>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shd w:val="clear" w:color="auto" w:fill="auto"/>
            <w:vAlign w:val="center"/>
          </w:tcPr>
          <w:p>
            <w:pPr>
              <w:widowControl/>
              <w:jc w:val="center"/>
              <w:rPr>
                <w:rFonts w:ascii="方正小标宋简体" w:hAnsi="宋体" w:eastAsia="方正小标宋简体" w:cs="宋体"/>
                <w:kern w:val="0"/>
                <w:sz w:val="44"/>
                <w:szCs w:val="44"/>
              </w:rPr>
            </w:pPr>
            <w:r>
              <w:rPr>
                <w:rFonts w:hint="eastAsia" w:ascii="方正小标宋简体" w:hAnsi="宋体" w:eastAsia="方正小标宋简体" w:cs="宋体"/>
                <w:kern w:val="0"/>
                <w:sz w:val="44"/>
                <w:szCs w:val="44"/>
              </w:rPr>
              <w:t>职责事项信息表</w:t>
            </w:r>
          </w:p>
        </w:tc>
      </w:tr>
      <w:tr>
        <w:tblPrEx>
          <w:tblLayout w:type="fixed"/>
          <w:tblCellMar>
            <w:top w:w="0" w:type="dxa"/>
            <w:left w:w="108" w:type="dxa"/>
            <w:bottom w:w="0" w:type="dxa"/>
            <w:right w:w="108" w:type="dxa"/>
          </w:tblCellMar>
        </w:tblPrEx>
        <w:trPr>
          <w:trHeight w:val="839" w:hRule="atLeast"/>
        </w:trPr>
        <w:tc>
          <w:tcPr>
            <w:tcW w:w="9620" w:type="dxa"/>
            <w:gridSpan w:val="4"/>
            <w:tcBorders>
              <w:top w:val="nil"/>
              <w:left w:val="nil"/>
              <w:bottom w:val="nil"/>
              <w:right w:val="nil"/>
            </w:tcBorders>
            <w:shd w:val="clear" w:color="auto" w:fill="auto"/>
            <w:vAlign w:val="center"/>
          </w:tcPr>
          <w:p>
            <w:pPr>
              <w:widowControl/>
              <w:jc w:val="center"/>
              <w:rPr>
                <w:rFonts w:ascii="方正小标宋简体" w:hAnsi="宋体" w:eastAsia="方正小标宋简体" w:cs="宋体"/>
                <w:kern w:val="0"/>
                <w:sz w:val="30"/>
                <w:szCs w:val="30"/>
                <w:u w:val="single"/>
              </w:rPr>
            </w:pPr>
            <w:r>
              <w:rPr>
                <w:rFonts w:hint="eastAsia" w:ascii="方正小标宋简体" w:hAnsi="宋体" w:eastAsia="方正小标宋简体" w:cs="宋体"/>
                <w:kern w:val="0"/>
                <w:sz w:val="30"/>
                <w:szCs w:val="30"/>
                <w:u w:val="single"/>
              </w:rPr>
              <w:t>（</w:t>
            </w:r>
            <w:r>
              <w:rPr>
                <w:rFonts w:hint="eastAsia" w:ascii="方正小标宋简体" w:hAnsi="宋体" w:eastAsia="方正小标宋简体" w:cs="宋体"/>
                <w:kern w:val="0"/>
                <w:sz w:val="30"/>
                <w:szCs w:val="30"/>
                <w:u w:val="single"/>
                <w:lang w:eastAsia="zh-CN"/>
              </w:rPr>
              <w:t>南开</w:t>
            </w:r>
            <w:r>
              <w:rPr>
                <w:rFonts w:hint="eastAsia" w:ascii="方正小标宋简体" w:hAnsi="宋体" w:eastAsia="方正小标宋简体" w:cs="宋体"/>
                <w:kern w:val="0"/>
                <w:sz w:val="30"/>
                <w:szCs w:val="30"/>
                <w:u w:val="single"/>
              </w:rPr>
              <w:t>区劳动人事争议仲裁院）</w:t>
            </w:r>
            <w:r>
              <w:rPr>
                <w:rFonts w:hint="eastAsia" w:ascii="方正小标宋简体" w:hAnsi="宋体" w:eastAsia="方正小标宋简体" w:cs="宋体"/>
                <w:kern w:val="0"/>
                <w:sz w:val="30"/>
                <w:szCs w:val="30"/>
              </w:rPr>
              <w:t>信息表</w:t>
            </w:r>
          </w:p>
        </w:tc>
      </w:tr>
      <w:tr>
        <w:tblPrEx>
          <w:tblLayout w:type="fixed"/>
          <w:tblCellMar>
            <w:top w:w="0" w:type="dxa"/>
            <w:left w:w="108" w:type="dxa"/>
            <w:bottom w:w="0" w:type="dxa"/>
            <w:right w:w="108" w:type="dxa"/>
          </w:tblCellMar>
        </w:tblPrEx>
        <w:trPr>
          <w:gridAfter w:val="1"/>
          <w:wAfter w:w="702" w:type="dxa"/>
          <w:trHeight w:val="720" w:hRule="atLeast"/>
        </w:trPr>
        <w:tc>
          <w:tcPr>
            <w:tcW w:w="2283" w:type="dxa"/>
            <w:tcBorders>
              <w:top w:val="single" w:color="auto" w:sz="4"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序号</w:t>
            </w:r>
          </w:p>
        </w:tc>
        <w:tc>
          <w:tcPr>
            <w:tcW w:w="6635" w:type="dxa"/>
            <w:gridSpan w:val="2"/>
            <w:tcBorders>
              <w:top w:val="single" w:color="auto" w:sz="4" w:space="0"/>
              <w:left w:val="single" w:color="auto" w:sz="6" w:space="0"/>
              <w:bottom w:val="single" w:color="auto" w:sz="6" w:space="0"/>
              <w:right w:val="single" w:color="auto" w:sz="4" w:space="0"/>
            </w:tcBorders>
            <w:shd w:val="clear" w:color="auto" w:fill="auto"/>
            <w:vAlign w:val="center"/>
          </w:tcPr>
          <w:p>
            <w:pPr>
              <w:widowControl/>
              <w:jc w:val="left"/>
              <w:rPr>
                <w:rFonts w:ascii="方正仿宋简体" w:hAnsi="宋体" w:eastAsia="方正仿宋简体" w:cs="宋体"/>
                <w:kern w:val="0"/>
                <w:sz w:val="32"/>
                <w:szCs w:val="32"/>
              </w:rPr>
            </w:pPr>
            <w:r>
              <w:rPr>
                <w:rFonts w:hint="eastAsia" w:ascii="方正仿宋简体" w:hAnsi="宋体" w:eastAsia="方正仿宋简体" w:cs="宋体"/>
                <w:kern w:val="0"/>
                <w:sz w:val="32"/>
                <w:szCs w:val="32"/>
              </w:rPr>
              <w:t>　1.1</w:t>
            </w:r>
          </w:p>
        </w:tc>
      </w:tr>
      <w:tr>
        <w:tblPrEx>
          <w:tblLayout w:type="fixed"/>
          <w:tblCellMar>
            <w:top w:w="0" w:type="dxa"/>
            <w:left w:w="108" w:type="dxa"/>
            <w:bottom w:w="0" w:type="dxa"/>
            <w:right w:w="108" w:type="dxa"/>
          </w:tblCellMar>
        </w:tblPrEx>
        <w:trPr>
          <w:gridAfter w:val="1"/>
          <w:wAfter w:w="702" w:type="dxa"/>
          <w:trHeight w:val="7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名称</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jc w:val="left"/>
              <w:rPr>
                <w:rFonts w:ascii="仿宋_GB2312" w:hAnsi="宋体" w:eastAsia="仿宋_GB2312" w:cs="宋体"/>
                <w:kern w:val="0"/>
                <w:sz w:val="30"/>
                <w:szCs w:val="30"/>
              </w:rPr>
            </w:pPr>
            <w:r>
              <w:rPr>
                <w:rFonts w:hint="eastAsia" w:ascii="仿宋_GB2312" w:hAnsi="宋体" w:eastAsia="仿宋_GB2312" w:cs="宋体"/>
                <w:kern w:val="0"/>
                <w:sz w:val="30"/>
                <w:szCs w:val="30"/>
              </w:rPr>
              <w:t>劳动人事争议案件处理</w:t>
            </w:r>
          </w:p>
        </w:tc>
      </w:tr>
      <w:tr>
        <w:tblPrEx>
          <w:tblLayout w:type="fixed"/>
          <w:tblCellMar>
            <w:top w:w="0" w:type="dxa"/>
            <w:left w:w="108" w:type="dxa"/>
            <w:bottom w:w="0" w:type="dxa"/>
            <w:right w:w="108" w:type="dxa"/>
          </w:tblCellMar>
        </w:tblPrEx>
        <w:trPr>
          <w:gridAfter w:val="1"/>
          <w:wAfter w:w="702" w:type="dxa"/>
          <w:trHeight w:val="196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法定依据</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 </w:t>
            </w:r>
            <w:r>
              <w:rPr>
                <w:rFonts w:hint="eastAsia" w:ascii="仿宋_GB2312" w:hAnsi="宋体" w:eastAsia="仿宋_GB2312" w:cs="宋体"/>
                <w:bCs/>
                <w:kern w:val="0"/>
                <w:sz w:val="30"/>
                <w:szCs w:val="30"/>
              </w:rPr>
              <w:t>中华人民共和国劳动争议调解仲裁法》第三十六条至四十条，第四十三条至四十八条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开庭和裁决</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 </w:t>
            </w:r>
            <w:r>
              <w:rPr>
                <w:rFonts w:hint="eastAsia" w:ascii="仿宋_GB2312" w:hAnsi="宋体" w:eastAsia="仿宋_GB2312" w:cs="宋体"/>
                <w:bCs/>
                <w:kern w:val="0"/>
                <w:sz w:val="30"/>
                <w:szCs w:val="30"/>
              </w:rPr>
              <w:t>中华人民共和国劳动争议调解仲裁法》第四十一条、四十二条，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调解</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bCs/>
                <w:kern w:val="0"/>
                <w:sz w:val="30"/>
                <w:szCs w:val="30"/>
              </w:rPr>
              <w:t>3、《</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）第三十九条至五十五条，</w:t>
            </w:r>
            <w:r>
              <w:rPr>
                <w:rFonts w:hint="eastAsia" w:ascii="仿宋_GB2312" w:hAnsi="宋体" w:eastAsia="仿宋_GB2312" w:cs="宋体"/>
                <w:kern w:val="0"/>
                <w:sz w:val="30"/>
                <w:szCs w:val="30"/>
              </w:rPr>
              <w:t>关于</w:t>
            </w:r>
            <w:r>
              <w:rPr>
                <w:rFonts w:hint="eastAsia" w:ascii="仿宋_GB2312" w:hAnsi="宋体" w:eastAsia="仿宋_GB2312" w:cs="宋体"/>
                <w:bCs/>
                <w:kern w:val="0"/>
                <w:sz w:val="30"/>
                <w:szCs w:val="30"/>
              </w:rPr>
              <w:t>开庭和裁决</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bCs/>
                <w:kern w:val="0"/>
                <w:sz w:val="30"/>
                <w:szCs w:val="30"/>
              </w:rPr>
            </w:pPr>
            <w:r>
              <w:rPr>
                <w:rFonts w:hint="eastAsia" w:ascii="仿宋_GB2312" w:hAnsi="宋体" w:eastAsia="仿宋_GB2312" w:cs="宋体"/>
                <w:bCs/>
                <w:kern w:val="0"/>
                <w:sz w:val="30"/>
                <w:szCs w:val="30"/>
              </w:rPr>
              <w:t>4、《</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）第五十六条至六十一条，关于简易程序的规定。</w:t>
            </w:r>
          </w:p>
          <w:p>
            <w:pPr>
              <w:widowControl/>
              <w:snapToGrid w:val="0"/>
              <w:jc w:val="left"/>
              <w:rPr>
                <w:rFonts w:ascii="仿宋_GB2312" w:hAnsi="宋体" w:eastAsia="仿宋_GB2312" w:cs="宋体"/>
                <w:bCs/>
                <w:kern w:val="0"/>
                <w:sz w:val="30"/>
                <w:szCs w:val="30"/>
              </w:rPr>
            </w:pPr>
            <w:r>
              <w:rPr>
                <w:rFonts w:hint="eastAsia" w:ascii="仿宋_GB2312" w:hAnsi="宋体" w:eastAsia="仿宋_GB2312" w:cs="宋体"/>
                <w:bCs/>
                <w:kern w:val="0"/>
                <w:sz w:val="30"/>
                <w:szCs w:val="30"/>
              </w:rPr>
              <w:t>5、《</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）第六十二条至六十七条，</w:t>
            </w:r>
            <w:r>
              <w:rPr>
                <w:rFonts w:hint="eastAsia" w:ascii="仿宋_GB2312" w:hAnsi="宋体" w:eastAsia="仿宋_GB2312" w:cs="宋体"/>
                <w:kern w:val="0"/>
                <w:sz w:val="30"/>
                <w:szCs w:val="30"/>
              </w:rPr>
              <w:t>关于</w:t>
            </w:r>
            <w:r>
              <w:rPr>
                <w:rFonts w:ascii="仿宋_GB2312" w:hAnsi="宋体" w:eastAsia="仿宋_GB2312" w:cs="宋体"/>
                <w:bCs/>
                <w:kern w:val="0"/>
                <w:sz w:val="30"/>
                <w:szCs w:val="30"/>
              </w:rPr>
              <w:t>集体劳动人事争议处理</w:t>
            </w:r>
            <w:r>
              <w:rPr>
                <w:rFonts w:hint="eastAsia" w:ascii="仿宋_GB2312" w:hAnsi="宋体" w:eastAsia="仿宋_GB2312" w:cs="宋体"/>
                <w:kern w:val="0"/>
                <w:sz w:val="30"/>
                <w:szCs w:val="30"/>
              </w:rPr>
              <w:t>的规定。</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bCs/>
                <w:kern w:val="0"/>
                <w:sz w:val="30"/>
                <w:szCs w:val="30"/>
              </w:rPr>
              <w:t>6、《</w:t>
            </w:r>
            <w:r>
              <w:rPr>
                <w:rFonts w:ascii="仿宋_GB2312" w:hAnsi="宋体" w:eastAsia="仿宋_GB2312" w:cs="宋体"/>
                <w:bCs/>
                <w:kern w:val="0"/>
                <w:sz w:val="30"/>
                <w:szCs w:val="30"/>
              </w:rPr>
              <w:t>劳动人事争议仲裁办案规则</w:t>
            </w:r>
            <w:r>
              <w:rPr>
                <w:rFonts w:hint="eastAsia" w:ascii="仿宋_GB2312" w:hAnsi="宋体" w:eastAsia="仿宋_GB2312" w:cs="宋体"/>
                <w:bCs/>
                <w:kern w:val="0"/>
                <w:sz w:val="30"/>
                <w:szCs w:val="30"/>
              </w:rPr>
              <w:t>》（中华人民共和国人力资源和社会保障部令</w:t>
            </w:r>
            <w:r>
              <w:rPr>
                <w:rFonts w:hint="eastAsia" w:ascii="仿宋_GB2312" w:hAnsi="宋体" w:eastAsia="仿宋_GB2312" w:cs="宋体"/>
                <w:kern w:val="0"/>
                <w:sz w:val="30"/>
                <w:szCs w:val="30"/>
              </w:rPr>
              <w:t>第33号</w:t>
            </w:r>
            <w:r>
              <w:rPr>
                <w:rFonts w:hint="eastAsia" w:ascii="仿宋_GB2312" w:hAnsi="宋体" w:eastAsia="仿宋_GB2312" w:cs="宋体"/>
                <w:bCs/>
                <w:kern w:val="0"/>
                <w:sz w:val="30"/>
                <w:szCs w:val="30"/>
              </w:rPr>
              <w:t>）第六十八条至七十九条，关于</w:t>
            </w:r>
            <w:r>
              <w:rPr>
                <w:rFonts w:ascii="仿宋_GB2312" w:hAnsi="宋体" w:eastAsia="仿宋_GB2312" w:cs="宋体"/>
                <w:bCs/>
                <w:kern w:val="0"/>
                <w:sz w:val="30"/>
                <w:szCs w:val="30"/>
              </w:rPr>
              <w:t>调解程序</w:t>
            </w:r>
            <w:r>
              <w:rPr>
                <w:rFonts w:hint="eastAsia" w:ascii="仿宋_GB2312" w:hAnsi="宋体" w:eastAsia="仿宋_GB2312" w:cs="宋体"/>
                <w:bCs/>
                <w:kern w:val="0"/>
                <w:sz w:val="30"/>
                <w:szCs w:val="30"/>
              </w:rPr>
              <w:t>的规定。</w:t>
            </w:r>
          </w:p>
        </w:tc>
      </w:tr>
      <w:tr>
        <w:tblPrEx>
          <w:tblLayout w:type="fixed"/>
          <w:tblCellMar>
            <w:top w:w="0" w:type="dxa"/>
            <w:left w:w="108" w:type="dxa"/>
            <w:bottom w:w="0" w:type="dxa"/>
            <w:right w:w="108" w:type="dxa"/>
          </w:tblCellMar>
        </w:tblPrEx>
        <w:trPr>
          <w:gridAfter w:val="1"/>
          <w:wAfter w:w="702" w:type="dxa"/>
          <w:trHeight w:val="1131"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实施机构</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　</w:t>
            </w:r>
            <w:r>
              <w:rPr>
                <w:rFonts w:hint="eastAsia" w:ascii="仿宋_GB2312" w:hAnsi="宋体" w:eastAsia="仿宋_GB2312" w:cs="宋体"/>
                <w:kern w:val="0"/>
                <w:sz w:val="30"/>
                <w:szCs w:val="30"/>
                <w:lang w:eastAsia="zh-CN"/>
              </w:rPr>
              <w:t>南开</w:t>
            </w:r>
            <w:r>
              <w:rPr>
                <w:rFonts w:hint="eastAsia" w:ascii="仿宋_GB2312" w:hAnsi="宋体" w:eastAsia="仿宋_GB2312" w:cs="宋体"/>
                <w:kern w:val="0"/>
                <w:sz w:val="30"/>
                <w:szCs w:val="30"/>
              </w:rPr>
              <w:t>区劳动人事争议仲裁院（仲裁庭）</w:t>
            </w:r>
          </w:p>
        </w:tc>
      </w:tr>
      <w:tr>
        <w:tblPrEx>
          <w:tblLayout w:type="fixed"/>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职责边界</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方正仿宋简体" w:hAnsi="宋体" w:eastAsia="方正仿宋简体" w:cs="宋体"/>
                <w:kern w:val="0"/>
                <w:sz w:val="30"/>
                <w:szCs w:val="30"/>
              </w:rPr>
            </w:pPr>
            <w:r>
              <w:rPr>
                <w:rFonts w:hint="eastAsia" w:ascii="方正仿宋简体" w:hAnsi="宋体" w:eastAsia="方正仿宋简体" w:cs="宋体"/>
                <w:kern w:val="0"/>
                <w:sz w:val="30"/>
                <w:szCs w:val="30"/>
              </w:rPr>
              <w:t>　</w:t>
            </w:r>
            <w:r>
              <w:rPr>
                <w:rFonts w:hint="eastAsia" w:ascii="仿宋_GB2312" w:hAnsi="宋体" w:eastAsia="仿宋_GB2312" w:cs="宋体"/>
                <w:kern w:val="0"/>
                <w:sz w:val="30"/>
                <w:szCs w:val="30"/>
                <w:lang w:eastAsia="zh-CN"/>
              </w:rPr>
              <w:t>南开</w:t>
            </w:r>
            <w:r>
              <w:rPr>
                <w:rFonts w:hint="eastAsia" w:ascii="仿宋_GB2312" w:hAnsi="宋体" w:eastAsia="仿宋_GB2312" w:cs="宋体"/>
                <w:kern w:val="0"/>
                <w:sz w:val="30"/>
                <w:szCs w:val="30"/>
              </w:rPr>
              <w:t>区劳动人事争议仲裁院仲裁庭独立承担调处劳动人事争议案件职责。</w:t>
            </w:r>
          </w:p>
          <w:p>
            <w:pPr>
              <w:widowControl/>
              <w:snapToGrid w:val="0"/>
              <w:jc w:val="left"/>
              <w:rPr>
                <w:rFonts w:ascii="方正仿宋简体" w:hAnsi="宋体" w:eastAsia="方正仿宋简体" w:cs="宋体"/>
                <w:kern w:val="0"/>
                <w:sz w:val="30"/>
                <w:szCs w:val="30"/>
              </w:rPr>
            </w:pPr>
          </w:p>
        </w:tc>
      </w:tr>
      <w:tr>
        <w:tblPrEx>
          <w:tblLayout w:type="fixed"/>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运行流程</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开庭—答辩—质证—庭审调查—辩论—调解—结案</w:t>
            </w:r>
          </w:p>
          <w:p>
            <w:pPr>
              <w:widowControl/>
              <w:snapToGrid w:val="0"/>
              <w:jc w:val="left"/>
              <w:rPr>
                <w:rFonts w:ascii="方正仿宋简体" w:hAnsi="宋体" w:eastAsia="方正仿宋简体" w:cs="宋体"/>
                <w:kern w:val="0"/>
                <w:sz w:val="30"/>
                <w:szCs w:val="30"/>
              </w:rPr>
            </w:pPr>
            <w:r>
              <w:rPr>
                <w:rFonts w:hint="eastAsia" w:ascii="仿宋_GB2312" w:hAnsi="宋体" w:eastAsia="仿宋_GB2312" w:cs="宋体"/>
                <w:kern w:val="0"/>
                <w:sz w:val="30"/>
                <w:szCs w:val="30"/>
              </w:rPr>
              <w:t>开庭—答辩—质证—庭审调查—辩论—调解不成—裁决—结案</w:t>
            </w:r>
          </w:p>
        </w:tc>
      </w:tr>
      <w:tr>
        <w:tblPrEx>
          <w:tblLayout w:type="fixed"/>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运行要件</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1、仲裁案件的审理核心在于证据的举证质证。</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2、关于证据的提供。当事人对自己提出的主张有责任提供证据。与争议事项有关的证据属于用人单位掌握管理的，用人单位应当提供；用人单位不提供的，应当承担不利后果。</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3、关于举证期限。承担举证责任的当事人应当在仲裁委员会指定的期限内提供有关证据。当事人在该期限内提供证据确有困难的，可以向仲裁委员会申请延长期限，仲裁委员会根据当事人的申请适当延长。当事人逾期提供证据的，仲裁委员会应当责令其说明理由；拒不说明理由或者理由不成立的，仲裁委员会可以根据不同情形不予采纳该证据，或者采纳该证据但予以训诫。</w:t>
            </w:r>
          </w:p>
        </w:tc>
      </w:tr>
      <w:tr>
        <w:tblPrEx>
          <w:tblLayout w:type="fixed"/>
          <w:tblCellMar>
            <w:top w:w="0" w:type="dxa"/>
            <w:left w:w="108" w:type="dxa"/>
            <w:bottom w:w="0" w:type="dxa"/>
            <w:right w:w="108" w:type="dxa"/>
          </w:tblCellMar>
        </w:tblPrEx>
        <w:trPr>
          <w:gridAfter w:val="1"/>
          <w:wAfter w:w="702" w:type="dxa"/>
          <w:trHeight w:val="20" w:hRule="atLeast"/>
        </w:trPr>
        <w:tc>
          <w:tcPr>
            <w:tcW w:w="2283" w:type="dxa"/>
            <w:tcBorders>
              <w:top w:val="single" w:color="auto" w:sz="6" w:space="0"/>
              <w:left w:val="single" w:color="auto" w:sz="4" w:space="0"/>
              <w:bottom w:val="single" w:color="auto" w:sz="6"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责任事项</w:t>
            </w:r>
          </w:p>
        </w:tc>
        <w:tc>
          <w:tcPr>
            <w:tcW w:w="6635" w:type="dxa"/>
            <w:gridSpan w:val="2"/>
            <w:tcBorders>
              <w:top w:val="single" w:color="auto" w:sz="6" w:space="0"/>
              <w:left w:val="single" w:color="auto" w:sz="6" w:space="0"/>
              <w:bottom w:val="single" w:color="auto" w:sz="6" w:space="0"/>
              <w:right w:val="single" w:color="auto" w:sz="4" w:space="0"/>
            </w:tcBorders>
            <w:shd w:val="clear" w:color="auto" w:fill="auto"/>
            <w:vAlign w:val="center"/>
          </w:tcPr>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仲裁员有下列规定情形的，仲裁委员会视情节轻重，给予批评教育、解聘等处理；被解聘的，五年内不得再次被聘为仲裁员。仲裁员所在单位根据国家有关规定对其给予处分；构成犯罪的，依法追究刑事责任：</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1、徇私枉法，偏袒一方当事人；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2、滥用职权，侵犯当事人合法权益；</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3、利用职权为自己或者他人谋取私利；</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4、隐瞒证据或者伪造证据；</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5、私自会见当事人及其代理人，接受当事人及其代理人的请客送礼；</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6、故意拖延办案、玩忽职守；</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7、泄露案件涉及的国家秘密、商业秘密和个人隐私或者擅自透露案件处理情况；</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8、在受聘期间担任所在仲裁委员会受理案件的代理人；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9、其他违法违纪的行为。</w:t>
            </w:r>
          </w:p>
          <w:p>
            <w:pPr>
              <w:widowControl/>
              <w:snapToGrid w:val="0"/>
              <w:jc w:val="left"/>
              <w:rPr>
                <w:rFonts w:ascii="仿宋_GB2312" w:hAnsi="宋体" w:eastAsia="仿宋_GB2312" w:cs="宋体"/>
                <w:kern w:val="0"/>
                <w:sz w:val="30"/>
                <w:szCs w:val="30"/>
              </w:rPr>
            </w:pPr>
            <w:r>
              <w:rPr>
                <w:rFonts w:hint="eastAsia" w:ascii="仿宋_GB2312" w:hAnsi="宋体" w:eastAsia="仿宋_GB2312" w:cs="宋体"/>
                <w:kern w:val="0"/>
                <w:sz w:val="30"/>
                <w:szCs w:val="30"/>
              </w:rPr>
              <w:t>二、记录人员等办案辅助人员应当认真履行职责，严守工作纪律，发生玩忽职守、偏袒一方当事人、泄露案件涉及的国家秘密、商业秘密和个人隐私或者擅自透露案件处理情况等行为的，参照仲裁员处理办法追究责任。</w:t>
            </w:r>
            <w:bookmarkStart w:id="0" w:name="_GoBack"/>
            <w:bookmarkEnd w:id="0"/>
          </w:p>
          <w:p>
            <w:pPr>
              <w:widowControl/>
              <w:snapToGrid w:val="0"/>
              <w:jc w:val="left"/>
              <w:rPr>
                <w:rFonts w:ascii="方正仿宋简体" w:hAnsi="宋体" w:eastAsia="方正仿宋简体" w:cs="宋体"/>
                <w:kern w:val="0"/>
                <w:sz w:val="32"/>
                <w:szCs w:val="32"/>
              </w:rPr>
            </w:pPr>
          </w:p>
        </w:tc>
      </w:tr>
      <w:tr>
        <w:tblPrEx>
          <w:tblLayout w:type="fixed"/>
          <w:tblCellMar>
            <w:top w:w="0" w:type="dxa"/>
            <w:left w:w="108" w:type="dxa"/>
            <w:bottom w:w="0" w:type="dxa"/>
            <w:right w:w="108" w:type="dxa"/>
          </w:tblCellMar>
        </w:tblPrEx>
        <w:trPr>
          <w:gridAfter w:val="1"/>
          <w:wAfter w:w="702" w:type="dxa"/>
          <w:trHeight w:val="1024" w:hRule="atLeast"/>
        </w:trPr>
        <w:tc>
          <w:tcPr>
            <w:tcW w:w="2283" w:type="dxa"/>
            <w:tcBorders>
              <w:top w:val="single" w:color="auto" w:sz="6" w:space="0"/>
              <w:left w:val="single" w:color="auto" w:sz="4" w:space="0"/>
              <w:bottom w:val="single" w:color="auto" w:sz="4" w:space="0"/>
              <w:right w:val="single" w:color="auto" w:sz="6" w:space="0"/>
            </w:tcBorders>
            <w:shd w:val="clear" w:color="auto" w:fill="auto"/>
            <w:vAlign w:val="center"/>
          </w:tcPr>
          <w:p>
            <w:pPr>
              <w:widowControl/>
              <w:jc w:val="center"/>
              <w:rPr>
                <w:rFonts w:ascii="方正黑体简体" w:hAnsi="宋体" w:eastAsia="方正黑体简体" w:cs="宋体"/>
                <w:kern w:val="0"/>
                <w:sz w:val="32"/>
                <w:szCs w:val="32"/>
              </w:rPr>
            </w:pPr>
            <w:r>
              <w:rPr>
                <w:rFonts w:hint="eastAsia" w:ascii="方正黑体简体" w:hAnsi="宋体" w:eastAsia="方正黑体简体" w:cs="宋体"/>
                <w:kern w:val="0"/>
                <w:sz w:val="32"/>
                <w:szCs w:val="32"/>
              </w:rPr>
              <w:t>监督方式</w:t>
            </w:r>
          </w:p>
        </w:tc>
        <w:tc>
          <w:tcPr>
            <w:tcW w:w="6635" w:type="dxa"/>
            <w:gridSpan w:val="2"/>
            <w:tcBorders>
              <w:top w:val="single" w:color="auto" w:sz="6" w:space="0"/>
              <w:left w:val="single" w:color="auto" w:sz="6" w:space="0"/>
              <w:bottom w:val="single" w:color="auto" w:sz="4" w:space="0"/>
              <w:right w:val="single" w:color="auto" w:sz="4" w:space="0"/>
            </w:tcBorders>
            <w:shd w:val="clear" w:color="auto" w:fill="auto"/>
            <w:vAlign w:val="center"/>
          </w:tcPr>
          <w:p>
            <w:pPr>
              <w:widowControl/>
              <w:jc w:val="left"/>
              <w:rPr>
                <w:rFonts w:hint="eastAsia" w:ascii="方正仿宋简体" w:hAnsi="宋体" w:eastAsia="方正仿宋简体" w:cs="宋体"/>
                <w:kern w:val="0"/>
                <w:sz w:val="32"/>
                <w:szCs w:val="32"/>
              </w:rPr>
            </w:pPr>
            <w:r>
              <w:rPr>
                <w:rFonts w:hint="eastAsia" w:ascii="方正仿宋简体" w:hAnsi="宋体" w:eastAsia="方正仿宋简体" w:cs="宋体"/>
                <w:kern w:val="0"/>
                <w:sz w:val="32"/>
                <w:szCs w:val="32"/>
              </w:rPr>
              <w:t>地址：天津市</w:t>
            </w:r>
            <w:r>
              <w:rPr>
                <w:rFonts w:hint="eastAsia" w:ascii="方正仿宋简体" w:hAnsi="宋体" w:eastAsia="方正仿宋简体" w:cs="宋体"/>
                <w:kern w:val="0"/>
                <w:sz w:val="32"/>
                <w:szCs w:val="32"/>
                <w:lang w:eastAsia="zh-CN"/>
              </w:rPr>
              <w:t>南开区鞍山西道平湖路</w:t>
            </w:r>
            <w:r>
              <w:rPr>
                <w:rFonts w:hint="eastAsia" w:ascii="方正仿宋简体" w:hAnsi="宋体" w:eastAsia="方正仿宋简体" w:cs="宋体"/>
                <w:kern w:val="0"/>
                <w:sz w:val="32"/>
                <w:szCs w:val="32"/>
                <w:lang w:val="en-US" w:eastAsia="zh-CN"/>
              </w:rPr>
              <w:t>5号</w:t>
            </w:r>
          </w:p>
          <w:p>
            <w:pPr>
              <w:widowControl/>
              <w:jc w:val="left"/>
              <w:rPr>
                <w:rFonts w:ascii="方正仿宋简体" w:hAnsi="宋体" w:eastAsia="方正仿宋简体" w:cs="宋体"/>
                <w:kern w:val="0"/>
                <w:sz w:val="32"/>
                <w:szCs w:val="32"/>
              </w:rPr>
            </w:pPr>
            <w:r>
              <w:rPr>
                <w:rFonts w:hint="eastAsia" w:ascii="方正仿宋简体" w:hAnsi="宋体" w:eastAsia="方正仿宋简体" w:cs="宋体"/>
                <w:kern w:val="0"/>
                <w:sz w:val="32"/>
                <w:szCs w:val="32"/>
              </w:rPr>
              <w:t>电话：</w:t>
            </w:r>
            <w:r>
              <w:rPr>
                <w:rFonts w:hint="eastAsia" w:ascii="方正仿宋简体" w:hAnsi="宋体" w:eastAsia="方正仿宋简体" w:cs="宋体"/>
                <w:kern w:val="0"/>
                <w:sz w:val="32"/>
                <w:szCs w:val="32"/>
                <w:lang w:val="en-US" w:eastAsia="zh-CN"/>
              </w:rPr>
              <w:t>27460309</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0000000000000000000"/>
    <w:charset w:val="86"/>
    <w:family w:val="script"/>
    <w:pitch w:val="default"/>
    <w:sig w:usb0="00000000" w:usb1="00000000" w:usb2="00000010" w:usb3="00000000" w:csb0="00040000" w:csb1="00000000"/>
  </w:font>
  <w:font w:name="方正黑体简体">
    <w:altName w:val="微软雅黑"/>
    <w:panose1 w:val="00000000000000000000"/>
    <w:charset w:val="86"/>
    <w:family w:val="script"/>
    <w:pitch w:val="default"/>
    <w:sig w:usb0="00000000" w:usb1="00000000" w:usb2="00000010" w:usb3="00000000" w:csb0="00040000"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52E5D"/>
    <w:rsid w:val="001F162D"/>
    <w:rsid w:val="0027692E"/>
    <w:rsid w:val="002D5D30"/>
    <w:rsid w:val="002F2E55"/>
    <w:rsid w:val="00351A2E"/>
    <w:rsid w:val="003A5A05"/>
    <w:rsid w:val="004F507E"/>
    <w:rsid w:val="00552E5D"/>
    <w:rsid w:val="00677443"/>
    <w:rsid w:val="006855BD"/>
    <w:rsid w:val="00730149"/>
    <w:rsid w:val="00797F72"/>
    <w:rsid w:val="008F0333"/>
    <w:rsid w:val="00AB7C48"/>
    <w:rsid w:val="00B62551"/>
    <w:rsid w:val="00B94A09"/>
    <w:rsid w:val="00D82C81"/>
    <w:rsid w:val="00DE4D70"/>
    <w:rsid w:val="00E10898"/>
    <w:rsid w:val="00EB5AA9"/>
    <w:rsid w:val="00FC0745"/>
    <w:rsid w:val="02A41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DELL</Company>
  <Pages>3</Pages>
  <Words>183</Words>
  <Characters>1047</Characters>
  <Lines>8</Lines>
  <Paragraphs>2</Paragraphs>
  <TotalTime>0</TotalTime>
  <ScaleCrop>false</ScaleCrop>
  <LinksUpToDate>false</LinksUpToDate>
  <CharactersWithSpaces>1228</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2017-11-29T01:07:00Z</dcterms:created>
  <dc:creator>DELL</dc:creator>
  <cp:lastModifiedBy>宁采臣</cp:lastModifiedBy>
  <cp:lastPrinted>2017-11-29T06:54:00Z</cp:lastPrinted>
  <dcterms:modified xsi:type="dcterms:W3CDTF">2017-12-19T08:33:53Z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