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75" w:rsidRPr="000C4875" w:rsidRDefault="000C4875">
      <w:pPr>
        <w:rPr>
          <w:sz w:val="44"/>
          <w:szCs w:val="44"/>
        </w:rPr>
      </w:pPr>
    </w:p>
    <w:tbl>
      <w:tblPr>
        <w:tblW w:w="9285" w:type="dxa"/>
        <w:tblCellMar>
          <w:left w:w="0" w:type="dxa"/>
          <w:right w:w="0" w:type="dxa"/>
        </w:tblCellMar>
        <w:tblLook w:val="0000"/>
      </w:tblPr>
      <w:tblGrid>
        <w:gridCol w:w="2225"/>
        <w:gridCol w:w="7060"/>
      </w:tblGrid>
      <w:tr w:rsidR="002422AB" w:rsidRPr="00374B0E" w:rsidTr="000C4875">
        <w:trPr>
          <w:trHeight w:val="839"/>
        </w:trPr>
        <w:tc>
          <w:tcPr>
            <w:tcW w:w="928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931EEA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宋体" w:hAnsi="宋体" w:cs="宋体" w:hint="eastAsia"/>
                <w:sz w:val="44"/>
                <w:szCs w:val="44"/>
              </w:rPr>
              <w:t>职责事项信息表</w:t>
            </w:r>
          </w:p>
        </w:tc>
      </w:tr>
      <w:tr w:rsidR="002422AB" w:rsidRPr="00374B0E" w:rsidTr="000C4875">
        <w:trPr>
          <w:trHeight w:val="839"/>
        </w:trPr>
        <w:tc>
          <w:tcPr>
            <w:tcW w:w="928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E33E06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/>
                <w:sz w:val="34"/>
                <w:szCs w:val="34"/>
                <w:u w:val="single"/>
              </w:rPr>
              <w:t>（</w:t>
            </w:r>
            <w:r w:rsidR="00D91E3A">
              <w:rPr>
                <w:rFonts w:ascii="仿宋" w:eastAsia="仿宋" w:hAnsi="仿宋" w:cs="仿宋" w:hint="eastAsia"/>
                <w:sz w:val="34"/>
                <w:szCs w:val="34"/>
                <w:u w:val="single"/>
              </w:rPr>
              <w:t>南开区</w:t>
            </w:r>
            <w:r w:rsidRPr="00374B0E">
              <w:rPr>
                <w:rFonts w:ascii="仿宋" w:eastAsia="仿宋" w:hAnsi="仿宋" w:cs="仿宋"/>
                <w:sz w:val="34"/>
                <w:szCs w:val="34"/>
                <w:u w:val="single"/>
              </w:rPr>
              <w:t>信用信息归集整理）</w:t>
            </w: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信息表</w:t>
            </w:r>
          </w:p>
        </w:tc>
      </w:tr>
      <w:tr w:rsidR="002422AB" w:rsidRPr="00374B0E" w:rsidTr="000C4875">
        <w:trPr>
          <w:trHeight w:val="720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序号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</w:rPr>
              <w:t xml:space="preserve">　</w:t>
            </w:r>
            <w:r w:rsidRPr="00374B0E">
              <w:rPr>
                <w:rFonts w:ascii="微软雅黑" w:eastAsia="微软雅黑" w:hAnsi="微软雅黑" w:cs="微软雅黑" w:hint="eastAsia"/>
              </w:rPr>
              <w:t>1.1</w:t>
            </w:r>
          </w:p>
        </w:tc>
      </w:tr>
      <w:tr w:rsidR="002422AB" w:rsidRPr="00374B0E" w:rsidTr="000C4875">
        <w:trPr>
          <w:trHeight w:val="72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名称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422AB" w:rsidRPr="00374B0E" w:rsidRDefault="00D91E3A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南开区</w:t>
            </w:r>
            <w:r w:rsidR="002422AB" w:rsidRPr="00374B0E">
              <w:rPr>
                <w:rStyle w:val="a5"/>
                <w:rFonts w:ascii="仿宋" w:eastAsia="仿宋" w:hAnsi="仿宋" w:cs="仿宋" w:hint="eastAsia"/>
                <w:b w:val="0"/>
              </w:rPr>
              <w:t>信用信息归集整理</w:t>
            </w:r>
          </w:p>
        </w:tc>
      </w:tr>
      <w:tr w:rsidR="002422AB" w:rsidRPr="00374B0E" w:rsidTr="000C4875">
        <w:trPr>
          <w:trHeight w:val="1612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法定依据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0C4875" w:rsidRDefault="002422AB" w:rsidP="00931EEA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《国务院关于印发社会信用体系建设规划纲要（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2014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—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2020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年）的通知》（国发〔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2014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〕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21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号）、《天津市加快推进诚信建设行动方案》（津诚信建设领导小组〔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2019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〕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3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号）</w:t>
            </w:r>
          </w:p>
        </w:tc>
      </w:tr>
      <w:tr w:rsidR="002422AB" w:rsidRPr="00374B0E" w:rsidTr="000C4875">
        <w:trPr>
          <w:trHeight w:val="752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实施机构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422AB" w:rsidRPr="000C4875" w:rsidRDefault="002422AB" w:rsidP="00374B0E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Fonts w:ascii="仿宋" w:eastAsia="仿宋" w:hAnsi="仿宋" w:cs="仿宋" w:hint="eastAsia"/>
                <w:sz w:val="21"/>
                <w:szCs w:val="21"/>
              </w:rPr>
              <w:t>天津市</w:t>
            </w:r>
            <w:r w:rsidR="00374B0E" w:rsidRPr="000C4875">
              <w:rPr>
                <w:rFonts w:ascii="仿宋" w:eastAsia="仿宋" w:hAnsi="仿宋" w:cs="仿宋" w:hint="eastAsia"/>
                <w:sz w:val="21"/>
                <w:szCs w:val="21"/>
              </w:rPr>
              <w:t>南开</w:t>
            </w:r>
            <w:r w:rsidRPr="000C4875">
              <w:rPr>
                <w:rFonts w:ascii="仿宋" w:eastAsia="仿宋" w:hAnsi="仿宋" w:cs="仿宋" w:hint="eastAsia"/>
                <w:sz w:val="21"/>
                <w:szCs w:val="21"/>
              </w:rPr>
              <w:t>区公共信用中心（天津市</w:t>
            </w:r>
            <w:r w:rsidR="00374B0E" w:rsidRPr="000C4875">
              <w:rPr>
                <w:rFonts w:ascii="仿宋" w:eastAsia="仿宋" w:hAnsi="仿宋" w:cs="仿宋" w:hint="eastAsia"/>
                <w:sz w:val="21"/>
                <w:szCs w:val="21"/>
              </w:rPr>
              <w:t>南开</w:t>
            </w:r>
            <w:r w:rsidRPr="000C4875">
              <w:rPr>
                <w:rFonts w:ascii="仿宋" w:eastAsia="仿宋" w:hAnsi="仿宋" w:cs="仿宋" w:hint="eastAsia"/>
                <w:sz w:val="21"/>
                <w:szCs w:val="21"/>
              </w:rPr>
              <w:t>区价格认证中心）</w:t>
            </w:r>
          </w:p>
        </w:tc>
      </w:tr>
      <w:tr w:rsidR="002422AB" w:rsidRPr="00374B0E" w:rsidTr="000C4875">
        <w:trPr>
          <w:trHeight w:val="728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职责边界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422AB" w:rsidRPr="000C4875" w:rsidRDefault="00374B0E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Fonts w:ascii="仿宋" w:eastAsia="仿宋" w:hAnsi="仿宋" w:cs="宋体" w:hint="eastAsia"/>
                <w:sz w:val="21"/>
                <w:szCs w:val="21"/>
              </w:rPr>
              <w:t>南开区</w:t>
            </w:r>
            <w:r w:rsidR="002422AB"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区级权限</w:t>
            </w:r>
          </w:p>
        </w:tc>
      </w:tr>
      <w:tr w:rsidR="002422AB" w:rsidRPr="00374B0E" w:rsidTr="000C4875">
        <w:trPr>
          <w:trHeight w:val="64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运行流程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0C4875" w:rsidRDefault="002422AB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归集→分类→整理→共享→维护</w:t>
            </w:r>
          </w:p>
        </w:tc>
      </w:tr>
      <w:tr w:rsidR="002422AB" w:rsidRPr="00374B0E" w:rsidTr="000C4875">
        <w:trPr>
          <w:trHeight w:val="665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运行要件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0C4875" w:rsidRDefault="002422AB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按政策规定要求提供的要件</w:t>
            </w:r>
          </w:p>
        </w:tc>
      </w:tr>
      <w:tr w:rsidR="002422AB" w:rsidRPr="00374B0E" w:rsidTr="000C4875">
        <w:trPr>
          <w:trHeight w:val="1005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责任事项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0C4875" w:rsidRDefault="002422AB" w:rsidP="008D5354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对信息提供主体向</w:t>
            </w:r>
            <w:r w:rsidR="00BE68E2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南开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区公共信用信息平台报送的信用信息进行归集、分类、整理、共享及维护</w:t>
            </w:r>
            <w:r w:rsidR="00931EEA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，做好“双公示”工作。</w:t>
            </w:r>
          </w:p>
        </w:tc>
      </w:tr>
      <w:tr w:rsidR="002422AB" w:rsidRPr="00374B0E" w:rsidTr="000C4875">
        <w:trPr>
          <w:trHeight w:val="1005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监督方式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0C4875" w:rsidRDefault="002422AB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电</w:t>
            </w:r>
            <w:r w:rsid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 xml:space="preserve">    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话：</w:t>
            </w:r>
            <w:r w:rsidR="00931EEA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27586515</w:t>
            </w:r>
          </w:p>
          <w:p w:rsidR="002422AB" w:rsidRPr="000C4875" w:rsidRDefault="000C4875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电子</w:t>
            </w:r>
            <w:r w:rsidR="002422AB"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邮箱：</w:t>
            </w:r>
            <w:r w:rsidR="00931EEA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nkqfgw_tzk@tj.gov.cn</w:t>
            </w:r>
          </w:p>
          <w:p w:rsidR="002422AB" w:rsidRPr="000C4875" w:rsidRDefault="002422AB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Fonts w:ascii="仿宋" w:eastAsia="仿宋" w:hAnsi="仿宋" w:cs="仿宋" w:hint="eastAsia"/>
                <w:sz w:val="21"/>
                <w:szCs w:val="21"/>
              </w:rPr>
              <w:t>地</w:t>
            </w:r>
            <w:r w:rsidR="000C4875"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 w:rsidRPr="000C4875">
              <w:rPr>
                <w:rFonts w:ascii="仿宋" w:eastAsia="仿宋" w:hAnsi="仿宋" w:cs="仿宋" w:hint="eastAsia"/>
                <w:sz w:val="21"/>
                <w:szCs w:val="21"/>
              </w:rPr>
              <w:t>址：</w:t>
            </w:r>
            <w:r w:rsidR="000C4875" w:rsidRPr="000C4875">
              <w:rPr>
                <w:rFonts w:ascii="仿宋" w:eastAsia="仿宋" w:hAnsi="仿宋" w:hint="eastAsia"/>
                <w:sz w:val="21"/>
                <w:szCs w:val="21"/>
              </w:rPr>
              <w:t>南开区黄河道390号</w:t>
            </w:r>
          </w:p>
        </w:tc>
      </w:tr>
      <w:tr w:rsidR="002422AB" w:rsidRPr="00374B0E" w:rsidTr="000C4875">
        <w:trPr>
          <w:trHeight w:val="839"/>
        </w:trPr>
        <w:tc>
          <w:tcPr>
            <w:tcW w:w="928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2422AB" w:rsidRDefault="002422AB" w:rsidP="00A30220">
            <w:pPr>
              <w:pStyle w:val="a6"/>
              <w:widowControl/>
              <w:spacing w:before="0" w:beforeAutospacing="0" w:after="0" w:afterAutospacing="0" w:line="588" w:lineRule="atLeas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C4875" w:rsidRDefault="000C4875" w:rsidP="00A30220">
            <w:pPr>
              <w:pStyle w:val="a6"/>
              <w:widowControl/>
              <w:spacing w:before="0" w:beforeAutospacing="0" w:after="0" w:afterAutospacing="0" w:line="588" w:lineRule="atLeas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C4875" w:rsidRDefault="000C4875" w:rsidP="00A30220">
            <w:pPr>
              <w:pStyle w:val="a6"/>
              <w:widowControl/>
              <w:spacing w:before="0" w:beforeAutospacing="0" w:after="0" w:afterAutospacing="0" w:line="588" w:lineRule="atLeas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C4875" w:rsidRDefault="000C4875" w:rsidP="00A30220">
            <w:pPr>
              <w:pStyle w:val="a6"/>
              <w:widowControl/>
              <w:spacing w:before="0" w:beforeAutospacing="0" w:after="0" w:afterAutospacing="0" w:line="588" w:lineRule="atLeas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C4875" w:rsidRDefault="000C4875" w:rsidP="00A30220">
            <w:pPr>
              <w:pStyle w:val="a6"/>
              <w:widowControl/>
              <w:spacing w:before="0" w:beforeAutospacing="0" w:after="0" w:afterAutospacing="0" w:line="588" w:lineRule="atLeast"/>
              <w:jc w:val="both"/>
              <w:rPr>
                <w:rFonts w:ascii="Times New Roman" w:hAnsi="Times New Roman"/>
                <w:sz w:val="44"/>
                <w:szCs w:val="44"/>
              </w:rPr>
            </w:pPr>
          </w:p>
          <w:p w:rsidR="008E718D" w:rsidRPr="000C4875" w:rsidRDefault="008E718D" w:rsidP="00A30220">
            <w:pPr>
              <w:pStyle w:val="a6"/>
              <w:widowControl/>
              <w:spacing w:before="0" w:beforeAutospacing="0" w:after="0" w:afterAutospacing="0" w:line="588" w:lineRule="atLeast"/>
              <w:jc w:val="both"/>
              <w:rPr>
                <w:rFonts w:ascii="Times New Roman" w:hAnsi="Times New Roman"/>
                <w:sz w:val="44"/>
                <w:szCs w:val="44"/>
              </w:rPr>
            </w:pPr>
          </w:p>
          <w:p w:rsidR="002422AB" w:rsidRPr="00374B0E" w:rsidRDefault="002422AB" w:rsidP="00436653">
            <w:pPr>
              <w:pStyle w:val="a6"/>
              <w:widowControl/>
              <w:spacing w:before="0" w:beforeAutospacing="0" w:after="0" w:afterAutospacing="0" w:line="588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宋体" w:hAnsi="宋体" w:cs="宋体" w:hint="eastAsia"/>
                <w:sz w:val="44"/>
                <w:szCs w:val="44"/>
              </w:rPr>
              <w:t>职责事项信息表</w:t>
            </w:r>
          </w:p>
        </w:tc>
      </w:tr>
      <w:tr w:rsidR="002422AB" w:rsidRPr="00374B0E" w:rsidTr="000C4875">
        <w:trPr>
          <w:trHeight w:val="839"/>
        </w:trPr>
        <w:tc>
          <w:tcPr>
            <w:tcW w:w="928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  <w:u w:val="single"/>
              </w:rPr>
              <w:lastRenderedPageBreak/>
              <w:t>（</w:t>
            </w:r>
            <w:r w:rsidR="00D91E3A">
              <w:rPr>
                <w:rFonts w:ascii="仿宋" w:eastAsia="仿宋" w:hAnsi="仿宋" w:cs="仿宋" w:hint="eastAsia"/>
                <w:sz w:val="34"/>
                <w:szCs w:val="34"/>
                <w:u w:val="single"/>
              </w:rPr>
              <w:t>南开</w:t>
            </w:r>
            <w:r w:rsidRPr="00374B0E">
              <w:rPr>
                <w:rFonts w:ascii="仿宋" w:eastAsia="仿宋" w:hAnsi="仿宋" w:cs="仿宋" w:hint="eastAsia"/>
                <w:sz w:val="34"/>
                <w:szCs w:val="34"/>
                <w:u w:val="single"/>
              </w:rPr>
              <w:t>区信用信息共享平台的运营和维护）</w:t>
            </w: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信息表</w:t>
            </w:r>
          </w:p>
        </w:tc>
      </w:tr>
      <w:tr w:rsidR="002422AB" w:rsidRPr="00374B0E" w:rsidTr="000C4875">
        <w:trPr>
          <w:trHeight w:val="720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序号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</w:rPr>
              <w:t xml:space="preserve">　</w:t>
            </w:r>
            <w:r w:rsidRPr="00374B0E">
              <w:rPr>
                <w:rFonts w:ascii="微软雅黑" w:eastAsia="微软雅黑" w:hAnsi="微软雅黑" w:cs="微软雅黑" w:hint="eastAsia"/>
              </w:rPr>
              <w:t>1.2</w:t>
            </w:r>
          </w:p>
        </w:tc>
      </w:tr>
      <w:tr w:rsidR="002422AB" w:rsidRPr="00374B0E" w:rsidTr="000C4875">
        <w:trPr>
          <w:trHeight w:val="72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名称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422AB" w:rsidRPr="00374B0E" w:rsidRDefault="00D91E3A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</w:rPr>
              <w:t>南开</w:t>
            </w:r>
            <w:r w:rsidR="002422AB" w:rsidRPr="00374B0E">
              <w:rPr>
                <w:rStyle w:val="a5"/>
                <w:rFonts w:ascii="仿宋" w:eastAsia="仿宋" w:hAnsi="仿宋" w:cs="仿宋" w:hint="eastAsia"/>
                <w:b w:val="0"/>
              </w:rPr>
              <w:t>区信用信息共享平台的运营和维护</w:t>
            </w:r>
          </w:p>
        </w:tc>
      </w:tr>
      <w:tr w:rsidR="002422AB" w:rsidRPr="00374B0E" w:rsidTr="000C4875">
        <w:trPr>
          <w:trHeight w:val="152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法定依据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0C4875" w:rsidRDefault="002422AB" w:rsidP="00931EEA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《国务院关于印发社会信用体系建设规划纲要（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2014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—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2020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年）的通知》（国发〔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2014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〕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21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号）、《天津市加快推进诚信建设行动方案》（津诚信建设领导小组〔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2019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〕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3</w:t>
            </w:r>
            <w:r w:rsidR="003F1B07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号）</w:t>
            </w:r>
          </w:p>
        </w:tc>
      </w:tr>
      <w:tr w:rsidR="002422AB" w:rsidRPr="00374B0E" w:rsidTr="000C4875">
        <w:trPr>
          <w:trHeight w:val="752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实施机构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422AB" w:rsidRPr="000C4875" w:rsidRDefault="000C4875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Fonts w:ascii="仿宋" w:eastAsia="仿宋" w:hAnsi="仿宋" w:cs="仿宋" w:hint="eastAsia"/>
                <w:sz w:val="21"/>
                <w:szCs w:val="21"/>
              </w:rPr>
              <w:t>天津市南开区公共信用中心（天津市南开区价格认证中心）</w:t>
            </w:r>
          </w:p>
        </w:tc>
      </w:tr>
      <w:tr w:rsidR="002422AB" w:rsidRPr="00374B0E" w:rsidTr="000C4875">
        <w:trPr>
          <w:trHeight w:val="728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职责边界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422AB" w:rsidRPr="000C4875" w:rsidRDefault="000C4875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Fonts w:ascii="仿宋" w:eastAsia="仿宋" w:hAnsi="仿宋" w:cs="宋体" w:hint="eastAsia"/>
                <w:sz w:val="21"/>
                <w:szCs w:val="21"/>
              </w:rPr>
              <w:t>南开区</w:t>
            </w:r>
            <w:r w:rsidR="002422AB"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区级权限</w:t>
            </w:r>
          </w:p>
        </w:tc>
      </w:tr>
      <w:tr w:rsidR="002422AB" w:rsidRPr="00374B0E" w:rsidTr="000C4875">
        <w:trPr>
          <w:trHeight w:val="603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运行流程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0C4875" w:rsidRDefault="002422AB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协调→组织→落实</w:t>
            </w:r>
          </w:p>
        </w:tc>
      </w:tr>
      <w:tr w:rsidR="002422AB" w:rsidRPr="00374B0E" w:rsidTr="000C4875">
        <w:trPr>
          <w:trHeight w:val="64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运行要件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0C4875" w:rsidRDefault="002422AB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按政策规定要求提供的要件</w:t>
            </w:r>
          </w:p>
        </w:tc>
      </w:tr>
      <w:tr w:rsidR="002422AB" w:rsidRPr="00374B0E" w:rsidTr="000C4875">
        <w:trPr>
          <w:trHeight w:val="1005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责任事项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0C4875" w:rsidRDefault="002422AB" w:rsidP="00225243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做好</w:t>
            </w:r>
            <w:r w:rsidR="003F1B07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南开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区信用信息共享平台的运营和维护，</w:t>
            </w:r>
            <w:r w:rsidRPr="00931EEA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主要是信用信息共享平台、信用网站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的运营和维护工作</w:t>
            </w:r>
            <w:r w:rsidR="00225243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。做好信用修复与信用异议处理</w:t>
            </w:r>
            <w:r w:rsidR="00931EEA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工作。</w:t>
            </w:r>
          </w:p>
        </w:tc>
      </w:tr>
      <w:tr w:rsidR="002422AB" w:rsidRPr="00374B0E" w:rsidTr="000C4875">
        <w:trPr>
          <w:trHeight w:val="1005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监督方式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C4875" w:rsidRPr="000C4875" w:rsidRDefault="000C4875" w:rsidP="000C4875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电    话：</w:t>
            </w:r>
            <w:r w:rsidR="00A33F98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27586515</w:t>
            </w:r>
          </w:p>
          <w:p w:rsidR="000C4875" w:rsidRPr="000C4875" w:rsidRDefault="000C4875" w:rsidP="000C4875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电子邮箱：</w:t>
            </w:r>
            <w:r w:rsidR="00A33F98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nkqfgw_tzk@tj.gov.cn</w:t>
            </w:r>
          </w:p>
          <w:p w:rsidR="002422AB" w:rsidRPr="000C4875" w:rsidRDefault="000C4875" w:rsidP="000C4875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Fonts w:ascii="仿宋" w:eastAsia="仿宋" w:hAnsi="仿宋" w:cs="仿宋" w:hint="eastAsia"/>
                <w:sz w:val="21"/>
                <w:szCs w:val="21"/>
              </w:rPr>
              <w:t>地    址：</w:t>
            </w:r>
            <w:r w:rsidRPr="000C4875">
              <w:rPr>
                <w:rFonts w:ascii="仿宋" w:eastAsia="仿宋" w:hAnsi="仿宋" w:hint="eastAsia"/>
                <w:sz w:val="21"/>
                <w:szCs w:val="21"/>
              </w:rPr>
              <w:t>南开区黄河道390号</w:t>
            </w:r>
          </w:p>
        </w:tc>
      </w:tr>
      <w:tr w:rsidR="002422AB" w:rsidRPr="00374B0E" w:rsidTr="000C4875">
        <w:trPr>
          <w:trHeight w:val="839"/>
        </w:trPr>
        <w:tc>
          <w:tcPr>
            <w:tcW w:w="928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2422AB" w:rsidRDefault="002422AB" w:rsidP="00A30220">
            <w:pPr>
              <w:pStyle w:val="a6"/>
              <w:widowControl/>
              <w:spacing w:before="0" w:beforeAutospacing="0" w:after="0" w:afterAutospacing="0" w:line="588" w:lineRule="atLeas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C4875" w:rsidRDefault="000C4875" w:rsidP="00A30220">
            <w:pPr>
              <w:pStyle w:val="a6"/>
              <w:widowControl/>
              <w:spacing w:before="0" w:beforeAutospacing="0" w:after="0" w:afterAutospacing="0" w:line="588" w:lineRule="atLeas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C4875" w:rsidRDefault="000C4875" w:rsidP="00A30220">
            <w:pPr>
              <w:pStyle w:val="a6"/>
              <w:widowControl/>
              <w:spacing w:before="0" w:beforeAutospacing="0" w:after="0" w:afterAutospacing="0" w:line="588" w:lineRule="atLeas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C4875" w:rsidRDefault="000C4875" w:rsidP="00A30220">
            <w:pPr>
              <w:pStyle w:val="a6"/>
              <w:widowControl/>
              <w:spacing w:before="0" w:beforeAutospacing="0" w:after="0" w:afterAutospacing="0" w:line="588" w:lineRule="atLeas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C4875" w:rsidRDefault="000C4875" w:rsidP="00A30220">
            <w:pPr>
              <w:pStyle w:val="a6"/>
              <w:widowControl/>
              <w:spacing w:before="0" w:beforeAutospacing="0" w:after="0" w:afterAutospacing="0" w:line="588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E718D" w:rsidRDefault="008E718D" w:rsidP="00A30220">
            <w:pPr>
              <w:pStyle w:val="a6"/>
              <w:widowControl/>
              <w:spacing w:before="0" w:beforeAutospacing="0" w:after="0" w:afterAutospacing="0" w:line="588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0C4875" w:rsidRPr="000C4875" w:rsidRDefault="000C4875" w:rsidP="00A30220">
            <w:pPr>
              <w:pStyle w:val="a6"/>
              <w:widowControl/>
              <w:spacing w:before="0" w:beforeAutospacing="0" w:after="0" w:afterAutospacing="0" w:line="588" w:lineRule="atLeast"/>
              <w:jc w:val="both"/>
              <w:rPr>
                <w:rFonts w:ascii="Times New Roman" w:hAnsi="Times New Roman"/>
                <w:sz w:val="44"/>
                <w:szCs w:val="44"/>
              </w:rPr>
            </w:pPr>
          </w:p>
          <w:p w:rsidR="002422AB" w:rsidRPr="00374B0E" w:rsidRDefault="002422AB" w:rsidP="00436653">
            <w:pPr>
              <w:pStyle w:val="a6"/>
              <w:widowControl/>
              <w:spacing w:before="0" w:beforeAutospacing="0" w:after="0" w:afterAutospacing="0" w:line="588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宋体" w:hAnsi="宋体" w:cs="宋体" w:hint="eastAsia"/>
                <w:sz w:val="44"/>
                <w:szCs w:val="44"/>
              </w:rPr>
              <w:t>职责事项信息表</w:t>
            </w:r>
          </w:p>
        </w:tc>
      </w:tr>
      <w:tr w:rsidR="002422AB" w:rsidRPr="00374B0E" w:rsidTr="000C4875">
        <w:trPr>
          <w:trHeight w:val="839"/>
        </w:trPr>
        <w:tc>
          <w:tcPr>
            <w:tcW w:w="928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  <w:u w:val="single"/>
              </w:rPr>
              <w:lastRenderedPageBreak/>
              <w:t>（</w:t>
            </w:r>
            <w:r w:rsidR="00D91E3A">
              <w:rPr>
                <w:rFonts w:ascii="仿宋" w:eastAsia="仿宋" w:hAnsi="仿宋" w:cs="仿宋" w:hint="eastAsia"/>
                <w:sz w:val="34"/>
                <w:szCs w:val="34"/>
                <w:u w:val="single"/>
              </w:rPr>
              <w:t>南开区</w:t>
            </w:r>
            <w:r w:rsidRPr="00374B0E">
              <w:rPr>
                <w:rFonts w:ascii="仿宋" w:eastAsia="仿宋" w:hAnsi="仿宋" w:cs="仿宋" w:hint="eastAsia"/>
                <w:sz w:val="34"/>
                <w:szCs w:val="34"/>
                <w:u w:val="single"/>
              </w:rPr>
              <w:t>社会信用体系建设日常工作）</w:t>
            </w: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信息表</w:t>
            </w:r>
          </w:p>
        </w:tc>
      </w:tr>
      <w:tr w:rsidR="002422AB" w:rsidRPr="00374B0E" w:rsidTr="000C4875">
        <w:trPr>
          <w:trHeight w:val="518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序号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</w:rPr>
              <w:t xml:space="preserve">　</w:t>
            </w:r>
            <w:r w:rsidRPr="00374B0E">
              <w:rPr>
                <w:rFonts w:ascii="微软雅黑" w:eastAsia="微软雅黑" w:hAnsi="微软雅黑" w:cs="微软雅黑" w:hint="eastAsia"/>
              </w:rPr>
              <w:t>1.3</w:t>
            </w:r>
          </w:p>
        </w:tc>
      </w:tr>
      <w:tr w:rsidR="002422AB" w:rsidRPr="00374B0E" w:rsidTr="000C4875">
        <w:trPr>
          <w:trHeight w:val="72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名称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422AB" w:rsidRPr="00374B0E" w:rsidRDefault="00D91E3A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</w:rPr>
              <w:t>南开区</w:t>
            </w:r>
            <w:r w:rsidR="002422AB" w:rsidRPr="00374B0E">
              <w:rPr>
                <w:rStyle w:val="a5"/>
                <w:rFonts w:ascii="仿宋" w:eastAsia="仿宋" w:hAnsi="仿宋" w:cs="仿宋" w:hint="eastAsia"/>
                <w:b w:val="0"/>
              </w:rPr>
              <w:t>社会信用体系建设日常工作</w:t>
            </w:r>
          </w:p>
        </w:tc>
      </w:tr>
      <w:tr w:rsidR="002422AB" w:rsidRPr="00374B0E" w:rsidTr="000C4875">
        <w:trPr>
          <w:trHeight w:val="152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法定依据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0C4875" w:rsidRDefault="002422AB" w:rsidP="00A33F98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《国务院关于印发社会信用体系建设规划纲要（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2014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—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2020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年）的通知》（国发〔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2014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〕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21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号）、《天津市加快推进诚信建设行动方案》（津诚信建设领导小组〔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2019</w:t>
            </w: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〕</w:t>
            </w:r>
            <w:r w:rsidRPr="000C4875">
              <w:rPr>
                <w:rStyle w:val="a5"/>
                <w:rFonts w:ascii="微软雅黑" w:eastAsia="微软雅黑" w:hAnsi="微软雅黑" w:cs="微软雅黑" w:hint="eastAsia"/>
                <w:b w:val="0"/>
                <w:sz w:val="21"/>
                <w:szCs w:val="21"/>
              </w:rPr>
              <w:t>3</w:t>
            </w:r>
            <w:r w:rsidR="003F1B07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号）</w:t>
            </w:r>
          </w:p>
        </w:tc>
      </w:tr>
      <w:tr w:rsidR="002422AB" w:rsidRPr="00374B0E" w:rsidTr="000C4875">
        <w:trPr>
          <w:trHeight w:val="752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实施机构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422AB" w:rsidRPr="000C4875" w:rsidRDefault="000C4875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Fonts w:ascii="仿宋" w:eastAsia="仿宋" w:hAnsi="仿宋" w:cs="仿宋" w:hint="eastAsia"/>
                <w:sz w:val="21"/>
                <w:szCs w:val="21"/>
              </w:rPr>
              <w:t>天津市南开区公共信用中心（天津市南开区价格认证中心）</w:t>
            </w:r>
          </w:p>
        </w:tc>
      </w:tr>
      <w:tr w:rsidR="002422AB" w:rsidRPr="00374B0E" w:rsidTr="000C4875">
        <w:trPr>
          <w:trHeight w:val="728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职责边界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422AB" w:rsidRPr="000C4875" w:rsidRDefault="000C4875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Fonts w:ascii="仿宋" w:eastAsia="仿宋" w:hAnsi="仿宋" w:cs="宋体" w:hint="eastAsia"/>
                <w:sz w:val="21"/>
                <w:szCs w:val="21"/>
              </w:rPr>
              <w:t>南开区</w:t>
            </w:r>
            <w:r w:rsidR="002422AB"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区级权限</w:t>
            </w:r>
          </w:p>
        </w:tc>
      </w:tr>
      <w:tr w:rsidR="002422AB" w:rsidRPr="00374B0E" w:rsidTr="000C4875">
        <w:trPr>
          <w:trHeight w:val="715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运行流程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0C4875" w:rsidRDefault="002422AB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协调→组织→推动→落实</w:t>
            </w:r>
          </w:p>
        </w:tc>
      </w:tr>
      <w:tr w:rsidR="002422AB" w:rsidRPr="00374B0E" w:rsidTr="000C4875">
        <w:trPr>
          <w:trHeight w:val="613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运行要件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0C4875" w:rsidRDefault="002422AB" w:rsidP="00A30220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按政策规定要求提供的要件</w:t>
            </w:r>
          </w:p>
        </w:tc>
      </w:tr>
      <w:tr w:rsidR="002422AB" w:rsidRPr="00374B0E" w:rsidTr="000C4875">
        <w:trPr>
          <w:trHeight w:val="1083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责任事项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A33F98" w:rsidRDefault="00225243" w:rsidP="00225243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开展创新应用、</w:t>
            </w:r>
            <w:r w:rsidR="002422AB" w:rsidRPr="00A33F98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教育</w:t>
            </w:r>
            <w:r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宣传</w:t>
            </w:r>
            <w:r w:rsidR="002422AB" w:rsidRPr="00A33F98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、</w:t>
            </w:r>
            <w:r w:rsidR="00A33F98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信用承诺</w:t>
            </w:r>
            <w:r w:rsidR="002422AB" w:rsidRPr="00A33F98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等相关工作。</w:t>
            </w:r>
          </w:p>
        </w:tc>
      </w:tr>
      <w:tr w:rsidR="002422AB" w:rsidRPr="00374B0E" w:rsidTr="00A33F98">
        <w:trPr>
          <w:trHeight w:val="1161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22AB" w:rsidRPr="00374B0E" w:rsidRDefault="002422AB" w:rsidP="00A30220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监督方式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C4875" w:rsidRPr="000C4875" w:rsidRDefault="000C4875" w:rsidP="000C4875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电    话：</w:t>
            </w:r>
            <w:r w:rsidR="00A33F98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27586515</w:t>
            </w:r>
          </w:p>
          <w:p w:rsidR="000C4875" w:rsidRPr="000C4875" w:rsidRDefault="000C4875" w:rsidP="000C4875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电子邮箱：</w:t>
            </w:r>
            <w:r w:rsidR="00A33F98">
              <w:rPr>
                <w:rStyle w:val="a5"/>
                <w:rFonts w:ascii="仿宋" w:eastAsia="仿宋" w:hAnsi="仿宋" w:cs="仿宋" w:hint="eastAsia"/>
                <w:b w:val="0"/>
                <w:sz w:val="21"/>
                <w:szCs w:val="21"/>
              </w:rPr>
              <w:t>nkqfgw_tzk@tj.gov.cn</w:t>
            </w:r>
          </w:p>
          <w:p w:rsidR="002422AB" w:rsidRPr="000C4875" w:rsidRDefault="000C4875" w:rsidP="000C4875">
            <w:pPr>
              <w:pStyle w:val="a6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 w:rsidRPr="000C4875">
              <w:rPr>
                <w:rFonts w:ascii="仿宋" w:eastAsia="仿宋" w:hAnsi="仿宋" w:cs="仿宋" w:hint="eastAsia"/>
                <w:sz w:val="21"/>
                <w:szCs w:val="21"/>
              </w:rPr>
              <w:t>地    址：</w:t>
            </w:r>
            <w:r w:rsidRPr="000C4875">
              <w:rPr>
                <w:rFonts w:ascii="仿宋" w:eastAsia="仿宋" w:hAnsi="仿宋" w:hint="eastAsia"/>
                <w:sz w:val="21"/>
                <w:szCs w:val="21"/>
              </w:rPr>
              <w:t>南开区黄河道390号</w:t>
            </w:r>
          </w:p>
        </w:tc>
      </w:tr>
    </w:tbl>
    <w:p w:rsidR="00C771FB" w:rsidRPr="00374B0E" w:rsidRDefault="00C771FB">
      <w:pPr>
        <w:spacing w:line="588" w:lineRule="exact"/>
        <w:jc w:val="left"/>
        <w:rPr>
          <w:rFonts w:ascii="仿宋" w:eastAsia="仿宋" w:hAnsi="仿宋"/>
          <w:sz w:val="34"/>
          <w:szCs w:val="34"/>
        </w:rPr>
      </w:pPr>
    </w:p>
    <w:p w:rsidR="00C771FB" w:rsidRDefault="00C771FB">
      <w:pPr>
        <w:spacing w:line="588" w:lineRule="exact"/>
        <w:jc w:val="left"/>
        <w:rPr>
          <w:rFonts w:ascii="仿宋" w:eastAsia="仿宋" w:hAnsi="仿宋"/>
          <w:sz w:val="34"/>
          <w:szCs w:val="34"/>
        </w:rPr>
      </w:pPr>
    </w:p>
    <w:p w:rsidR="008E718D" w:rsidRDefault="008E718D">
      <w:pPr>
        <w:spacing w:line="588" w:lineRule="exact"/>
        <w:jc w:val="left"/>
        <w:rPr>
          <w:rFonts w:ascii="仿宋" w:eastAsia="仿宋" w:hAnsi="仿宋"/>
          <w:sz w:val="34"/>
          <w:szCs w:val="34"/>
        </w:rPr>
      </w:pPr>
    </w:p>
    <w:p w:rsidR="008E718D" w:rsidRDefault="008E718D">
      <w:pPr>
        <w:spacing w:line="588" w:lineRule="exact"/>
        <w:jc w:val="left"/>
        <w:rPr>
          <w:rFonts w:ascii="仿宋" w:eastAsia="仿宋" w:hAnsi="仿宋"/>
          <w:sz w:val="34"/>
          <w:szCs w:val="34"/>
        </w:rPr>
      </w:pPr>
    </w:p>
    <w:p w:rsidR="008E718D" w:rsidRDefault="008E718D">
      <w:pPr>
        <w:spacing w:line="588" w:lineRule="exact"/>
        <w:jc w:val="left"/>
        <w:rPr>
          <w:rFonts w:ascii="仿宋" w:eastAsia="仿宋" w:hAnsi="仿宋"/>
          <w:sz w:val="34"/>
          <w:szCs w:val="34"/>
        </w:rPr>
      </w:pPr>
    </w:p>
    <w:p w:rsidR="008E718D" w:rsidRDefault="008E718D">
      <w:pPr>
        <w:spacing w:line="588" w:lineRule="exact"/>
        <w:jc w:val="left"/>
        <w:rPr>
          <w:rFonts w:ascii="仿宋" w:eastAsia="仿宋" w:hAnsi="仿宋"/>
          <w:sz w:val="34"/>
          <w:szCs w:val="34"/>
        </w:rPr>
      </w:pPr>
    </w:p>
    <w:p w:rsidR="008E718D" w:rsidRPr="00374B0E" w:rsidRDefault="008E718D">
      <w:pPr>
        <w:spacing w:line="588" w:lineRule="exact"/>
        <w:jc w:val="left"/>
        <w:rPr>
          <w:rFonts w:ascii="仿宋" w:eastAsia="仿宋" w:hAnsi="仿宋"/>
          <w:sz w:val="34"/>
          <w:szCs w:val="34"/>
        </w:rPr>
      </w:pPr>
    </w:p>
    <w:tbl>
      <w:tblPr>
        <w:tblW w:w="9965" w:type="dxa"/>
        <w:tblInd w:w="-252" w:type="dxa"/>
        <w:tblLayout w:type="fixed"/>
        <w:tblLook w:val="0000"/>
      </w:tblPr>
      <w:tblGrid>
        <w:gridCol w:w="2340"/>
        <w:gridCol w:w="6923"/>
        <w:gridCol w:w="702"/>
      </w:tblGrid>
      <w:tr w:rsidR="008E718D" w:rsidRPr="00374B0E" w:rsidTr="00A87279">
        <w:trPr>
          <w:trHeight w:val="839"/>
        </w:trPr>
        <w:tc>
          <w:tcPr>
            <w:tcW w:w="9965" w:type="dxa"/>
            <w:gridSpan w:val="3"/>
            <w:vAlign w:val="center"/>
          </w:tcPr>
          <w:p w:rsidR="008E718D" w:rsidRPr="00374B0E" w:rsidRDefault="008E718D" w:rsidP="00A87279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4B0E">
              <w:rPr>
                <w:rFonts w:ascii="仿宋" w:eastAsia="仿宋" w:hAnsi="仿宋" w:cs="仿宋" w:hint="eastAsia"/>
                <w:sz w:val="44"/>
                <w:szCs w:val="44"/>
              </w:rPr>
              <w:t>职责事项信息表</w:t>
            </w:r>
          </w:p>
          <w:p w:rsidR="008E718D" w:rsidRPr="00374B0E" w:rsidRDefault="008E718D" w:rsidP="00A87279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 w:rsidRPr="00374B0E">
              <w:rPr>
                <w:rFonts w:ascii="仿宋" w:eastAsia="仿宋" w:hAnsi="仿宋" w:cs="仿宋" w:hint="eastAsia"/>
                <w:sz w:val="34"/>
                <w:szCs w:val="34"/>
                <w:u w:val="single"/>
              </w:rPr>
              <w:t>（价格认定）</w:t>
            </w:r>
            <w:r w:rsidRPr="00374B0E">
              <w:rPr>
                <w:rFonts w:ascii="仿宋" w:eastAsia="仿宋" w:hAnsi="仿宋" w:cs="仿宋" w:hint="eastAsia"/>
                <w:sz w:val="34"/>
                <w:szCs w:val="34"/>
              </w:rPr>
              <w:t>信息表</w:t>
            </w:r>
          </w:p>
        </w:tc>
      </w:tr>
      <w:tr w:rsidR="008E718D" w:rsidRPr="00462061" w:rsidTr="00A87279">
        <w:trPr>
          <w:gridAfter w:val="1"/>
          <w:wAfter w:w="702" w:type="dxa"/>
          <w:trHeight w:val="5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718D" w:rsidRPr="00462061" w:rsidRDefault="008E718D" w:rsidP="00A8727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 w:val="34"/>
                <w:szCs w:val="34"/>
              </w:rPr>
              <w:t xml:space="preserve">　</w:t>
            </w:r>
            <w:r w:rsidRPr="00462061">
              <w:rPr>
                <w:rFonts w:ascii="微软雅黑" w:eastAsia="微软雅黑" w:hAnsi="微软雅黑" w:cs="宋体" w:hint="eastAsia"/>
                <w:kern w:val="0"/>
                <w:sz w:val="24"/>
              </w:rPr>
              <w:t>2</w:t>
            </w:r>
            <w:r w:rsidRPr="00462061">
              <w:rPr>
                <w:rFonts w:ascii="微软雅黑" w:eastAsia="微软雅黑" w:hAnsi="微软雅黑" w:cs="宋体"/>
                <w:kern w:val="0"/>
                <w:sz w:val="24"/>
              </w:rPr>
              <w:t>.1</w:t>
            </w:r>
          </w:p>
        </w:tc>
      </w:tr>
      <w:tr w:rsidR="008E718D" w:rsidRPr="00AE3B42" w:rsidTr="00A87279">
        <w:trPr>
          <w:gridAfter w:val="1"/>
          <w:wAfter w:w="702" w:type="dxa"/>
          <w:trHeight w:val="498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718D" w:rsidRPr="00AE3B42" w:rsidRDefault="008E718D" w:rsidP="00A8727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E3B42">
              <w:rPr>
                <w:rFonts w:ascii="仿宋" w:eastAsia="仿宋" w:hAnsi="仿宋" w:hint="eastAsia"/>
                <w:sz w:val="24"/>
                <w:shd w:val="clear" w:color="auto" w:fill="FFFFFF"/>
              </w:rPr>
              <w:t>涉案、涉纪、</w:t>
            </w:r>
            <w:r w:rsidRPr="00AE3B42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涉税</w:t>
            </w:r>
            <w:r w:rsidRPr="00AE3B42">
              <w:rPr>
                <w:rFonts w:ascii="仿宋" w:eastAsia="仿宋" w:hAnsi="仿宋" w:hint="eastAsia"/>
                <w:sz w:val="24"/>
                <w:shd w:val="clear" w:color="auto" w:fill="FFFFFF"/>
              </w:rPr>
              <w:t>财物价格认定</w:t>
            </w:r>
          </w:p>
        </w:tc>
      </w:tr>
      <w:tr w:rsidR="008E718D" w:rsidRPr="00374B0E" w:rsidTr="00A87279">
        <w:trPr>
          <w:gridAfter w:val="1"/>
          <w:wAfter w:w="702" w:type="dxa"/>
          <w:trHeight w:val="1960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718D" w:rsidRPr="000C4875" w:rsidRDefault="008E718D" w:rsidP="00A87279">
            <w:pPr>
              <w:rPr>
                <w:rFonts w:ascii="仿宋" w:eastAsia="仿宋" w:hAnsi="仿宋"/>
                <w:szCs w:val="21"/>
              </w:rPr>
            </w:pPr>
            <w:r w:rsidRPr="000C4875">
              <w:rPr>
                <w:rFonts w:ascii="仿宋" w:eastAsia="仿宋" w:hAnsi="仿宋" w:hint="eastAsia"/>
                <w:szCs w:val="21"/>
              </w:rPr>
              <w:t>1、《中华人民共和国价格法》</w:t>
            </w:r>
          </w:p>
          <w:p w:rsidR="008E718D" w:rsidRPr="000C4875" w:rsidRDefault="008E718D" w:rsidP="00A87279">
            <w:pPr>
              <w:rPr>
                <w:rFonts w:ascii="仿宋" w:eastAsia="仿宋" w:hAnsi="仿宋"/>
                <w:szCs w:val="21"/>
              </w:rPr>
            </w:pPr>
            <w:r w:rsidRPr="000C4875">
              <w:rPr>
                <w:rFonts w:ascii="仿宋" w:eastAsia="仿宋" w:hAnsi="仿宋" w:hint="eastAsia"/>
                <w:szCs w:val="21"/>
              </w:rPr>
              <w:t>2、国家计划委员会、最高人民法院、最高人民检察院、公安部关于印发《扣押、追缴、没收物品估价管理办法》的通知（计办</w:t>
            </w:r>
            <w:r w:rsidRPr="000C4875">
              <w:rPr>
                <w:rFonts w:ascii="仿宋" w:eastAsia="仿宋" w:hAnsi="仿宋"/>
                <w:szCs w:val="21"/>
              </w:rPr>
              <w:t>[1997]808</w:t>
            </w:r>
            <w:r w:rsidRPr="000C4875">
              <w:rPr>
                <w:rFonts w:ascii="仿宋" w:eastAsia="仿宋" w:hAnsi="仿宋" w:hint="eastAsia"/>
                <w:szCs w:val="21"/>
              </w:rPr>
              <w:t>号）</w:t>
            </w:r>
          </w:p>
          <w:p w:rsidR="008E718D" w:rsidRPr="000C4875" w:rsidRDefault="008E718D" w:rsidP="00A87279">
            <w:pPr>
              <w:rPr>
                <w:rFonts w:ascii="仿宋" w:eastAsia="仿宋" w:hAnsi="仿宋"/>
                <w:szCs w:val="21"/>
              </w:rPr>
            </w:pPr>
            <w:r w:rsidRPr="000C4875">
              <w:rPr>
                <w:rFonts w:ascii="仿宋" w:eastAsia="仿宋" w:hAnsi="仿宋" w:hint="eastAsia"/>
                <w:szCs w:val="21"/>
              </w:rPr>
              <w:t>3、国家发展和改革委员会关于印发《价格认定规定》的通知（</w:t>
            </w:r>
            <w:proofErr w:type="gramStart"/>
            <w:r w:rsidRPr="000C4875">
              <w:rPr>
                <w:rFonts w:ascii="仿宋" w:eastAsia="仿宋" w:hAnsi="仿宋" w:hint="eastAsia"/>
                <w:szCs w:val="21"/>
              </w:rPr>
              <w:t>发改价格</w:t>
            </w:r>
            <w:proofErr w:type="gramEnd"/>
            <w:r w:rsidRPr="000C4875">
              <w:rPr>
                <w:rFonts w:ascii="仿宋" w:eastAsia="仿宋" w:hAnsi="仿宋"/>
                <w:szCs w:val="21"/>
              </w:rPr>
              <w:t>[2015]2251</w:t>
            </w:r>
            <w:r w:rsidRPr="000C4875">
              <w:rPr>
                <w:rFonts w:ascii="仿宋" w:eastAsia="仿宋" w:hAnsi="仿宋" w:hint="eastAsia"/>
                <w:szCs w:val="21"/>
              </w:rPr>
              <w:t>号</w:t>
            </w:r>
            <w:r>
              <w:rPr>
                <w:rFonts w:ascii="仿宋" w:eastAsia="仿宋" w:hAnsi="仿宋"/>
                <w:szCs w:val="21"/>
              </w:rPr>
              <w:t>）</w:t>
            </w:r>
          </w:p>
          <w:p w:rsidR="008E718D" w:rsidRPr="000C4875" w:rsidRDefault="008E718D" w:rsidP="00A87279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0C4875">
              <w:rPr>
                <w:rFonts w:ascii="仿宋" w:eastAsia="仿宋" w:hAnsi="仿宋" w:hint="eastAsia"/>
                <w:szCs w:val="21"/>
              </w:rPr>
              <w:t>4、天津市人民政府令第</w:t>
            </w:r>
            <w:r w:rsidRPr="000C4875">
              <w:rPr>
                <w:rFonts w:ascii="仿宋" w:eastAsia="仿宋" w:hAnsi="仿宋"/>
                <w:szCs w:val="21"/>
              </w:rPr>
              <w:t>48</w:t>
            </w:r>
            <w:r w:rsidRPr="000C4875">
              <w:rPr>
                <w:rFonts w:ascii="仿宋" w:eastAsia="仿宋" w:hAnsi="仿宋" w:hint="eastAsia"/>
                <w:szCs w:val="21"/>
              </w:rPr>
              <w:t>号《天津市涉案财物价格鉴定管理办法》</w:t>
            </w:r>
          </w:p>
          <w:p w:rsidR="008E718D" w:rsidRPr="000C4875" w:rsidRDefault="008E718D" w:rsidP="00A87279">
            <w:pPr>
              <w:rPr>
                <w:rFonts w:ascii="仿宋" w:eastAsia="仿宋" w:hAnsi="仿宋"/>
                <w:szCs w:val="21"/>
              </w:rPr>
            </w:pPr>
            <w:r w:rsidRPr="000C4875">
              <w:rPr>
                <w:rFonts w:ascii="仿宋" w:eastAsia="仿宋" w:hAnsi="仿宋" w:hint="eastAsia"/>
                <w:szCs w:val="21"/>
              </w:rPr>
              <w:t>5、中央纪委、</w:t>
            </w:r>
            <w:proofErr w:type="gramStart"/>
            <w:r w:rsidRPr="000C4875">
              <w:rPr>
                <w:rFonts w:ascii="仿宋" w:eastAsia="仿宋" w:hAnsi="仿宋" w:hint="eastAsia"/>
                <w:szCs w:val="21"/>
              </w:rPr>
              <w:t>国家发改委</w:t>
            </w:r>
            <w:proofErr w:type="gramEnd"/>
            <w:r w:rsidRPr="000C4875">
              <w:rPr>
                <w:rFonts w:ascii="仿宋" w:eastAsia="仿宋" w:hAnsi="仿宋" w:hint="eastAsia"/>
                <w:szCs w:val="21"/>
              </w:rPr>
              <w:t>、监察部、财政部《纪检监察机关查办案件涉案财物价格认定工作暂行办法》（中纪发</w:t>
            </w:r>
            <w:r w:rsidRPr="000C4875">
              <w:rPr>
                <w:rFonts w:ascii="仿宋" w:eastAsia="仿宋" w:hAnsi="仿宋"/>
                <w:szCs w:val="21"/>
              </w:rPr>
              <w:t>[2010]35</w:t>
            </w:r>
            <w:r w:rsidRPr="000C4875">
              <w:rPr>
                <w:rFonts w:ascii="仿宋" w:eastAsia="仿宋" w:hAnsi="仿宋" w:hint="eastAsia"/>
                <w:szCs w:val="21"/>
              </w:rPr>
              <w:t>号）</w:t>
            </w:r>
          </w:p>
          <w:p w:rsidR="008E718D" w:rsidRPr="000C4875" w:rsidRDefault="008E718D" w:rsidP="00A87279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0C4875">
              <w:rPr>
                <w:rFonts w:ascii="仿宋" w:eastAsia="仿宋" w:hAnsi="仿宋" w:hint="eastAsia"/>
                <w:szCs w:val="21"/>
              </w:rPr>
              <w:t>6、《天津市纪检监察机关查办案件涉案财物价格认定工作实施办法》（津纪发</w:t>
            </w:r>
            <w:r w:rsidRPr="000C4875">
              <w:rPr>
                <w:rFonts w:ascii="仿宋" w:eastAsia="仿宋" w:hAnsi="仿宋"/>
                <w:szCs w:val="21"/>
              </w:rPr>
              <w:t>[2012]4</w:t>
            </w:r>
            <w:r w:rsidRPr="000C4875">
              <w:rPr>
                <w:rFonts w:ascii="仿宋" w:eastAsia="仿宋" w:hAnsi="仿宋" w:hint="eastAsia"/>
                <w:szCs w:val="21"/>
              </w:rPr>
              <w:t>号）</w:t>
            </w:r>
          </w:p>
          <w:p w:rsidR="008E718D" w:rsidRPr="00374B0E" w:rsidRDefault="008E718D" w:rsidP="00A87279">
            <w:pPr>
              <w:rPr>
                <w:rFonts w:ascii="仿宋" w:eastAsia="仿宋" w:hAnsi="仿宋"/>
                <w:color w:val="000000"/>
              </w:rPr>
            </w:pPr>
            <w:r w:rsidRPr="000C4875">
              <w:rPr>
                <w:rFonts w:ascii="仿宋" w:eastAsia="仿宋" w:hAnsi="仿宋" w:hint="eastAsia"/>
                <w:color w:val="000000"/>
                <w:szCs w:val="21"/>
              </w:rPr>
              <w:t>7、《关于开展涉税财物价格认定工作的指导意见》（</w:t>
            </w:r>
            <w:proofErr w:type="gramStart"/>
            <w:r w:rsidRPr="000C4875">
              <w:rPr>
                <w:rFonts w:ascii="仿宋" w:eastAsia="仿宋" w:hAnsi="仿宋" w:hint="eastAsia"/>
                <w:color w:val="000000"/>
                <w:szCs w:val="21"/>
              </w:rPr>
              <w:t>发改价格</w:t>
            </w:r>
            <w:proofErr w:type="gramEnd"/>
            <w:r w:rsidRPr="000C4875">
              <w:rPr>
                <w:rFonts w:ascii="仿宋" w:eastAsia="仿宋" w:hAnsi="仿宋"/>
                <w:color w:val="000000"/>
                <w:szCs w:val="21"/>
              </w:rPr>
              <w:t>[2010]770</w:t>
            </w:r>
            <w:r w:rsidRPr="000C4875">
              <w:rPr>
                <w:rFonts w:ascii="仿宋" w:eastAsia="仿宋" w:hAnsi="仿宋" w:hint="eastAsia"/>
                <w:color w:val="000000"/>
                <w:szCs w:val="21"/>
              </w:rPr>
              <w:t>号）</w:t>
            </w:r>
          </w:p>
        </w:tc>
      </w:tr>
      <w:tr w:rsidR="008E718D" w:rsidRPr="00374B0E" w:rsidTr="00A87279">
        <w:trPr>
          <w:gridAfter w:val="1"/>
          <w:wAfter w:w="702" w:type="dxa"/>
          <w:trHeight w:val="656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Cs w:val="21"/>
              </w:rPr>
              <w:t>天津市南开区公共信用中心（天津市南开区价格认证中心）</w:t>
            </w:r>
          </w:p>
        </w:tc>
      </w:tr>
      <w:tr w:rsidR="008E718D" w:rsidRPr="00374B0E" w:rsidTr="00A87279">
        <w:trPr>
          <w:gridAfter w:val="1"/>
          <w:wAfter w:w="702" w:type="dxa"/>
          <w:trHeight w:val="566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Cs w:val="21"/>
              </w:rPr>
              <w:t>南开区区级权限</w:t>
            </w:r>
          </w:p>
        </w:tc>
      </w:tr>
      <w:tr w:rsidR="008E718D" w:rsidRPr="00374B0E" w:rsidTr="00A87279">
        <w:trPr>
          <w:gridAfter w:val="1"/>
          <w:wAfter w:w="702" w:type="dxa"/>
          <w:trHeight w:val="631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jc w:val="left"/>
              <w:rPr>
                <w:rFonts w:ascii="仿宋" w:eastAsia="仿宋" w:hAnsi="仿宋" w:cs="宋体"/>
                <w:kern w:val="0"/>
                <w:sz w:val="34"/>
                <w:szCs w:val="34"/>
              </w:rPr>
            </w:pPr>
            <w:r>
              <w:rPr>
                <w:rFonts w:ascii="仿宋" w:eastAsia="仿宋" w:hAnsi="仿宋" w:hint="eastAsia"/>
              </w:rPr>
              <w:t>提出</w:t>
            </w:r>
            <w:r w:rsidRPr="00374B0E">
              <w:rPr>
                <w:rFonts w:ascii="仿宋" w:eastAsia="仿宋" w:hAnsi="仿宋" w:hint="eastAsia"/>
              </w:rPr>
              <w:t>→受理→调查→结论→送达</w:t>
            </w:r>
          </w:p>
        </w:tc>
      </w:tr>
      <w:tr w:rsidR="008E718D" w:rsidRPr="00374B0E" w:rsidTr="00A87279">
        <w:trPr>
          <w:gridAfter w:val="1"/>
          <w:wAfter w:w="702" w:type="dxa"/>
          <w:trHeight w:val="697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Cs w:val="21"/>
              </w:rPr>
              <w:t>价格认定协助书、价格认定标的明细表及相关材料</w:t>
            </w:r>
          </w:p>
        </w:tc>
      </w:tr>
      <w:tr w:rsidR="008E718D" w:rsidRPr="003D5CFF" w:rsidTr="00A87279">
        <w:trPr>
          <w:gridAfter w:val="1"/>
          <w:wAfter w:w="702" w:type="dxa"/>
          <w:trHeight w:val="1005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jc w:val="left"/>
              <w:rPr>
                <w:rFonts w:ascii="仿宋" w:eastAsia="仿宋" w:hAnsi="仿宋"/>
              </w:rPr>
            </w:pPr>
            <w:r w:rsidRPr="00374B0E">
              <w:rPr>
                <w:rFonts w:ascii="仿宋" w:eastAsia="仿宋" w:hAnsi="仿宋" w:hint="eastAsia"/>
              </w:rPr>
              <w:t>1、价格认定机构</w:t>
            </w:r>
            <w:r>
              <w:rPr>
                <w:rFonts w:ascii="仿宋" w:eastAsia="仿宋" w:hAnsi="仿宋" w:hint="eastAsia"/>
              </w:rPr>
              <w:t>的受理需要价格认定</w:t>
            </w:r>
            <w:r w:rsidRPr="00374B0E">
              <w:rPr>
                <w:rFonts w:ascii="仿宋" w:eastAsia="仿宋" w:hAnsi="仿宋" w:hint="eastAsia"/>
              </w:rPr>
              <w:t>提出机关</w:t>
            </w:r>
            <w:r>
              <w:rPr>
                <w:rFonts w:ascii="仿宋" w:eastAsia="仿宋" w:hAnsi="仿宋" w:hint="eastAsia"/>
              </w:rPr>
              <w:t>向价格认定机构</w:t>
            </w:r>
            <w:r w:rsidRPr="00374B0E">
              <w:rPr>
                <w:rFonts w:ascii="仿宋" w:eastAsia="仿宋" w:hAnsi="仿宋" w:hint="eastAsia"/>
              </w:rPr>
              <w:t>提交</w:t>
            </w:r>
            <w:r>
              <w:rPr>
                <w:rFonts w:ascii="仿宋" w:eastAsia="仿宋" w:hAnsi="仿宋" w:hint="eastAsia"/>
              </w:rPr>
              <w:t>齐全的</w:t>
            </w:r>
            <w:r w:rsidRPr="00374B0E">
              <w:rPr>
                <w:rFonts w:ascii="仿宋" w:eastAsia="仿宋" w:hAnsi="仿宋" w:hint="eastAsia"/>
              </w:rPr>
              <w:t>《</w:t>
            </w:r>
            <w:r w:rsidRPr="00374B0E">
              <w:rPr>
                <w:rFonts w:ascii="仿宋" w:eastAsia="仿宋" w:hAnsi="仿宋" w:cs="宋体" w:hint="eastAsia"/>
                <w:kern w:val="0"/>
                <w:szCs w:val="21"/>
              </w:rPr>
              <w:t>价格认定协助书</w:t>
            </w:r>
            <w:r w:rsidRPr="00374B0E">
              <w:rPr>
                <w:rFonts w:ascii="仿宋" w:eastAsia="仿宋" w:hAnsi="仿宋" w:hint="eastAsia"/>
              </w:rPr>
              <w:t>》</w:t>
            </w:r>
            <w:r w:rsidRPr="00374B0E">
              <w:rPr>
                <w:rFonts w:ascii="仿宋" w:eastAsia="仿宋" w:hAnsi="仿宋" w:cs="宋体" w:hint="eastAsia"/>
                <w:kern w:val="0"/>
                <w:szCs w:val="21"/>
              </w:rPr>
              <w:t>、《价格认定标的明细表》及相关材料。</w:t>
            </w:r>
          </w:p>
          <w:p w:rsidR="008E718D" w:rsidRPr="00374B0E" w:rsidRDefault="008E718D" w:rsidP="00A87279">
            <w:pPr>
              <w:widowControl/>
              <w:jc w:val="left"/>
              <w:rPr>
                <w:rFonts w:ascii="仿宋" w:eastAsia="仿宋" w:hAnsi="仿宋"/>
              </w:rPr>
            </w:pPr>
            <w:r w:rsidRPr="00374B0E">
              <w:rPr>
                <w:rFonts w:ascii="仿宋" w:eastAsia="仿宋" w:hAnsi="仿宋" w:hint="eastAsia"/>
              </w:rPr>
              <w:t>2、价格认定机构受理价格认定后，指派2</w:t>
            </w:r>
            <w:r>
              <w:rPr>
                <w:rFonts w:ascii="仿宋" w:eastAsia="仿宋" w:hAnsi="仿宋" w:hint="eastAsia"/>
              </w:rPr>
              <w:t>名工作人员组成价格认定</w:t>
            </w:r>
            <w:r w:rsidRPr="00374B0E">
              <w:rPr>
                <w:rFonts w:ascii="仿宋" w:eastAsia="仿宋" w:hAnsi="仿宋" w:hint="eastAsia"/>
              </w:rPr>
              <w:t>小组，办理价格认定事项。</w:t>
            </w:r>
          </w:p>
          <w:p w:rsidR="008E718D" w:rsidRPr="00374B0E" w:rsidRDefault="008E718D" w:rsidP="00A87279">
            <w:pPr>
              <w:widowControl/>
              <w:jc w:val="left"/>
              <w:rPr>
                <w:rFonts w:ascii="仿宋" w:eastAsia="仿宋" w:hAnsi="仿宋"/>
              </w:rPr>
            </w:pPr>
            <w:r w:rsidRPr="00374B0E"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 w:hint="eastAsia"/>
              </w:rPr>
              <w:t>、价格认定机构</w:t>
            </w:r>
            <w:r w:rsidRPr="00374B0E">
              <w:rPr>
                <w:rFonts w:ascii="仿宋" w:eastAsia="仿宋" w:hAnsi="仿宋" w:hint="eastAsia"/>
              </w:rPr>
              <w:t>应当在</w:t>
            </w:r>
            <w:r>
              <w:rPr>
                <w:rFonts w:ascii="仿宋" w:eastAsia="仿宋" w:hAnsi="仿宋" w:hint="eastAsia"/>
              </w:rPr>
              <w:t>接受价格认定</w:t>
            </w:r>
            <w:r w:rsidRPr="00374B0E">
              <w:rPr>
                <w:rFonts w:ascii="仿宋" w:eastAsia="仿宋" w:hAnsi="仿宋" w:hint="eastAsia"/>
              </w:rPr>
              <w:t>提出机关</w:t>
            </w:r>
            <w:r>
              <w:rPr>
                <w:rFonts w:ascii="仿宋" w:eastAsia="仿宋" w:hAnsi="仿宋" w:hint="eastAsia"/>
              </w:rPr>
              <w:t>提出</w:t>
            </w:r>
            <w:r w:rsidRPr="00374B0E">
              <w:rPr>
                <w:rFonts w:ascii="仿宋" w:eastAsia="仿宋" w:hAnsi="仿宋" w:hint="eastAsia"/>
              </w:rPr>
              <w:t>价格认定事项之日起7</w:t>
            </w:r>
            <w:r>
              <w:rPr>
                <w:rFonts w:ascii="仿宋" w:eastAsia="仿宋" w:hAnsi="仿宋" w:hint="eastAsia"/>
              </w:rPr>
              <w:t>个工作日内</w:t>
            </w:r>
            <w:proofErr w:type="gramStart"/>
            <w:r>
              <w:rPr>
                <w:rFonts w:ascii="仿宋" w:eastAsia="仿宋" w:hAnsi="仿宋" w:hint="eastAsia"/>
              </w:rPr>
              <w:t>作出</w:t>
            </w:r>
            <w:proofErr w:type="gramEnd"/>
            <w:r>
              <w:rPr>
                <w:rFonts w:ascii="仿宋" w:eastAsia="仿宋" w:hAnsi="仿宋" w:hint="eastAsia"/>
              </w:rPr>
              <w:t>价格认定结论</w:t>
            </w:r>
            <w:r w:rsidRPr="00374B0E">
              <w:rPr>
                <w:rFonts w:ascii="仿宋" w:eastAsia="仿宋" w:hAnsi="仿宋" w:hint="eastAsia"/>
              </w:rPr>
              <w:t>；另有约定的，在约定期限内</w:t>
            </w:r>
            <w:proofErr w:type="gramStart"/>
            <w:r w:rsidRPr="00374B0E">
              <w:rPr>
                <w:rFonts w:ascii="仿宋" w:eastAsia="仿宋" w:hAnsi="仿宋" w:hint="eastAsia"/>
              </w:rPr>
              <w:t>作出</w:t>
            </w:r>
            <w:proofErr w:type="gramEnd"/>
            <w:r w:rsidRPr="00374B0E">
              <w:rPr>
                <w:rFonts w:ascii="仿宋" w:eastAsia="仿宋" w:hAnsi="仿宋" w:hint="eastAsia"/>
              </w:rPr>
              <w:t>。</w:t>
            </w:r>
          </w:p>
          <w:p w:rsidR="008E718D" w:rsidRPr="00374B0E" w:rsidRDefault="008E718D" w:rsidP="00A87279">
            <w:pPr>
              <w:widowControl/>
              <w:jc w:val="left"/>
              <w:rPr>
                <w:rFonts w:ascii="仿宋" w:eastAsia="仿宋" w:hAnsi="仿宋"/>
              </w:rPr>
            </w:pPr>
            <w:r w:rsidRPr="00374B0E"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、价格认定结论书出具后，及时送达价格认定提出机关，并在送达回证</w:t>
            </w:r>
            <w:r w:rsidRPr="00374B0E">
              <w:rPr>
                <w:rFonts w:ascii="仿宋" w:eastAsia="仿宋" w:hAnsi="仿宋" w:hint="eastAsia"/>
              </w:rPr>
              <w:t>上签字。</w:t>
            </w:r>
          </w:p>
          <w:p w:rsidR="008E718D" w:rsidRPr="003D5CFF" w:rsidRDefault="008E718D" w:rsidP="00A87279">
            <w:pPr>
              <w:widowControl/>
              <w:jc w:val="left"/>
              <w:rPr>
                <w:rFonts w:ascii="仿宋" w:eastAsia="仿宋" w:hAnsi="仿宋"/>
              </w:rPr>
            </w:pPr>
            <w:r w:rsidRPr="00374B0E">
              <w:rPr>
                <w:rFonts w:ascii="仿宋" w:eastAsia="仿宋" w:hAnsi="仿宋" w:hint="eastAsia"/>
              </w:rPr>
              <w:t>5、价格认定机构</w:t>
            </w:r>
            <w:proofErr w:type="gramStart"/>
            <w:r w:rsidRPr="00374B0E">
              <w:rPr>
                <w:rFonts w:ascii="仿宋" w:eastAsia="仿宋" w:hAnsi="仿宋" w:hint="eastAsia"/>
              </w:rPr>
              <w:t>作出</w:t>
            </w:r>
            <w:proofErr w:type="gramEnd"/>
            <w:r w:rsidRPr="00374B0E">
              <w:rPr>
                <w:rFonts w:ascii="仿宋" w:eastAsia="仿宋" w:hAnsi="仿宋" w:hint="eastAsia"/>
              </w:rPr>
              <w:t>的价格认定结论，</w:t>
            </w:r>
            <w:proofErr w:type="gramStart"/>
            <w:r w:rsidRPr="00374B0E">
              <w:rPr>
                <w:rFonts w:ascii="仿宋" w:eastAsia="仿宋" w:hAnsi="仿宋" w:hint="eastAsia"/>
              </w:rPr>
              <w:t>经提出</w:t>
            </w:r>
            <w:proofErr w:type="gramEnd"/>
            <w:r w:rsidRPr="00374B0E">
              <w:rPr>
                <w:rFonts w:ascii="仿宋" w:eastAsia="仿宋" w:hAnsi="仿宋" w:hint="eastAsia"/>
              </w:rPr>
              <w:t>机关确认后，作为</w:t>
            </w:r>
            <w:r>
              <w:rPr>
                <w:rFonts w:ascii="仿宋" w:eastAsia="仿宋" w:hAnsi="仿宋" w:hint="eastAsia"/>
              </w:rPr>
              <w:t>纪检监察、</w:t>
            </w:r>
            <w:r w:rsidRPr="00374B0E">
              <w:rPr>
                <w:rFonts w:ascii="仿宋" w:eastAsia="仿宋" w:hAnsi="仿宋" w:hint="eastAsia"/>
              </w:rPr>
              <w:t>司法</w:t>
            </w:r>
            <w:r>
              <w:rPr>
                <w:rFonts w:ascii="仿宋" w:eastAsia="仿宋" w:hAnsi="仿宋" w:hint="eastAsia"/>
              </w:rPr>
              <w:t>和行政</w:t>
            </w:r>
            <w:r w:rsidRPr="00374B0E">
              <w:rPr>
                <w:rFonts w:ascii="仿宋" w:eastAsia="仿宋" w:hAnsi="仿宋" w:hint="eastAsia"/>
              </w:rPr>
              <w:t>工作的依据。</w:t>
            </w:r>
          </w:p>
        </w:tc>
      </w:tr>
      <w:tr w:rsidR="008E718D" w:rsidRPr="00374B0E" w:rsidTr="00A87279">
        <w:trPr>
          <w:gridAfter w:val="1"/>
          <w:wAfter w:w="702" w:type="dxa"/>
          <w:trHeight w:val="1005"/>
        </w:trPr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8D" w:rsidRPr="00374B0E" w:rsidRDefault="008E718D" w:rsidP="00A87279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Cs w:val="21"/>
              </w:rPr>
              <w:t>电    话：27581352</w:t>
            </w:r>
          </w:p>
          <w:p w:rsidR="008E718D" w:rsidRPr="00374B0E" w:rsidRDefault="008E718D" w:rsidP="00A87279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74B0E">
              <w:rPr>
                <w:rFonts w:ascii="仿宋" w:eastAsia="仿宋" w:hAnsi="仿宋" w:cs="宋体" w:hint="eastAsia"/>
                <w:kern w:val="0"/>
                <w:szCs w:val="21"/>
              </w:rPr>
              <w:t>电子邮箱：</w:t>
            </w:r>
            <w:r w:rsidRPr="00374B0E">
              <w:rPr>
                <w:rFonts w:ascii="仿宋" w:eastAsia="仿宋" w:hAnsi="仿宋" w:cs="宋体"/>
                <w:kern w:val="0"/>
                <w:szCs w:val="21"/>
              </w:rPr>
              <w:t>nk</w:t>
            </w:r>
            <w:r w:rsidRPr="00374B0E">
              <w:rPr>
                <w:rFonts w:ascii="仿宋" w:eastAsia="仿宋" w:hAnsi="仿宋" w:cs="宋体" w:hint="eastAsia"/>
                <w:kern w:val="0"/>
                <w:szCs w:val="21"/>
              </w:rPr>
              <w:t>qfgw</w:t>
            </w:r>
            <w:r w:rsidR="00DA5E70">
              <w:rPr>
                <w:rFonts w:ascii="仿宋" w:eastAsia="仿宋" w:hAnsi="仿宋" w:cs="宋体" w:hint="eastAsia"/>
                <w:kern w:val="0"/>
                <w:szCs w:val="21"/>
              </w:rPr>
              <w:t>_jgglk</w:t>
            </w:r>
            <w:r w:rsidRPr="00374B0E">
              <w:rPr>
                <w:rFonts w:ascii="仿宋" w:eastAsia="仿宋" w:hAnsi="仿宋" w:cs="宋体"/>
                <w:kern w:val="0"/>
                <w:szCs w:val="21"/>
              </w:rPr>
              <w:t>@</w:t>
            </w:r>
            <w:r w:rsidRPr="00374B0E">
              <w:rPr>
                <w:rFonts w:ascii="仿宋" w:eastAsia="仿宋" w:hAnsi="仿宋" w:cs="宋体" w:hint="eastAsia"/>
                <w:kern w:val="0"/>
                <w:szCs w:val="21"/>
              </w:rPr>
              <w:t>tj</w:t>
            </w:r>
            <w:r w:rsidRPr="00374B0E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374B0E">
              <w:rPr>
                <w:rFonts w:ascii="仿宋" w:eastAsia="仿宋" w:hAnsi="仿宋" w:cs="宋体" w:hint="eastAsia"/>
                <w:kern w:val="0"/>
                <w:szCs w:val="21"/>
              </w:rPr>
              <w:t>gov.cn</w:t>
            </w:r>
          </w:p>
          <w:p w:rsidR="008E718D" w:rsidRPr="00374B0E" w:rsidRDefault="008E718D" w:rsidP="00A87279">
            <w:pPr>
              <w:widowControl/>
              <w:jc w:val="left"/>
              <w:rPr>
                <w:rFonts w:ascii="仿宋" w:eastAsia="仿宋" w:hAnsi="仿宋" w:cs="宋体"/>
                <w:kern w:val="0"/>
                <w:sz w:val="34"/>
                <w:szCs w:val="34"/>
              </w:rPr>
            </w:pPr>
            <w:r w:rsidRPr="00374B0E">
              <w:rPr>
                <w:rFonts w:ascii="仿宋" w:eastAsia="仿宋" w:hAnsi="仿宋" w:hint="eastAsia"/>
              </w:rPr>
              <w:t>地    址：南开区黄河道390号</w:t>
            </w:r>
          </w:p>
        </w:tc>
      </w:tr>
    </w:tbl>
    <w:p w:rsidR="00C771FB" w:rsidRDefault="00C771FB" w:rsidP="008E718D"/>
    <w:sectPr w:rsidR="00C771FB" w:rsidSect="006E2A40">
      <w:pgSz w:w="11906" w:h="16838"/>
      <w:pgMar w:top="1304" w:right="1701" w:bottom="1304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26" w:rsidRDefault="00C12126" w:rsidP="005167E6">
      <w:r>
        <w:separator/>
      </w:r>
    </w:p>
  </w:endnote>
  <w:endnote w:type="continuationSeparator" w:id="0">
    <w:p w:rsidR="00C12126" w:rsidRDefault="00C12126" w:rsidP="0051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26" w:rsidRDefault="00C12126" w:rsidP="005167E6">
      <w:r>
        <w:separator/>
      </w:r>
    </w:p>
  </w:footnote>
  <w:footnote w:type="continuationSeparator" w:id="0">
    <w:p w:rsidR="00C12126" w:rsidRDefault="00C12126" w:rsidP="00516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861D2"/>
    <w:multiLevelType w:val="hybridMultilevel"/>
    <w:tmpl w:val="3B72F740"/>
    <w:lvl w:ilvl="0" w:tplc="CA22358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7E6"/>
    <w:rsid w:val="00057A99"/>
    <w:rsid w:val="00064283"/>
    <w:rsid w:val="00066A0E"/>
    <w:rsid w:val="00076B76"/>
    <w:rsid w:val="000C4875"/>
    <w:rsid w:val="000C7AAE"/>
    <w:rsid w:val="0011276E"/>
    <w:rsid w:val="00137E53"/>
    <w:rsid w:val="001A6A93"/>
    <w:rsid w:val="001F0025"/>
    <w:rsid w:val="00225243"/>
    <w:rsid w:val="002422AB"/>
    <w:rsid w:val="002C783D"/>
    <w:rsid w:val="0032300F"/>
    <w:rsid w:val="00374B0E"/>
    <w:rsid w:val="003D5CFF"/>
    <w:rsid w:val="003D772A"/>
    <w:rsid w:val="003E3147"/>
    <w:rsid w:val="003E344E"/>
    <w:rsid w:val="003F1B07"/>
    <w:rsid w:val="00436653"/>
    <w:rsid w:val="00462061"/>
    <w:rsid w:val="00466531"/>
    <w:rsid w:val="004954AC"/>
    <w:rsid w:val="004E2B77"/>
    <w:rsid w:val="005167E6"/>
    <w:rsid w:val="00595AA2"/>
    <w:rsid w:val="005B0BA7"/>
    <w:rsid w:val="005E2028"/>
    <w:rsid w:val="00620826"/>
    <w:rsid w:val="006E2A40"/>
    <w:rsid w:val="00721531"/>
    <w:rsid w:val="00787442"/>
    <w:rsid w:val="008A09FF"/>
    <w:rsid w:val="008D5354"/>
    <w:rsid w:val="008E718D"/>
    <w:rsid w:val="00931EEA"/>
    <w:rsid w:val="009635E5"/>
    <w:rsid w:val="00977D1D"/>
    <w:rsid w:val="009D6C4C"/>
    <w:rsid w:val="009E3F92"/>
    <w:rsid w:val="00A301BB"/>
    <w:rsid w:val="00A33F98"/>
    <w:rsid w:val="00A65864"/>
    <w:rsid w:val="00AE3B42"/>
    <w:rsid w:val="00B10611"/>
    <w:rsid w:val="00B21FC8"/>
    <w:rsid w:val="00B41F2F"/>
    <w:rsid w:val="00BE68E2"/>
    <w:rsid w:val="00C12126"/>
    <w:rsid w:val="00C338C9"/>
    <w:rsid w:val="00C345DC"/>
    <w:rsid w:val="00C64ED7"/>
    <w:rsid w:val="00C7565E"/>
    <w:rsid w:val="00C771FB"/>
    <w:rsid w:val="00D26CF0"/>
    <w:rsid w:val="00D61279"/>
    <w:rsid w:val="00D91E3A"/>
    <w:rsid w:val="00DA46C7"/>
    <w:rsid w:val="00DA5E70"/>
    <w:rsid w:val="00E33E06"/>
    <w:rsid w:val="00FB0509"/>
    <w:rsid w:val="00FB3646"/>
    <w:rsid w:val="00FB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locked="1"/>
    <w:lsdException w:name="footer" w:locked="1"/>
    <w:lsdException w:name="index heading" w:semiHidden="1" w:uiPriority="99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1" w:qFormat="1"/>
    <w:lsdException w:name="Closing" w:semiHidden="1" w:uiPriority="99" w:unhideWhenUsed="1"/>
    <w:lsdException w:name="Signature" w:semiHidden="1" w:uiPriority="99" w:unhideWhenUsed="1"/>
    <w:lsdException w:name="Default Paragraph Font" w:lock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locked="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1"/>
    <w:lsdException w:name="HTML Bottom of Form" w:lock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1"/>
    <w:lsdException w:name="annotation subject" w:semiHidden="1" w:uiPriority="99" w:unhideWhenUs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iPriority="99" w:unhideWhenUs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7E6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16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167E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1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5167E6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qFormat/>
    <w:locked/>
    <w:rsid w:val="002422AB"/>
    <w:rPr>
      <w:b/>
    </w:rPr>
  </w:style>
  <w:style w:type="paragraph" w:styleId="a6">
    <w:name w:val="Normal (Web)"/>
    <w:basedOn w:val="a"/>
    <w:rsid w:val="002422AB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B4FAB-3992-448C-BE22-FEB69389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职责目录模板</dc:title>
  <dc:subject/>
  <dc:creator>NSJ001</dc:creator>
  <cp:keywords/>
  <dc:description/>
  <cp:lastModifiedBy>PC</cp:lastModifiedBy>
  <cp:revision>45</cp:revision>
  <cp:lastPrinted>2020-12-01T00:57:00Z</cp:lastPrinted>
  <dcterms:created xsi:type="dcterms:W3CDTF">2017-12-01T04:29:00Z</dcterms:created>
  <dcterms:modified xsi:type="dcterms:W3CDTF">2020-12-07T08:40:00Z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