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auto"/>
        <w:jc w:val="both"/>
        <w:rPr>
          <w:rFonts w:hint="eastAsia" w:asciiTheme="minorEastAsia" w:hAnsiTheme="minorEastAsia" w:eastAsiaTheme="minorEastAsia" w:cstheme="minorEastAsia"/>
          <w:b w:val="0"/>
          <w:bCs w:val="0"/>
          <w:color w:val="000000"/>
          <w:sz w:val="22"/>
          <w:szCs w:val="22"/>
        </w:rPr>
      </w:pPr>
    </w:p>
    <w:p>
      <w:pPr>
        <w:spacing w:line="600" w:lineRule="auto"/>
        <w:jc w:val="both"/>
        <w:rPr>
          <w:rFonts w:hint="eastAsia" w:asciiTheme="minorEastAsia" w:hAnsiTheme="minorEastAsia" w:eastAsiaTheme="minorEastAsia" w:cstheme="minorEastAsia"/>
          <w:b w:val="0"/>
          <w:bCs w:val="0"/>
          <w:color w:val="000000"/>
          <w:sz w:val="22"/>
          <w:szCs w:val="22"/>
        </w:rPr>
      </w:pPr>
    </w:p>
    <w:p>
      <w:pPr>
        <w:spacing w:line="600" w:lineRule="auto"/>
        <w:jc w:val="both"/>
        <w:rPr>
          <w:rFonts w:hint="eastAsia" w:asciiTheme="minorEastAsia" w:hAnsiTheme="minorEastAsia" w:eastAsiaTheme="minorEastAsia" w:cstheme="minorEastAsia"/>
          <w:b w:val="0"/>
          <w:bCs w:val="0"/>
          <w:color w:val="000000"/>
          <w:sz w:val="22"/>
          <w:szCs w:val="22"/>
        </w:rPr>
      </w:pPr>
    </w:p>
    <w:p>
      <w:pPr>
        <w:widowControl/>
        <w:spacing w:before="0" w:beforeLines="0" w:beforeAutospacing="0" w:after="0" w:afterLines="0" w:afterAutospacing="0" w:line="240" w:lineRule="auto"/>
        <w:jc w:val="center"/>
        <w:rPr>
          <w:rFonts w:ascii="Fz_S_BiaoSong_Jt" w:eastAsia="Fz_S_BiaoSong_Jt"/>
          <w:sz w:val="48"/>
          <w:szCs w:val="48"/>
        </w:rPr>
      </w:pPr>
      <w:r>
        <w:rPr>
          <w:rFonts w:ascii="Fz_S_BiaoSong_Jt" w:eastAsia="Fz_S_BiaoSong_Jt"/>
          <w:b w:val="0"/>
          <w:sz w:val="48"/>
          <w:szCs w:val="48"/>
        </w:rPr>
        <w:t>天津市南开区科技创新发展中心</w:t>
      </w:r>
    </w:p>
    <w:p>
      <w:pPr>
        <w:widowControl/>
        <w:spacing w:before="0" w:beforeLines="0" w:beforeAutospacing="0" w:after="0" w:afterLines="0" w:afterAutospacing="0" w:line="240" w:lineRule="auto"/>
        <w:jc w:val="center"/>
        <w:rPr>
          <w:rFonts w:ascii="Times New Roman" w:eastAsia="Fz_S_BiaoSong_Jt"/>
          <w:sz w:val="48"/>
          <w:szCs w:val="48"/>
        </w:rPr>
      </w:pPr>
      <w:r>
        <w:rPr>
          <w:rFonts w:ascii="Times New Roman" w:eastAsia="Fz_S_BiaoSong_Jt"/>
          <w:b w:val="0"/>
          <w:sz w:val="48"/>
          <w:szCs w:val="48"/>
        </w:rPr>
        <w:t>2024年度部门决算</w:t>
      </w:r>
    </w:p>
    <w:p>
      <w:pPr>
        <w:spacing w:line="600" w:lineRule="auto"/>
        <w:jc w:val="both"/>
        <w:rPr>
          <w:rFonts w:hint="eastAsia" w:asciiTheme="minorEastAsia" w:hAnsiTheme="minorEastAsia" w:eastAsiaTheme="minorEastAsia" w:cstheme="minorEastAsia"/>
          <w:b w:val="0"/>
          <w:bCs w:val="0"/>
          <w:color w:val="000000"/>
          <w:sz w:val="22"/>
          <w:szCs w:val="22"/>
        </w:rPr>
      </w:pPr>
    </w:p>
    <w:p>
      <w:pPr>
        <w:spacing w:line="600" w:lineRule="auto"/>
        <w:jc w:val="both"/>
        <w:rPr>
          <w:rFonts w:hint="eastAsia" w:asciiTheme="minorEastAsia" w:hAnsiTheme="minorEastAsia" w:eastAsiaTheme="minorEastAsia" w:cstheme="minorEastAsia"/>
          <w:b w:val="0"/>
          <w:bCs w:val="0"/>
          <w:color w:val="000000"/>
          <w:sz w:val="22"/>
          <w:szCs w:val="22"/>
        </w:rPr>
      </w:pPr>
    </w:p>
    <w:p>
      <w:pPr>
        <w:spacing w:line="600" w:lineRule="auto"/>
        <w:jc w:val="both"/>
        <w:rPr>
          <w:rFonts w:hint="eastAsia" w:asciiTheme="minorEastAsia" w:hAnsiTheme="minorEastAsia" w:eastAsiaTheme="minorEastAsia" w:cstheme="minorEastAsia"/>
          <w:b w:val="0"/>
          <w:bCs w:val="0"/>
          <w:color w:val="000000"/>
          <w:sz w:val="22"/>
          <w:szCs w:val="22"/>
        </w:rPr>
      </w:pPr>
    </w:p>
    <w:p>
      <w:pPr>
        <w:rPr>
          <w:rFonts w:hint="eastAsia" w:asciiTheme="minorEastAsia" w:hAnsiTheme="minorEastAsia" w:eastAsiaTheme="minorEastAsia" w:cstheme="minorEastAsia"/>
          <w:b w:val="0"/>
          <w:bCs w:val="0"/>
          <w:color w:val="000000"/>
          <w:sz w:val="22"/>
          <w:szCs w:val="22"/>
        </w:rPr>
      </w:pPr>
      <w:r>
        <w:rPr>
          <w:rFonts w:hint="eastAsia" w:asciiTheme="minorEastAsia" w:hAnsiTheme="minorEastAsia" w:eastAsiaTheme="minorEastAsia" w:cstheme="minorEastAsia"/>
          <w:b w:val="0"/>
          <w:bCs w:val="0"/>
          <w:color w:val="000000"/>
          <w:sz w:val="22"/>
          <w:szCs w:val="22"/>
        </w:rPr>
        <w:br w:type="page"/>
      </w: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目  录</w:t>
      </w:r>
    </w:p>
    <w:p>
      <w:pPr>
        <w:widowControl/>
        <w:spacing w:before="0" w:beforeLines="0" w:beforeAutospacing="0" w:after="0" w:afterLines="0" w:afterAutospacing="0" w:line="240" w:lineRule="auto"/>
        <w:jc w:val="left"/>
        <w:rPr>
          <w:rFonts w:ascii="黑体" w:eastAsia="黑体"/>
          <w:sz w:val="30"/>
          <w:szCs w:val="30"/>
        </w:rPr>
      </w:pPr>
      <w:r>
        <w:rPr>
          <w:rFonts w:ascii="黑体" w:eastAsia="黑体"/>
          <w:b w:val="0"/>
          <w:sz w:val="30"/>
          <w:szCs w:val="30"/>
        </w:rPr>
        <w:t>第一部分   概况</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一、主要职责</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二、机构设置</w:t>
      </w:r>
    </w:p>
    <w:p>
      <w:pPr>
        <w:widowControl/>
        <w:spacing w:before="0" w:beforeLines="0" w:beforeAutospacing="0" w:after="0" w:afterLines="0" w:afterAutospacing="0" w:line="240" w:lineRule="auto"/>
        <w:jc w:val="left"/>
        <w:rPr>
          <w:rFonts w:ascii="黑体" w:eastAsia="黑体"/>
          <w:sz w:val="30"/>
          <w:szCs w:val="30"/>
        </w:rPr>
      </w:pPr>
      <w:r>
        <w:rPr>
          <w:rFonts w:ascii="黑体" w:eastAsia="黑体"/>
          <w:b w:val="0"/>
          <w:sz w:val="30"/>
          <w:szCs w:val="30"/>
        </w:rPr>
        <w:t>第二部分   2024年度部门决算报表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一、收入支出决算总表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二、收入决算表（按功能分类列示）</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三、收入决算表（按单位列示）</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四、支出决算表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五、财政拨款收入支出决算总表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六、一般公共预算财政拨款支出决算表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七、一般公共预算财政拨款基本支出决算明细表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八、政府性基金预算财政拨款收入支出决算表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九、国有资本经营预算财政拨款支出决算表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十、财政拨款“三公”经费支出决算表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十一、项目支出决算表</w:t>
      </w:r>
    </w:p>
    <w:p>
      <w:pPr>
        <w:widowControl/>
        <w:spacing w:before="0" w:beforeLines="0" w:beforeAutospacing="0" w:after="0" w:afterLines="0" w:afterAutospacing="0" w:line="240" w:lineRule="auto"/>
        <w:jc w:val="left"/>
        <w:rPr>
          <w:rFonts w:ascii="黑体" w:eastAsia="黑体"/>
          <w:sz w:val="30"/>
          <w:szCs w:val="30"/>
        </w:rPr>
      </w:pPr>
      <w:r>
        <w:rPr>
          <w:rFonts w:ascii="黑体" w:eastAsia="黑体"/>
          <w:b w:val="0"/>
          <w:sz w:val="30"/>
          <w:szCs w:val="30"/>
        </w:rPr>
        <w:t>第三部分   2024年度部门决算情况说明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一、收支决算总体情况说明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二、收入决算情况说明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三、支出决算情况说明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四、财政拨款收支决算总体情况说明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五、一般公共预算财政拨款支出决算情况说明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六、一般公共预算财政拨款基本支出决算情况说明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七、政府性基金预算财政拨款收支决算情况说明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八、国有资本经营预算财政拨款收支决算情况说明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九、财政拨款“三公”经费支出决算情况说明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十、机关运行经费支出情况说明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十一、政府采购支出情况说明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十二、国有资产占有使用情况说明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十三、预算绩效情况说明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十四、教育、医疗卫生、社会保障和就业、住房保障、涉农补贴等民生支出情况说明</w:t>
      </w:r>
    </w:p>
    <w:p>
      <w:pPr>
        <w:widowControl/>
        <w:spacing w:before="0" w:beforeLines="0" w:beforeAutospacing="0" w:after="0" w:afterLines="0" w:afterAutospacing="0" w:line="240" w:lineRule="auto"/>
        <w:jc w:val="left"/>
        <w:rPr>
          <w:rFonts w:ascii="黑体" w:eastAsia="黑体"/>
          <w:sz w:val="30"/>
          <w:szCs w:val="30"/>
        </w:rPr>
      </w:pPr>
      <w:r>
        <w:rPr>
          <w:rFonts w:ascii="黑体" w:eastAsia="黑体"/>
          <w:b w:val="0"/>
          <w:sz w:val="30"/>
          <w:szCs w:val="30"/>
        </w:rPr>
        <w:t>第四部分   名词解释</w:t>
      </w:r>
    </w:p>
    <w:p>
      <w:pPr>
        <w:rPr>
          <w:rFonts w:hint="eastAsia" w:asciiTheme="minorEastAsia" w:hAnsiTheme="minorEastAsia" w:eastAsiaTheme="minorEastAsia" w:cstheme="minorEastAsia"/>
          <w:b w:val="0"/>
          <w:bCs w:val="0"/>
          <w:sz w:val="22"/>
          <w:szCs w:val="22"/>
          <w:highlight w:val="yellow"/>
        </w:rPr>
      </w:pPr>
    </w:p>
    <w:p>
      <w:pPr>
        <w:snapToGrid w:val="0"/>
        <w:jc w:val="left"/>
        <w:rPr>
          <w:rFonts w:hint="eastAsia" w:asciiTheme="minorEastAsia" w:hAnsiTheme="minorEastAsia" w:eastAsiaTheme="minorEastAsia" w:cstheme="minorEastAsia"/>
          <w:b w:val="0"/>
          <w:bCs w:val="0"/>
          <w:color w:val="000000" w:themeColor="text1"/>
          <w:kern w:val="0"/>
          <w:sz w:val="22"/>
          <w:szCs w:val="22"/>
          <w:lang w:val="en-US" w:eastAsia="zh-CN"/>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p>
    <w:p>
      <w:pPr>
        <w:snapToGrid w:val="0"/>
        <w:jc w:val="left"/>
        <w:rPr>
          <w:rFonts w:hint="eastAsia" w:asciiTheme="minorEastAsia" w:hAnsiTheme="minorEastAsia" w:eastAsiaTheme="minorEastAsia" w:cstheme="minorEastAsia"/>
          <w:b w:val="0"/>
          <w:bCs w:val="0"/>
          <w:color w:val="000000" w:themeColor="text1"/>
          <w:kern w:val="0"/>
          <w:sz w:val="22"/>
          <w:szCs w:val="22"/>
          <w:lang w:val="en-US" w:eastAsia="zh-CN"/>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sectPr>
          <w:footerReference r:id="rId3" w:type="default"/>
          <w:pgSz w:w="11906" w:h="16838"/>
          <w:pgMar w:top="1531" w:right="1984" w:bottom="1531" w:left="2098" w:header="851" w:footer="992" w:gutter="0"/>
          <w:pgBorders>
            <w:top w:val="none" w:sz="0" w:space="0"/>
            <w:left w:val="none" w:sz="0" w:space="0"/>
            <w:bottom w:val="none" w:sz="0" w:space="0"/>
            <w:right w:val="none" w:sz="0" w:space="0"/>
          </w:pgBorders>
          <w:cols w:space="720" w:num="1"/>
          <w:docGrid w:type="lines" w:linePitch="312" w:charSpace="0"/>
        </w:sectPr>
      </w:pP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第一部分  概况</w:t>
      </w:r>
    </w:p>
    <w:p>
      <w:pPr>
        <w:widowControl/>
        <w:spacing w:before="0" w:beforeLines="0" w:beforeAutospacing="0" w:after="0" w:afterLines="0" w:afterAutospacing="0" w:line="240" w:lineRule="auto"/>
        <w:ind w:firstLine="600" w:firstLineChars="200"/>
        <w:jc w:val="left"/>
        <w:outlineLvl w:val="1"/>
        <w:rPr>
          <w:rFonts w:ascii="宋体" w:eastAsia="黑体"/>
          <w:sz w:val="30"/>
          <w:szCs w:val="30"/>
        </w:rPr>
      </w:pPr>
      <w:r>
        <w:rPr>
          <w:rFonts w:ascii="宋体" w:eastAsia="黑体"/>
          <w:b w:val="0"/>
          <w:sz w:val="30"/>
          <w:szCs w:val="30"/>
        </w:rPr>
        <w:t>一、主要职责</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承担区科技产业培育、科技企业发展、招商引智、科技载体、科技金融、科技人才、科技创新平台、科技成果转化等科技创新服务工作。承担区科技产业培育、科技企业发展、招商引智、科技载体、科技金融、科技人才、科技创新平台、科技成果转化等科技创新服务工作。</w:t>
      </w:r>
    </w:p>
    <w:p>
      <w:pPr>
        <w:widowControl/>
        <w:spacing w:before="0" w:beforeLines="0" w:beforeAutospacing="0" w:after="0" w:afterLines="0" w:afterAutospacing="0" w:line="240" w:lineRule="auto"/>
        <w:ind w:firstLine="600" w:firstLineChars="200"/>
        <w:jc w:val="left"/>
        <w:outlineLvl w:val="1"/>
        <w:rPr>
          <w:rFonts w:ascii="宋体" w:eastAsia="黑体"/>
          <w:sz w:val="30"/>
          <w:szCs w:val="30"/>
        </w:rPr>
      </w:pPr>
      <w:r>
        <w:rPr>
          <w:rFonts w:ascii="宋体" w:eastAsia="黑体"/>
          <w:b w:val="0"/>
          <w:sz w:val="30"/>
          <w:szCs w:val="30"/>
        </w:rPr>
        <w:t>二、机构设置</w:t>
      </w:r>
    </w:p>
    <w:p>
      <w:pPr>
        <w:widowControl/>
        <w:spacing w:before="0" w:beforeLines="0" w:beforeAutospacing="0" w:after="0" w:afterLines="0" w:afterAutospacing="0" w:line="240" w:lineRule="auto"/>
        <w:ind w:firstLine="600" w:firstLineChars="200"/>
        <w:jc w:val="left"/>
        <w:rPr>
          <w:rFonts w:hint="eastAsia" w:ascii="Times New Roman" w:eastAsia="仿宋_GB2312"/>
          <w:b w:val="0"/>
          <w:sz w:val="30"/>
          <w:szCs w:val="30"/>
          <w:lang w:val="en-US" w:eastAsia="zh-CN"/>
        </w:rPr>
        <w:sectPr>
          <w:headerReference r:id="rId4" w:type="default"/>
          <w:footerReference r:id="rId5" w:type="default"/>
          <w:pgSz w:w="11906" w:h="16838"/>
          <w:pgMar w:top="1531" w:right="1984" w:bottom="1531" w:left="2098" w:header="851" w:footer="992" w:gutter="0"/>
          <w:pgBorders>
            <w:top w:val="none" w:sz="0" w:space="0"/>
            <w:left w:val="none" w:sz="0" w:space="0"/>
            <w:bottom w:val="none" w:sz="0" w:space="0"/>
            <w:right w:val="none" w:sz="0" w:space="0"/>
          </w:pgBorders>
          <w:pgNumType w:start="1"/>
          <w:cols w:space="720" w:num="1"/>
          <w:docGrid w:type="lines" w:linePitch="312" w:charSpace="0"/>
        </w:sectPr>
      </w:pPr>
      <w:r>
        <w:rPr>
          <w:rFonts w:ascii="Times New Roman" w:eastAsia="仿宋_GB2312"/>
          <w:b w:val="0"/>
          <w:sz w:val="30"/>
          <w:szCs w:val="30"/>
        </w:rPr>
        <w:t>天津市南开区科技创新发展中心内设</w:t>
      </w:r>
      <w:r>
        <w:rPr>
          <w:rFonts w:hint="eastAsia" w:ascii="Times New Roman" w:eastAsia="仿宋_GB2312"/>
          <w:b w:val="0"/>
          <w:sz w:val="30"/>
          <w:szCs w:val="30"/>
          <w:lang w:val="en-US" w:eastAsia="zh-CN"/>
        </w:rPr>
        <w:t>0</w:t>
      </w:r>
      <w:r>
        <w:rPr>
          <w:rFonts w:ascii="Times New Roman" w:eastAsia="仿宋_GB2312"/>
          <w:b w:val="0"/>
          <w:sz w:val="30"/>
          <w:szCs w:val="30"/>
        </w:rPr>
        <w:t>个职能</w:t>
      </w:r>
      <w:r>
        <w:rPr>
          <w:rFonts w:hint="eastAsia" w:ascii="Times New Roman" w:eastAsia="仿宋_GB2312"/>
          <w:b w:val="0"/>
          <w:sz w:val="30"/>
          <w:szCs w:val="30"/>
          <w:lang w:eastAsia="zh-CN"/>
        </w:rPr>
        <w:t>科室</w:t>
      </w:r>
      <w:r>
        <w:rPr>
          <w:rFonts w:ascii="Times New Roman" w:eastAsia="仿宋_GB2312"/>
          <w:b w:val="0"/>
          <w:sz w:val="30"/>
          <w:szCs w:val="30"/>
        </w:rPr>
        <w:t>。纳入天津市南开区科技创新发展中心2024年度部门决算编制范围的单位包括：</w:t>
      </w:r>
      <w:r>
        <w:rPr>
          <w:rFonts w:hint="eastAsia" w:ascii="Times New Roman" w:eastAsia="仿宋_GB2312"/>
          <w:b w:val="0"/>
          <w:sz w:val="30"/>
          <w:szCs w:val="30"/>
          <w:lang w:val="en-US" w:eastAsia="zh-CN"/>
        </w:rPr>
        <w:t>天津市南开区科技创新发展中心。</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第二部分  2024年度部门决算报表</w:t>
      </w:r>
    </w:p>
    <w:p>
      <w:pPr>
        <w:pStyle w:val="28"/>
        <w:keepNext w:val="0"/>
        <w:keepLines w:val="0"/>
        <w:widowControl/>
        <w:suppressLineNumbers w:val="0"/>
        <w:rPr>
          <w:rFonts w:hint="eastAsia" w:ascii="仿宋" w:hAnsi="仿宋" w:eastAsia="仿宋" w:cs="仿宋"/>
          <w:b/>
          <w:bCs/>
          <w:sz w:val="30"/>
          <w:szCs w:val="30"/>
          <w:highlight w:val="none"/>
          <w:u w:val="none"/>
          <w:lang w:val="en-US" w:eastAsia="zh-CN"/>
        </w:rPr>
      </w:pPr>
      <w:r>
        <w:rPr>
          <w:rFonts w:hint="eastAsia" w:ascii="仿宋" w:hAnsi="仿宋" w:eastAsia="仿宋" w:cs="仿宋"/>
          <w:b/>
          <w:bCs/>
          <w:sz w:val="30"/>
          <w:szCs w:val="30"/>
        </w:rPr>
        <w:t>一、收入支出决算总表</w:t>
      </w:r>
      <w:r>
        <w:rPr>
          <w:rFonts w:hint="eastAsia" w:ascii="仿宋" w:hAnsi="仿宋" w:eastAsia="仿宋" w:cs="仿宋"/>
          <w:b/>
          <w:bCs/>
          <w:sz w:val="30"/>
          <w:szCs w:val="30"/>
          <w:highlight w:val="none"/>
          <w:u w:val="none"/>
          <w:lang w:val="en-US" w:eastAsia="zh-CN"/>
        </w:rPr>
        <w:t xml:space="preserve"> </w:t>
      </w:r>
    </w:p>
    <w:tbl>
      <w:tblPr>
        <w:tblStyle w:val="11"/>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697"/>
        <w:gridCol w:w="2650"/>
        <w:gridCol w:w="3598"/>
        <w:gridCol w:w="30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912" w:type="pct"/>
            <w:gridSpan w:val="3"/>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部门（单位）：天津市南开区科技创新发展中心 </w:t>
            </w:r>
          </w:p>
        </w:tc>
        <w:tc>
          <w:tcPr>
            <w:tcW w:w="1087"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Style w:val="27"/>
                <w:rFonts w:hint="eastAsia" w:asciiTheme="minorEastAsia" w:hAnsiTheme="minorEastAsia" w:eastAsiaTheme="minorEastAsia" w:cstheme="minorEastAsia"/>
                <w:b w:val="0"/>
                <w:bCs w:val="0"/>
                <w:sz w:val="22"/>
                <w:szCs w:val="22"/>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收入</w:t>
            </w:r>
          </w:p>
        </w:tc>
        <w:tc>
          <w:tcPr>
            <w:tcW w:w="947" w:type="pct"/>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w:t>
            </w:r>
          </w:p>
        </w:tc>
        <w:tc>
          <w:tcPr>
            <w:tcW w:w="1087" w:type="pct"/>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一、一般公共预算财政拨款收入</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2,611,949.94</w:t>
            </w: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一、一般公共服务支出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二、政府性基金预算财政拨款收入</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二、公共安全支出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三、国有资本经营预算财政拨款收入</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三、教育支出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四、财政专户管理资金</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四、科学技术支出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2,240,973.80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五、事业收入</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五、文化旅游体育与传媒支出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六、事业单位经营收入</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六、社会保障和就业支出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262,918.08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七、上级补助收入</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七、卫生健康支出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104,072.04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八、附属单位上缴收入</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八、节能环保支出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九、其他收入</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2,114.52</w:t>
            </w: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九、城乡社区支出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十、农林水支出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十一、交通运输支出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十二、资源勘探工业信息等支出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十三、商业服务业等支出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十四、金融支出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十五、援助其他地区支出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十六、自然资源海洋气象等支出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十七、住房保障支出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十八、粮油物资储备支出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十九、国有资本经营预算支出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二十、灾害防治及应急管理支出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二十一、其他支出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二十二、债务付息支出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二十三、抗疫特别国债安排的支出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本年收入合计</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2,614,064.46</w:t>
            </w: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本年支出合计</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2,607,963.92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十、使用非财政拨款结余</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二十四、结余分配</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十一、年初结转和结余</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234,350.58</w:t>
            </w: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二十五、年末结转和结余</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240,451.12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其中：财政拨款结转和结余</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234,350.58</w:t>
            </w:r>
          </w:p>
        </w:tc>
        <w:tc>
          <w:tcPr>
            <w:tcW w:w="1285"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087"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其他结转和结余</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087"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收入总计</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2,848,415.04</w:t>
            </w: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支出总计</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2,848,415.04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4"/>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注：本表反映本年度的总收支和年末结转结余情况。财政专户管理资金是指教育收费；事业收入不含教育收费。</w:t>
            </w:r>
          </w:p>
        </w:tc>
      </w:tr>
    </w:tbl>
    <w:p>
      <w:pPr>
        <w:rPr>
          <w:rFonts w:hint="eastAsia" w:asciiTheme="minorEastAsia" w:hAnsiTheme="minorEastAsia" w:eastAsiaTheme="minorEastAsia" w:cstheme="minorEastAsia"/>
          <w:b w:val="0"/>
          <w:bCs w:val="0"/>
          <w:sz w:val="22"/>
          <w:szCs w:val="22"/>
          <w:lang w:val="en-US" w:eastAsia="zh-CN"/>
        </w:rPr>
      </w:pPr>
      <w:r>
        <w:rPr>
          <w:rFonts w:hint="eastAsia" w:asciiTheme="minorEastAsia" w:hAnsiTheme="minorEastAsia" w:eastAsiaTheme="minorEastAsia" w:cstheme="minorEastAsia"/>
          <w:b w:val="0"/>
          <w:bCs w:val="0"/>
          <w:sz w:val="22"/>
          <w:szCs w:val="22"/>
          <w:highlight w:val="none"/>
          <w:u w:val="none"/>
          <w:lang w:val="en-US" w:eastAsia="zh-CN"/>
        </w:rPr>
        <w:br w:type="page"/>
      </w:r>
    </w:p>
    <w:p>
      <w:pPr>
        <w:pStyle w:val="28"/>
        <w:keepNext w:val="0"/>
        <w:keepLines w:val="0"/>
        <w:widowControl/>
        <w:suppressLineNumbers w:val="0"/>
        <w:jc w:val="left"/>
        <w:rPr>
          <w:rFonts w:hint="eastAsia" w:ascii="仿宋" w:hAnsi="仿宋" w:eastAsia="仿宋" w:cs="仿宋"/>
          <w:b/>
          <w:bCs/>
          <w:color w:val="000000"/>
          <w:sz w:val="30"/>
          <w:szCs w:val="30"/>
        </w:rPr>
      </w:pPr>
      <w:r>
        <w:rPr>
          <w:rFonts w:hint="eastAsia" w:ascii="仿宋" w:hAnsi="仿宋" w:eastAsia="仿宋" w:cs="仿宋"/>
          <w:b/>
          <w:bCs/>
          <w:color w:val="000000"/>
          <w:sz w:val="30"/>
          <w:szCs w:val="30"/>
          <w:lang w:val="en-US" w:eastAsia="zh-CN"/>
        </w:rPr>
        <w:t>二、收入决算表(按功能分类列示)</w:t>
      </w:r>
      <w:r>
        <w:rPr>
          <w:rFonts w:hint="eastAsia" w:ascii="仿宋" w:hAnsi="仿宋" w:eastAsia="仿宋" w:cs="仿宋"/>
          <w:b/>
          <w:bCs/>
          <w:color w:val="000000"/>
          <w:sz w:val="30"/>
          <w:szCs w:val="30"/>
        </w:rPr>
        <w:t xml:space="preserve"> </w:t>
      </w:r>
    </w:p>
    <w:tbl>
      <w:tblPr>
        <w:tblStyle w:val="11"/>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7"/>
        <w:gridCol w:w="2888"/>
        <w:gridCol w:w="1387"/>
        <w:gridCol w:w="1250"/>
        <w:gridCol w:w="1300"/>
        <w:gridCol w:w="1238"/>
        <w:gridCol w:w="1175"/>
        <w:gridCol w:w="1246"/>
        <w:gridCol w:w="1216"/>
        <w:gridCol w:w="12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548" w:type="pct"/>
            <w:gridSpan w:val="9"/>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部门（单位）：天津市南开区科技创新发展中心 </w:t>
            </w:r>
          </w:p>
        </w:tc>
        <w:tc>
          <w:tcPr>
            <w:tcW w:w="451" w:type="pct"/>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项      目</w:t>
            </w:r>
          </w:p>
        </w:tc>
        <w:tc>
          <w:tcPr>
            <w:tcW w:w="495"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本年收入合计</w:t>
            </w:r>
          </w:p>
        </w:tc>
        <w:tc>
          <w:tcPr>
            <w:tcW w:w="446"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财政拨款收入</w:t>
            </w:r>
          </w:p>
        </w:tc>
        <w:tc>
          <w:tcPr>
            <w:tcW w:w="464"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上级补助收入</w:t>
            </w:r>
          </w:p>
        </w:tc>
        <w:tc>
          <w:tcPr>
            <w:tcW w:w="862" w:type="pct"/>
            <w:gridSpan w:val="2"/>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事业收入</w:t>
            </w:r>
          </w:p>
        </w:tc>
        <w:tc>
          <w:tcPr>
            <w:tcW w:w="445"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经营收入</w:t>
            </w:r>
          </w:p>
        </w:tc>
        <w:tc>
          <w:tcPr>
            <w:tcW w:w="434"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附属单位上缴收入</w:t>
            </w:r>
          </w:p>
        </w:tc>
        <w:tc>
          <w:tcPr>
            <w:tcW w:w="451"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6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科目编码</w:t>
            </w:r>
          </w:p>
        </w:tc>
        <w:tc>
          <w:tcPr>
            <w:tcW w:w="103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科目名称</w:t>
            </w:r>
          </w:p>
        </w:tc>
        <w:tc>
          <w:tcPr>
            <w:tcW w:w="495"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446"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464"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小计</w:t>
            </w:r>
          </w:p>
        </w:tc>
        <w:tc>
          <w:tcPr>
            <w:tcW w:w="4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其中：教育收费</w:t>
            </w:r>
          </w:p>
        </w:tc>
        <w:tc>
          <w:tcPr>
            <w:tcW w:w="445"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399" w:type="pct"/>
            <w:gridSpan w:val="2"/>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合计</w:t>
            </w:r>
          </w:p>
        </w:tc>
        <w:tc>
          <w:tcPr>
            <w:tcW w:w="495" w:type="pct"/>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2,614,064.46</w:t>
            </w:r>
          </w:p>
        </w:tc>
        <w:tc>
          <w:tcPr>
            <w:tcW w:w="446" w:type="pct"/>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2,611,949.94</w:t>
            </w:r>
          </w:p>
        </w:tc>
        <w:tc>
          <w:tcPr>
            <w:tcW w:w="464" w:type="pct"/>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2,114.52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206</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科学技术支出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2,245,695.83</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2,243,581.31</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2,114.52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20601</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科学技术管理事务</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2,245,695.83</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2,243,581.31</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2,114.52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2060199</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其他科学技术管理事务支出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2,245,695.83</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2,243,581.31</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2,114.52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社会保障和就业支出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263,370.72</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263,370.72</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20805</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行政事业单位养老支出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263,370.72</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263,370.72</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2080505</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机关事业单位基本养老保险缴费支出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175,580.48</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175,580.48</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2080506</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机关事业单位职业年金缴费支出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87,790.24</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87,790.24</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卫生健康支出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104,997.91</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104,997.91</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21011</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行政事业单位医疗</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104,997.91</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104,997.91</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2101102</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事业单位医疗</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104,997.91</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104,997.91</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10"/>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注：本表反映本年度取得的各项收入情况。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三、收入决算表(按单位列示)</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27"/>
        <w:gridCol w:w="1050"/>
        <w:gridCol w:w="550"/>
        <w:gridCol w:w="613"/>
        <w:gridCol w:w="650"/>
        <w:gridCol w:w="612"/>
        <w:gridCol w:w="663"/>
        <w:gridCol w:w="712"/>
        <w:gridCol w:w="650"/>
        <w:gridCol w:w="688"/>
        <w:gridCol w:w="650"/>
        <w:gridCol w:w="662"/>
        <w:gridCol w:w="353"/>
        <w:gridCol w:w="260"/>
        <w:gridCol w:w="625"/>
        <w:gridCol w:w="700"/>
        <w:gridCol w:w="712"/>
        <w:gridCol w:w="688"/>
        <w:gridCol w:w="712"/>
        <w:gridCol w:w="638"/>
        <w:gridCol w:w="638"/>
        <w:gridCol w:w="6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2153" w:type="pct"/>
            <w:gridSpan w:val="9"/>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 xml:space="preserve">部门（单位）：天津市南开区科技创新发展中心 </w:t>
            </w:r>
          </w:p>
        </w:tc>
        <w:tc>
          <w:tcPr>
            <w:tcW w:w="245"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232"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236"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126"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316" w:type="pct"/>
            <w:gridSpan w:val="2"/>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250"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254"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245"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254"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227"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456" w:type="pct"/>
            <w:gridSpan w:val="2"/>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1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部门（单位）代码</w:t>
            </w:r>
          </w:p>
        </w:tc>
        <w:tc>
          <w:tcPr>
            <w:tcW w:w="375"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部门（单位）名称</w:t>
            </w:r>
          </w:p>
        </w:tc>
        <w:tc>
          <w:tcPr>
            <w:tcW w:w="196"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合计</w:t>
            </w:r>
          </w:p>
        </w:tc>
        <w:tc>
          <w:tcPr>
            <w:tcW w:w="2327" w:type="pct"/>
            <w:gridSpan w:val="11"/>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本年收入</w:t>
            </w:r>
          </w:p>
        </w:tc>
        <w:tc>
          <w:tcPr>
            <w:tcW w:w="1912" w:type="pct"/>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上年结转和结余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1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375"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196"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19"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232"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一般公共预算</w:t>
            </w:r>
          </w:p>
        </w:tc>
        <w:tc>
          <w:tcPr>
            <w:tcW w:w="218"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政府性基金预算</w:t>
            </w:r>
          </w:p>
        </w:tc>
        <w:tc>
          <w:tcPr>
            <w:tcW w:w="236"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国有资本经营预算</w:t>
            </w:r>
          </w:p>
        </w:tc>
        <w:tc>
          <w:tcPr>
            <w:tcW w:w="254"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财政专户管理资金</w:t>
            </w:r>
          </w:p>
        </w:tc>
        <w:tc>
          <w:tcPr>
            <w:tcW w:w="232"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事业收入</w:t>
            </w:r>
          </w:p>
        </w:tc>
        <w:tc>
          <w:tcPr>
            <w:tcW w:w="245"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事业单位经营收入</w:t>
            </w:r>
          </w:p>
        </w:tc>
        <w:tc>
          <w:tcPr>
            <w:tcW w:w="232"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上级补助收入</w:t>
            </w:r>
          </w:p>
        </w:tc>
        <w:tc>
          <w:tcPr>
            <w:tcW w:w="236"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附属单位上缴收入</w:t>
            </w:r>
          </w:p>
        </w:tc>
        <w:tc>
          <w:tcPr>
            <w:tcW w:w="219" w:type="pct"/>
            <w:gridSpan w:val="2"/>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其他收入</w:t>
            </w:r>
          </w:p>
        </w:tc>
        <w:tc>
          <w:tcPr>
            <w:tcW w:w="223"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1004" w:type="pct"/>
            <w:gridSpan w:val="4"/>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财政拨款结转结余</w:t>
            </w:r>
          </w:p>
        </w:tc>
        <w:tc>
          <w:tcPr>
            <w:tcW w:w="684" w:type="pct"/>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非财政拨款结转结余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375"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196"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19"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32"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18"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36"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54"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32"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45"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32"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36"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19" w:type="pct"/>
            <w:gridSpan w:val="2"/>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23"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50"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254"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一般公共预算</w:t>
            </w:r>
          </w:p>
        </w:tc>
        <w:tc>
          <w:tcPr>
            <w:tcW w:w="245"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政府性基金预算</w:t>
            </w:r>
          </w:p>
        </w:tc>
        <w:tc>
          <w:tcPr>
            <w:tcW w:w="254"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国有资本经营预算</w:t>
            </w:r>
          </w:p>
        </w:tc>
        <w:tc>
          <w:tcPr>
            <w:tcW w:w="227"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227"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财政专户管理资金</w:t>
            </w:r>
          </w:p>
        </w:tc>
        <w:tc>
          <w:tcPr>
            <w:tcW w:w="228"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单位资金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63" w:type="pct"/>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合计</w:t>
            </w:r>
          </w:p>
        </w:tc>
        <w:tc>
          <w:tcPr>
            <w:tcW w:w="19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2,848,415.04</w:t>
            </w:r>
          </w:p>
        </w:tc>
        <w:tc>
          <w:tcPr>
            <w:tcW w:w="2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2,614,064.46</w:t>
            </w:r>
          </w:p>
        </w:tc>
        <w:tc>
          <w:tcPr>
            <w:tcW w:w="23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2,611,949.94</w:t>
            </w:r>
          </w:p>
        </w:tc>
        <w:tc>
          <w:tcPr>
            <w:tcW w:w="21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8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13"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2,114.52</w:t>
            </w:r>
          </w:p>
        </w:tc>
        <w:tc>
          <w:tcPr>
            <w:tcW w:w="6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234,350.58</w:t>
            </w: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234,350.58</w:t>
            </w:r>
          </w:p>
        </w:tc>
        <w:tc>
          <w:tcPr>
            <w:tcW w:w="7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234,350.58</w:t>
            </w:r>
          </w:p>
        </w:tc>
        <w:tc>
          <w:tcPr>
            <w:tcW w:w="68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2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2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331201</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天津市南开区科技创新发展中心</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2,848,415.04</w:t>
            </w: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2,614,064.46</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2,611,949.94</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2,114.52</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234,350.58</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234,350.58</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234,350.58</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000" w:type="pct"/>
            <w:gridSpan w:val="22"/>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注：本表反映本年度取得的各项收入情况。财政专户管理资金是指教育收费；事业收入不含教育收费。</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四、支出决算表 </w:t>
      </w:r>
    </w:p>
    <w:tbl>
      <w:tblPr>
        <w:tblStyle w:val="11"/>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5"/>
        <w:gridCol w:w="2188"/>
        <w:gridCol w:w="1845"/>
        <w:gridCol w:w="1800"/>
        <w:gridCol w:w="1800"/>
        <w:gridCol w:w="1815"/>
        <w:gridCol w:w="1628"/>
        <w:gridCol w:w="15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432" w:type="pct"/>
            <w:gridSpan w:val="7"/>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部门（单位）：天津市南开区科技创新发展中心 </w:t>
            </w:r>
          </w:p>
        </w:tc>
        <w:tc>
          <w:tcPr>
            <w:tcW w:w="567"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25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支出功能分类科目</w:t>
            </w:r>
          </w:p>
        </w:tc>
        <w:tc>
          <w:tcPr>
            <w:tcW w:w="659"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本年支出合计</w:t>
            </w:r>
          </w:p>
        </w:tc>
        <w:tc>
          <w:tcPr>
            <w:tcW w:w="643"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基本支出</w:t>
            </w:r>
          </w:p>
        </w:tc>
        <w:tc>
          <w:tcPr>
            <w:tcW w:w="643"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项目支出</w:t>
            </w:r>
          </w:p>
        </w:tc>
        <w:tc>
          <w:tcPr>
            <w:tcW w:w="648"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上缴上级支出</w:t>
            </w:r>
          </w:p>
        </w:tc>
        <w:tc>
          <w:tcPr>
            <w:tcW w:w="581"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经营支出</w:t>
            </w:r>
          </w:p>
        </w:tc>
        <w:tc>
          <w:tcPr>
            <w:tcW w:w="567"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781"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659"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25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2,607,963.92</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2,607,963.92</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科学技术支出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2,240,973.80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2,240,973.80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20601</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科学技术管理事务</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2,240,973.80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2,240,973.80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2060199</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其他科学技术管理事务支出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2,240,973.80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2,240,973.80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社会保障和就业支出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262,918.08</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262,918.08</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行政事业单位养老支出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262,918.08</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262,918.08</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2080505</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机关事业单位基本养老保险缴费支出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175,278.72</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175,278.72</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2080506</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机关事业单位职业年金缴费支出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87,639.36</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87,639.36</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卫生健康支出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104,072.04</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104,072.04</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21011</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行政事业单位医疗</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104,072.04</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104,072.04</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2101102</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事业单位医疗</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104,072.04</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104,072.04</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注：本表反映本年度各项支出情况。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五、财政拨款收入支出决算总表</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317"/>
        <w:gridCol w:w="1883"/>
        <w:gridCol w:w="2350"/>
        <w:gridCol w:w="1850"/>
        <w:gridCol w:w="1791"/>
        <w:gridCol w:w="1827"/>
        <w:gridCol w:w="19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294" w:type="pct"/>
            <w:gridSpan w:val="6"/>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部门（单位）：天津市南开区科技创新发展中心 </w:t>
            </w:r>
          </w:p>
        </w:tc>
        <w:tc>
          <w:tcPr>
            <w:tcW w:w="705"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5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收入</w:t>
            </w:r>
          </w:p>
        </w:tc>
        <w:tc>
          <w:tcPr>
            <w:tcW w:w="3499" w:type="pct"/>
            <w:gridSpan w:val="5"/>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一般公共预算财政拨款</w:t>
            </w: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政府性基金预算财政拨款</w:t>
            </w: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一、一般公共预算财政拨款</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2,611,949.94</w:t>
            </w: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一、一般公共服务支出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二、政府性基金预算财政拨款</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二、公共安全支出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三、国有资本经营预算财政拨款</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三、教育支出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四、科学技术支出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2,240,973.80</w:t>
            </w: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2,240,973.80</w:t>
            </w: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五、文化旅游体育与传媒支出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六、社会保障和就业支出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262,918.08</w:t>
            </w: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262,918.08</w:t>
            </w: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七、卫生健康支出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104,072.04</w:t>
            </w: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104,072.04</w:t>
            </w: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八、节能环保支出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九、城乡社区支出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十、农林水支出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十一、交通运输支出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十二、资源勘探工业信息等支出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十三、商业服务业等支出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十四、金融支出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十五、援助其他地区支出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十六、自然资源海洋气象等支出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十七、住房保障支出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十八、粮油物资储备支出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十九、国有资本经营预算支出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二十、灾害防治及应急管理支出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二十一、其他支出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二十二、债务付息支出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二十三、抗疫特别国债安排的支出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本年收入合计</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2,611,949.94</w:t>
            </w: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本年支出合计</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2,607,963.92</w:t>
            </w: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2,607,963.92</w:t>
            </w: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年初财政拨款结转和结余</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234,350.58</w:t>
            </w: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年末财政拨款结转和结余</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238,336.60</w:t>
            </w: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238,336.60</w:t>
            </w: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一般公共预算财政拨款</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234,350.58</w:t>
            </w:r>
          </w:p>
        </w:tc>
        <w:tc>
          <w:tcPr>
            <w:tcW w:w="839"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61"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政府性基金预算财政拨款</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61"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国有资本经营预算财政拨款</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61"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2,846,300.52</w:t>
            </w: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2,846,300.52</w:t>
            </w: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2,846,300.52</w:t>
            </w: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5000" w:type="pct"/>
            <w:gridSpan w:val="7"/>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注：本表反映本年度一般公共预算财政拨款、政府性基金预算财政拨款和国有资本经营预算财政拨款的总收支和年末结转结余情况。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numPr>
          <w:ilvl w:val="0"/>
          <w:numId w:val="2"/>
        </w:numPr>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一般公共预算财政拨款支出决算表 </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19"/>
        <w:gridCol w:w="4092"/>
        <w:gridCol w:w="1800"/>
        <w:gridCol w:w="1662"/>
        <w:gridCol w:w="1738"/>
        <w:gridCol w:w="1708"/>
        <w:gridCol w:w="16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402" w:type="pct"/>
            <w:gridSpan w:val="6"/>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ascii="宋体-简" w:hAnsi="宋体-简" w:eastAsia="宋体-简" w:cs="宋体-简"/>
                <w:i w:val="0"/>
                <w:iCs w:val="0"/>
                <w:color w:val="000000"/>
                <w:sz w:val="20"/>
                <w:szCs w:val="20"/>
                <w:u w:val="none"/>
              </w:rPr>
            </w:pPr>
            <w:r>
              <w:rPr>
                <w:rFonts w:hint="eastAsia" w:ascii="宋体-简" w:hAnsi="宋体-简" w:eastAsia="宋体-简" w:cs="宋体-简"/>
                <w:i w:val="0"/>
                <w:iCs w:val="0"/>
                <w:color w:val="000000"/>
                <w:kern w:val="0"/>
                <w:sz w:val="20"/>
                <w:szCs w:val="20"/>
                <w:u w:val="none"/>
                <w:lang w:val="en-US" w:eastAsia="zh-CN" w:bidi="ar"/>
              </w:rPr>
              <w:t>部门（单位）：</w:t>
            </w:r>
            <w:r>
              <w:rPr>
                <w:rFonts w:ascii="Arial" w:hAnsi="Arial" w:eastAsia="宋体-简" w:cs="Arial"/>
                <w:i w:val="0"/>
                <w:iCs w:val="0"/>
                <w:color w:val="000000"/>
                <w:kern w:val="0"/>
                <w:sz w:val="20"/>
                <w:szCs w:val="20"/>
                <w:u w:val="none"/>
                <w:lang w:val="en-US" w:eastAsia="zh-CN" w:bidi="ar"/>
              </w:rPr>
              <w:t xml:space="preserve">天津市南开区科技创新发展中心 </w:t>
            </w:r>
          </w:p>
        </w:tc>
        <w:tc>
          <w:tcPr>
            <w:tcW w:w="597"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9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支出功能分类科目</w:t>
            </w:r>
          </w:p>
        </w:tc>
        <w:tc>
          <w:tcPr>
            <w:tcW w:w="643"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1825" w:type="pct"/>
            <w:gridSpan w:val="3"/>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基本支出  </w:t>
            </w:r>
          </w:p>
        </w:tc>
        <w:tc>
          <w:tcPr>
            <w:tcW w:w="597"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1" w:type="pct"/>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科目编码</w:t>
            </w:r>
          </w:p>
        </w:tc>
        <w:tc>
          <w:tcPr>
            <w:tcW w:w="1462"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科目名称</w:t>
            </w:r>
          </w:p>
        </w:tc>
        <w:tc>
          <w:tcPr>
            <w:tcW w:w="643"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593"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小计</w:t>
            </w:r>
          </w:p>
        </w:tc>
        <w:tc>
          <w:tcPr>
            <w:tcW w:w="621"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人员经费</w:t>
            </w:r>
          </w:p>
        </w:tc>
        <w:tc>
          <w:tcPr>
            <w:tcW w:w="610"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公用经费</w:t>
            </w:r>
          </w:p>
        </w:tc>
        <w:tc>
          <w:tcPr>
            <w:tcW w:w="597"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9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2,607,963.92</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2,607,963.92</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2,460,390.06</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147,573.86</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206</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科学技术支出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2,240,973.80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2,240,973.80</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2,093,399.94</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147,573.86</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20601</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科学技术管理事务</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2,240,973.80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2,240,973.80</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2,093,399.94</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147,573.86</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2060199</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其他科学技术管理事务支出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2,240,973.80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2,240,973.80</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2,093,399.94</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147,573.86</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208</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社会保障和就业支出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262,918.08</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262,918.08</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262,918.08</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20805</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行政事业单位养老支出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262,918.08</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262,918.08</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262,918.08</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2080505</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机关事业单位基本养老保险缴费支出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175,278.72</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175,278.72</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175,278.72</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2080506</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机关事业单位职业年金缴费支出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87,639.36</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87,639.36</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87,639.36</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210</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卫生健康支出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104,072.04</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104,072.04</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104,072.04</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21011</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行政事业单位医疗</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104,072.04</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104,072.04</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104,072.04</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2101102</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事业单位医疗</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104,072.04</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104,072.04</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104,072.04</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7"/>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注：本表反映本年度一般公共预算财政拨款支出情况。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七、一般公共预算财政拨款基本支出决算明细表 </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28"/>
        <w:gridCol w:w="1869"/>
        <w:gridCol w:w="1884"/>
        <w:gridCol w:w="877"/>
        <w:gridCol w:w="1800"/>
        <w:gridCol w:w="1831"/>
        <w:gridCol w:w="1092"/>
        <w:gridCol w:w="1984"/>
        <w:gridCol w:w="17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382" w:type="pct"/>
            <w:gridSpan w:val="8"/>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部门（单位）：天津市南开区科技创新发展中心 </w:t>
            </w:r>
          </w:p>
        </w:tc>
        <w:tc>
          <w:tcPr>
            <w:tcW w:w="617"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人员经费</w:t>
            </w:r>
          </w:p>
        </w:tc>
        <w:tc>
          <w:tcPr>
            <w:tcW w:w="3327" w:type="pct"/>
            <w:gridSpan w:val="6"/>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工资福利支出</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2,351,999.34</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商品和服务支出</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147,573.86</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30703</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国内债务发行费用</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30101</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基本工资</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526,452.00</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30201</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办公费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21,640.16</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30704</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国外债务发行费用</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30102</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津贴补贴</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241,526.26</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30202</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印刷费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592.00</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资本性支出</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30103</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奖金</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30203</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咨询费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31001</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房屋建筑物购建</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30106</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伙食补助费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30204</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手续费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406.86</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31002</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办公设备购置</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30107</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绩效工资</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583,068.00</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30205</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水费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31003</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专用设备购置</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30108</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机关事业单位基本养老保险缴费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175,278.72</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30206</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电费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31005</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基础设施建设</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30109</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职业年金缴费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87,639.36</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30207</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邮电费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3,720.00</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31006</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大型修缮</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30110</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职工基本医疗保险缴费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104,072.04</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30208</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取暖费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31007</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信息网络及软件购置更新</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30111</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公务员医疗补助缴费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30209</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物业管理费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31008</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物资储备</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30112</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其他社会保障缴费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13,968.09</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30211</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差旅费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3,472.50</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31009</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土地补偿</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30113</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住房公积金</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606,042.00</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30212</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因公出国（境）费用</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31010</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安置补助</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30114</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医疗费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30213</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维修(护)费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1,230.00</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31011</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地上附着物和青苗补偿</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30199</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其他工资福利支出</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13,952.87</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30214</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租赁费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31012</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拆迁补偿</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对个人和家庭的补助</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108,390.72</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30215</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会议费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31013</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公务用车购置</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30301</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离休费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30216</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培训费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31019</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其他交通工具购置</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30302</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退休费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108,165.72</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30217</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公务接待费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31021</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文物和陈列品购置</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30303</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退职（役）费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30218</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专用材料费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31022</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无形资产购置</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30304</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抚恤金</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30224</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被装购置费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31099</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其他资本性支出</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30305</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生活补助</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30225</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专用燃料费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对企业补助</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30306</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救济费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30226</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劳务费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341.00</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31201</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资本金注入</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30307</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医疗费补助</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30227</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委托业务费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20,000.00</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31203</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政府投资基金股权投资</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30308</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助学金</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30228</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工会经费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13,145.90</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31204</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费用补贴</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30309</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奖励金</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225.00</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30229</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福利费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47,367.20</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31205</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利息补贴</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30310</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个人农业生产补贴</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30231</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公务用车运行维护费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31206</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其他资本性补助</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30311</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代缴社会保险费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30239</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其他交通费用</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5,022.72</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31299</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其他对企业补助</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30399</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其他对个人和家庭的补助</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30240</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税金及附加费用</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其他支出</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67"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30299</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其他商品和服务支出</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30,635.52</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39907</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国家赔偿费用支出</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67"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债务利息及费用支出</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39908</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对民间非营利组织和群众性自治组织补贴</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67"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30701</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国内债务付息</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39909</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经常性赠与</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67"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30702</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国外债务付息</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39910</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资本性赠与</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67"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54"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39999</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其他支出</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99" w:type="pct"/>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人员经费合计</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2,460,390.06</w:t>
            </w:r>
          </w:p>
        </w:tc>
        <w:tc>
          <w:tcPr>
            <w:tcW w:w="2710" w:type="pct"/>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公用经费合计</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147,573.86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9"/>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注：本表反映本年度一般公共预算财政拨款基本支出明细情况。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Theme="minorEastAsia" w:hAnsiTheme="minorEastAsia" w:eastAsiaTheme="minorEastAsia" w:cstheme="minorEastAsia"/>
          <w:b w:val="0"/>
          <w:bCs w:val="0"/>
          <w:color w:val="auto"/>
          <w:kern w:val="0"/>
          <w:sz w:val="22"/>
          <w:szCs w:val="22"/>
          <w:highlight w:val="none"/>
        </w:rPr>
      </w:pPr>
      <w:r>
        <w:rPr>
          <w:rFonts w:hint="eastAsia" w:ascii="仿宋" w:hAnsi="仿宋" w:eastAsia="仿宋" w:cs="仿宋"/>
          <w:b/>
          <w:bCs/>
          <w:color w:val="000000"/>
          <w:sz w:val="30"/>
          <w:szCs w:val="30"/>
          <w:lang w:val="en-US" w:eastAsia="zh-CN"/>
        </w:rPr>
        <w:t xml:space="preserve">八、政府性基金预算财政拨款收入支出决算表 </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81"/>
        <w:gridCol w:w="3851"/>
        <w:gridCol w:w="1510"/>
        <w:gridCol w:w="1537"/>
        <w:gridCol w:w="1429"/>
        <w:gridCol w:w="1428"/>
        <w:gridCol w:w="1509"/>
        <w:gridCol w:w="14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482" w:type="pct"/>
            <w:gridSpan w:val="7"/>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ascii="宋体-简" w:hAnsi="宋体-简" w:eastAsia="宋体-简" w:cs="宋体-简"/>
                <w:i w:val="0"/>
                <w:iCs w:val="0"/>
                <w:color w:val="000000"/>
                <w:sz w:val="20"/>
                <w:szCs w:val="20"/>
                <w:u w:val="none"/>
              </w:rPr>
            </w:pPr>
            <w:r>
              <w:rPr>
                <w:rFonts w:hint="eastAsia" w:ascii="宋体-简" w:hAnsi="宋体-简" w:eastAsia="宋体-简" w:cs="宋体-简"/>
                <w:i w:val="0"/>
                <w:iCs w:val="0"/>
                <w:color w:val="000000"/>
                <w:kern w:val="0"/>
                <w:sz w:val="20"/>
                <w:szCs w:val="20"/>
                <w:u w:val="none"/>
                <w:lang w:val="en-US" w:eastAsia="zh-CN" w:bidi="ar"/>
              </w:rPr>
              <w:t>部门（单位）：</w:t>
            </w:r>
            <w:r>
              <w:rPr>
                <w:rFonts w:ascii="Arial" w:hAnsi="Arial" w:eastAsia="宋体-简" w:cs="Arial"/>
                <w:i w:val="0"/>
                <w:iCs w:val="0"/>
                <w:color w:val="000000"/>
                <w:kern w:val="0"/>
                <w:sz w:val="20"/>
                <w:szCs w:val="20"/>
                <w:u w:val="none"/>
                <w:lang w:val="en-US" w:eastAsia="zh-CN" w:bidi="ar"/>
              </w:rPr>
              <w:t xml:space="preserve">天津市南开区科技创新发展中心 </w:t>
            </w:r>
          </w:p>
        </w:tc>
        <w:tc>
          <w:tcPr>
            <w:tcW w:w="517"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支出功能分类科目</w:t>
            </w:r>
          </w:p>
        </w:tc>
        <w:tc>
          <w:tcPr>
            <w:tcW w:w="539"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年初结转和结余</w:t>
            </w:r>
          </w:p>
        </w:tc>
        <w:tc>
          <w:tcPr>
            <w:tcW w:w="549"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本年收入</w:t>
            </w:r>
          </w:p>
        </w:tc>
        <w:tc>
          <w:tcPr>
            <w:tcW w:w="1560" w:type="pct"/>
            <w:gridSpan w:val="3"/>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本年支出</w:t>
            </w:r>
          </w:p>
        </w:tc>
        <w:tc>
          <w:tcPr>
            <w:tcW w:w="517"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7" w:type="pct"/>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科目编码</w:t>
            </w:r>
          </w:p>
        </w:tc>
        <w:tc>
          <w:tcPr>
            <w:tcW w:w="1376"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科目名称</w:t>
            </w:r>
          </w:p>
        </w:tc>
        <w:tc>
          <w:tcPr>
            <w:tcW w:w="539"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549"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510"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小计</w:t>
            </w:r>
          </w:p>
        </w:tc>
        <w:tc>
          <w:tcPr>
            <w:tcW w:w="510"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基本支出  </w:t>
            </w:r>
          </w:p>
        </w:tc>
        <w:tc>
          <w:tcPr>
            <w:tcW w:w="539"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项目支出</w:t>
            </w:r>
          </w:p>
        </w:tc>
        <w:tc>
          <w:tcPr>
            <w:tcW w:w="517"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注：本表反映本年度政府性基金预算财政拨款收入、支出及结转和结余情况。</w:t>
            </w:r>
          </w:p>
        </w:tc>
      </w:tr>
    </w:tbl>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天津市南开区科技创新发展中心2024年政府性基金预算财政拨款收入支出决算表为空表。</w:t>
      </w:r>
    </w:p>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Theme="minorEastAsia" w:hAnsiTheme="minorEastAsia" w:eastAsiaTheme="minorEastAsia" w:cstheme="minorEastAsia"/>
          <w:b w:val="0"/>
          <w:bCs w:val="0"/>
          <w:color w:val="auto"/>
          <w:kern w:val="0"/>
          <w:sz w:val="22"/>
          <w:szCs w:val="22"/>
          <w:highlight w:val="none"/>
        </w:rPr>
      </w:pPr>
      <w:r>
        <w:rPr>
          <w:rFonts w:hint="eastAsia" w:ascii="仿宋" w:hAnsi="仿宋" w:eastAsia="仿宋" w:cs="仿宋"/>
          <w:b/>
          <w:bCs/>
          <w:color w:val="000000"/>
          <w:sz w:val="30"/>
          <w:szCs w:val="30"/>
          <w:lang w:val="en-US" w:eastAsia="zh-CN"/>
        </w:rPr>
        <w:t xml:space="preserve">九、国有资本经营预算财政拨款支出决算表 </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2"/>
        <w:gridCol w:w="3442"/>
        <w:gridCol w:w="1619"/>
        <w:gridCol w:w="1579"/>
        <w:gridCol w:w="1523"/>
        <w:gridCol w:w="1606"/>
        <w:gridCol w:w="1468"/>
        <w:gridCol w:w="14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487" w:type="pct"/>
            <w:gridSpan w:val="7"/>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ascii="宋体-简" w:hAnsi="宋体-简" w:eastAsia="宋体-简" w:cs="宋体-简"/>
                <w:i w:val="0"/>
                <w:iCs w:val="0"/>
                <w:color w:val="000000"/>
                <w:sz w:val="20"/>
                <w:szCs w:val="20"/>
                <w:u w:val="none"/>
              </w:rPr>
            </w:pPr>
            <w:r>
              <w:rPr>
                <w:rFonts w:hint="eastAsia" w:ascii="宋体-简" w:hAnsi="宋体-简" w:eastAsia="宋体-简" w:cs="宋体-简"/>
                <w:i w:val="0"/>
                <w:iCs w:val="0"/>
                <w:color w:val="000000"/>
                <w:kern w:val="0"/>
                <w:sz w:val="20"/>
                <w:szCs w:val="20"/>
                <w:u w:val="none"/>
                <w:lang w:val="en-US" w:eastAsia="zh-CN" w:bidi="ar"/>
              </w:rPr>
              <w:t>部门（单位）：</w:t>
            </w:r>
            <w:r>
              <w:rPr>
                <w:rFonts w:ascii="Arial" w:hAnsi="Arial" w:eastAsia="宋体-简" w:cs="Arial"/>
                <w:i w:val="0"/>
                <w:iCs w:val="0"/>
                <w:color w:val="000000"/>
                <w:kern w:val="0"/>
                <w:sz w:val="20"/>
                <w:szCs w:val="20"/>
                <w:u w:val="none"/>
                <w:lang w:val="en-US" w:eastAsia="zh-CN" w:bidi="ar"/>
              </w:rPr>
              <w:t xml:space="preserve">天津市南开区科技创新发展中心 </w:t>
            </w:r>
          </w:p>
        </w:tc>
        <w:tc>
          <w:tcPr>
            <w:tcW w:w="512"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0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支出功能分类科目</w:t>
            </w:r>
          </w:p>
        </w:tc>
        <w:tc>
          <w:tcPr>
            <w:tcW w:w="57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年初结转和结余</w:t>
            </w:r>
          </w:p>
        </w:tc>
        <w:tc>
          <w:tcPr>
            <w:tcW w:w="56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本年收入</w:t>
            </w:r>
          </w:p>
        </w:tc>
        <w:tc>
          <w:tcPr>
            <w:tcW w:w="164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本年支出</w:t>
            </w:r>
          </w:p>
        </w:tc>
        <w:tc>
          <w:tcPr>
            <w:tcW w:w="51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科目编码</w:t>
            </w:r>
          </w:p>
        </w:tc>
        <w:tc>
          <w:tcPr>
            <w:tcW w:w="1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科目名称</w:t>
            </w:r>
          </w:p>
        </w:tc>
        <w:tc>
          <w:tcPr>
            <w:tcW w:w="57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56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5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基本支出  </w:t>
            </w:r>
          </w:p>
        </w:tc>
        <w:tc>
          <w:tcPr>
            <w:tcW w:w="5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项目支出</w:t>
            </w:r>
          </w:p>
        </w:tc>
        <w:tc>
          <w:tcPr>
            <w:tcW w:w="51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170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注：本表反映本年度国有资本经营预算财政拨款收入、支出及结转和结余情况。</w:t>
            </w:r>
          </w:p>
        </w:tc>
      </w:tr>
    </w:tbl>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天津市南开区科技创新发展中心2024年国有资本经营预算财政拨款收入支出决算表为空表。</w:t>
      </w:r>
    </w:p>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十、财政拨款“三公”经费支出决算表 </w:t>
      </w:r>
    </w:p>
    <w:tbl>
      <w:tblPr>
        <w:tblStyle w:val="11"/>
        <w:tblW w:w="13638" w:type="dxa"/>
        <w:tblInd w:w="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169"/>
        <w:gridCol w:w="2108"/>
        <w:gridCol w:w="2400"/>
        <w:gridCol w:w="2385"/>
        <w:gridCol w:w="2430"/>
        <w:gridCol w:w="21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1492" w:type="dxa"/>
            <w:gridSpan w:val="5"/>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部门（单位）：天津市南开区科技创新发展中心 </w:t>
            </w:r>
          </w:p>
        </w:tc>
        <w:tc>
          <w:tcPr>
            <w:tcW w:w="2146"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16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2108"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因公出国（境）费</w:t>
            </w:r>
          </w:p>
        </w:tc>
        <w:tc>
          <w:tcPr>
            <w:tcW w:w="7215" w:type="dxa"/>
            <w:gridSpan w:val="3"/>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公务用车购置及运行维护费</w:t>
            </w:r>
          </w:p>
        </w:tc>
        <w:tc>
          <w:tcPr>
            <w:tcW w:w="2146"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1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2108"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2400"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小计</w:t>
            </w:r>
          </w:p>
        </w:tc>
        <w:tc>
          <w:tcPr>
            <w:tcW w:w="2385"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公务用车购置费</w:t>
            </w:r>
          </w:p>
        </w:tc>
        <w:tc>
          <w:tcPr>
            <w:tcW w:w="2430"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公务用车运行维护费</w:t>
            </w:r>
          </w:p>
        </w:tc>
        <w:tc>
          <w:tcPr>
            <w:tcW w:w="2146"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638" w:type="dxa"/>
            <w:gridSpan w:val="6"/>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注：本表反映本年度“三公”经费支出决算情况。其中决算数是包括当年财政拨款和以前年度结转资金安排的实际支出。</w:t>
            </w:r>
          </w:p>
        </w:tc>
      </w:tr>
    </w:tbl>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天津市南开区科技创新发展中心2024年财政拨款“三公”经费支出决算表为空表。</w:t>
      </w:r>
    </w:p>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十一、项目支出决算表 </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12"/>
        <w:gridCol w:w="2862"/>
        <w:gridCol w:w="1738"/>
        <w:gridCol w:w="1616"/>
        <w:gridCol w:w="1707"/>
        <w:gridCol w:w="1693"/>
        <w:gridCol w:w="1674"/>
        <w:gridCol w:w="15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431" w:type="pct"/>
            <w:gridSpan w:val="7"/>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部门（单位）：天津市南开区科技创新发展中心 </w:t>
            </w:r>
          </w:p>
        </w:tc>
        <w:tc>
          <w:tcPr>
            <w:tcW w:w="568"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4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项目</w:t>
            </w:r>
          </w:p>
        </w:tc>
        <w:tc>
          <w:tcPr>
            <w:tcW w:w="3579" w:type="pct"/>
            <w:gridSpan w:val="6"/>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97" w:type="pct"/>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1022" w:type="pct"/>
            <w:tcBorders>
              <w:top w:val="nil"/>
              <w:left w:val="nil"/>
              <w:bottom w:val="nil"/>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科目名称（二级项目名称）</w:t>
            </w:r>
          </w:p>
        </w:tc>
        <w:tc>
          <w:tcPr>
            <w:tcW w:w="621"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577"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一般公共预算</w:t>
            </w:r>
          </w:p>
        </w:tc>
        <w:tc>
          <w:tcPr>
            <w:tcW w:w="609"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政府性基金预算</w:t>
            </w:r>
          </w:p>
        </w:tc>
        <w:tc>
          <w:tcPr>
            <w:tcW w:w="604"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国有资本经营预算</w:t>
            </w:r>
          </w:p>
        </w:tc>
        <w:tc>
          <w:tcPr>
            <w:tcW w:w="598"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财政专户管理资金</w:t>
            </w:r>
          </w:p>
        </w:tc>
        <w:tc>
          <w:tcPr>
            <w:tcW w:w="568"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14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注：本表反映本年度项目支出决算情况，其中支出数包括当年预算资金和以前年度结转资金安排的合计实际支出。</w:t>
            </w:r>
          </w:p>
        </w:tc>
      </w:tr>
    </w:tbl>
    <w:p>
      <w:pPr>
        <w:widowControl/>
        <w:spacing w:before="0" w:beforeLines="0" w:beforeAutospacing="0" w:after="0" w:afterLines="0" w:afterAutospacing="0" w:line="240" w:lineRule="auto"/>
        <w:ind w:firstLine="640" w:firstLineChars="200"/>
        <w:jc w:val="left"/>
        <w:rPr>
          <w:rFonts w:ascii="宋体" w:eastAsia="仿宋_GB2312"/>
          <w:sz w:val="32"/>
          <w:szCs w:val="32"/>
        </w:rPr>
      </w:pPr>
      <w:r>
        <w:rPr>
          <w:rFonts w:ascii="宋体" w:eastAsia="仿宋_GB2312"/>
          <w:b w:val="0"/>
          <w:sz w:val="32"/>
          <w:szCs w:val="32"/>
        </w:rPr>
        <w:t>天津市南开区科技创新发展中心2024年项目支出决算表为空表。</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b w:val="0"/>
          <w:bCs w:val="0"/>
          <w:color w:val="auto"/>
          <w:kern w:val="0"/>
          <w:sz w:val="22"/>
          <w:szCs w:val="22"/>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b w:val="0"/>
          <w:bCs w:val="0"/>
          <w:color w:val="auto"/>
          <w:kern w:val="0"/>
          <w:sz w:val="22"/>
          <w:szCs w:val="22"/>
          <w:highlight w:val="none"/>
        </w:rPr>
        <w:sectPr>
          <w:pgSz w:w="16838" w:h="11906" w:orient="landscape"/>
          <w:pgMar w:top="2098" w:right="1531" w:bottom="1984" w:left="1531" w:header="851" w:footer="992" w:gutter="0"/>
          <w:pgBorders>
            <w:top w:val="none" w:sz="0" w:space="0"/>
            <w:left w:val="none" w:sz="0" w:space="0"/>
            <w:bottom w:val="none" w:sz="0" w:space="0"/>
            <w:right w:val="none" w:sz="0" w:space="0"/>
          </w:pgBorders>
          <w:cols w:space="720" w:num="1"/>
          <w:docGrid w:type="lines" w:linePitch="312" w:charSpace="0"/>
        </w:sectPr>
      </w:pPr>
    </w:p>
    <w:p>
      <w:pPr>
        <w:widowControl/>
        <w:spacing w:before="0" w:beforeLines="0" w:beforeAutospacing="0" w:after="0" w:afterLines="0" w:afterAutospacing="0" w:line="360" w:lineRule="auto"/>
        <w:jc w:val="center"/>
        <w:outlineLvl w:val="0"/>
        <w:rPr>
          <w:rFonts w:ascii="黑体" w:eastAsia="黑体"/>
          <w:sz w:val="44"/>
          <w:szCs w:val="44"/>
        </w:rPr>
      </w:pPr>
      <w:r>
        <w:rPr>
          <w:rFonts w:ascii="黑体" w:eastAsia="黑体"/>
          <w:b w:val="0"/>
          <w:sz w:val="44"/>
          <w:szCs w:val="44"/>
        </w:rPr>
        <w:t>第三部分  2024年度部门决算情况说明</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一、收入支出决算总体情况说明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天津市南开区科技创新发展中心2024年度收入、支出决算总计2,848,415.04元。与2023年度相比，收、支总计各减少308,173.52元，下降9.763%，主要原因是</w:t>
      </w:r>
      <w:r>
        <w:rPr>
          <w:rFonts w:hint="eastAsia" w:ascii="Times New Roman" w:eastAsia="仿宋_GB2312"/>
          <w:b w:val="0"/>
          <w:sz w:val="30"/>
          <w:szCs w:val="30"/>
          <w:lang w:eastAsia="zh-CN"/>
        </w:rPr>
        <w:t>办公地址迁移、在职人数减少，收支减少</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收入包括：一般公共预算财政拨款收入2,611,949.94元、其他收入2,114.52元。</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支出包括：科学技术支出2,240,973.80元、社会保障和就业支出262,918.08元、卫生健康支出104,072.04元。</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二、收入决算情况说明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天津市南开区科技创新发展中心2024年度本年收入合计2,614,064.46元，与2023年度相比减少467,075.10元，主要原因是</w:t>
      </w:r>
      <w:r>
        <w:rPr>
          <w:rFonts w:hint="eastAsia" w:ascii="Times New Roman" w:eastAsia="仿宋_GB2312"/>
          <w:b w:val="0"/>
          <w:sz w:val="30"/>
          <w:szCs w:val="30"/>
          <w:lang w:eastAsia="zh-CN"/>
        </w:rPr>
        <w:t>办公地址迁移、在职人数减少，收入减少</w:t>
      </w:r>
      <w:r>
        <w:rPr>
          <w:rFonts w:ascii="Times New Roman" w:eastAsia="仿宋_GB2312"/>
          <w:b w:val="0"/>
          <w:sz w:val="30"/>
          <w:szCs w:val="30"/>
        </w:rPr>
        <w:t>。其中：</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一般公共预算财政拨款收入2,611,949.94元，占99.919%；其他收入2,114.52元，占0.081%。</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三、支出决算情况说明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天津市南开区科技创新发展中心2024年度本年支出合计2,607,963.92元，与2023年度相比减少331,896.68元，主要原因是</w:t>
      </w:r>
      <w:r>
        <w:rPr>
          <w:rFonts w:hint="eastAsia" w:ascii="Times New Roman" w:eastAsia="仿宋_GB2312"/>
          <w:b w:val="0"/>
          <w:sz w:val="30"/>
          <w:szCs w:val="30"/>
          <w:lang w:eastAsia="zh-CN"/>
        </w:rPr>
        <w:t>办公地址迁移、在职人数减少，支出减少</w:t>
      </w:r>
      <w:r>
        <w:rPr>
          <w:rFonts w:ascii="Times New Roman" w:eastAsia="仿宋_GB2312"/>
          <w:b w:val="0"/>
          <w:sz w:val="30"/>
          <w:szCs w:val="30"/>
        </w:rPr>
        <w:t>。其中：</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基本支出2,607,963.92元，占100.000%。</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四、财政拨款收支决算总体情况说明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天津市南开区科技创新发展中心2024年度财政拨款收入、支出决算总计2,846,300.52元。与2023年度相比，财政拨款收、支总计各减少307,134.46元，下降9.740%，主要原因是</w:t>
      </w:r>
      <w:r>
        <w:rPr>
          <w:rFonts w:hint="eastAsia" w:ascii="Times New Roman" w:eastAsia="仿宋_GB2312"/>
          <w:b w:val="0"/>
          <w:sz w:val="30"/>
          <w:szCs w:val="30"/>
          <w:lang w:eastAsia="zh-CN"/>
        </w:rPr>
        <w:t>办公地址迁移、在职人数减少，财政拨款收支减少</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outlineLvl w:val="1"/>
        <w:rPr>
          <w:rFonts w:ascii="Times New Roman" w:eastAsia="仿宋_GB2312"/>
          <w:sz w:val="30"/>
          <w:szCs w:val="30"/>
        </w:rPr>
      </w:pPr>
      <w:r>
        <w:rPr>
          <w:rFonts w:ascii="Times New Roman" w:eastAsia="仿宋_GB2312"/>
          <w:b w:val="0"/>
          <w:sz w:val="30"/>
          <w:szCs w:val="30"/>
        </w:rPr>
        <w:t>收入包括：一般公共预算财政拨款2,611,949.94元、年初财政拨款结转和结余234,350.58元。</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支出包括：科学技术支出2,240,973.80元、社会保障和就业支出262,918.08元、卫生健康支出104,072.04元。</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五、一般公共预算财政拨款支出决算情况说明</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（一）总体情况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天津市南开区科技创新发展中心2024年度部门决算一般公共预算财政拨款支出合计2,607,963.92元，占本年支出合计的100.000%。与2023年度相比，一般公共预算财政拨款支出减少331,896.68元，下降11.290%，主要原因是</w:t>
      </w:r>
      <w:r>
        <w:rPr>
          <w:rFonts w:hint="eastAsia" w:ascii="Times New Roman" w:eastAsia="仿宋_GB2312"/>
          <w:b w:val="0"/>
          <w:sz w:val="30"/>
          <w:szCs w:val="30"/>
          <w:lang w:eastAsia="zh-CN"/>
        </w:rPr>
        <w:t>办公地址迁移、在职人数减少，财政拨款支出减少</w:t>
      </w:r>
      <w:r>
        <w:rPr>
          <w:rFonts w:ascii="Times New Roman" w:eastAsia="仿宋_GB2312"/>
          <w:b w:val="0"/>
          <w:sz w:val="30"/>
          <w:szCs w:val="30"/>
        </w:rPr>
        <w:t>。</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（二）支出结构情况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2024年度一般公共预算财政拨款支出2,607,963.92元，主要用于以下方面：科学技术支出（类）2,240,973.80元，占85.928%；社会保障和就业支出（类）262,918.08元，占10.081%；卫生健康支出（类）104,072.04元，占3.991%。</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（三）具体情况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2024年度一般公共预算财政拨款支出年初预算为2,596,301.92元，支出决算为2,607,963.92元，完成年初预算的100.449%。其中： </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1.​科学技术支出(类)科学技术管理事务(款)其他科学技术管理事务支出(项)年初预算为2,223,834.64元，支出决算为2,240,973.80元，完成年初预算的100.771%，决算数大于年初预算数的主要原因是：</w:t>
      </w:r>
      <w:r>
        <w:rPr>
          <w:rFonts w:hint="eastAsia" w:ascii="Times New Roman" w:eastAsia="仿宋_GB2312"/>
          <w:b w:val="0"/>
          <w:sz w:val="30"/>
          <w:szCs w:val="30"/>
          <w:lang w:eastAsia="zh-CN"/>
        </w:rPr>
        <w:t>晋级晋档等原因，在职人员工资调整，支出增多</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2.​社会保障和就业支出(类)行政事业单位养老支出(款)机关事业单位基本养老保险缴费支出(项)年初预算为175,278.72元，支出决算为175,278.72元，完成年初预算的100.000%，决算数与年初预算数持平的主要原因是：</w:t>
      </w:r>
      <w:r>
        <w:rPr>
          <w:rFonts w:hint="eastAsia" w:ascii="Times New Roman" w:eastAsia="仿宋_GB2312"/>
          <w:b w:val="0"/>
          <w:sz w:val="30"/>
          <w:szCs w:val="30"/>
          <w:lang w:eastAsia="zh-CN"/>
        </w:rPr>
        <w:t>严格执行年初预算，用于缴纳养老保险支出</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3.​社会保障和就业支出(类)行政事业单位养老支出(款)机关事业单位职业年金缴费支出(项)年初预算为87,639.36元，支出决算为87,639.36元，完成年初预算的100.000%，决算数与年初预算数持平的主要原因是：</w:t>
      </w:r>
      <w:r>
        <w:rPr>
          <w:rFonts w:hint="eastAsia" w:ascii="Times New Roman" w:eastAsia="仿宋_GB2312"/>
          <w:b w:val="0"/>
          <w:sz w:val="30"/>
          <w:szCs w:val="30"/>
          <w:lang w:eastAsia="zh-CN"/>
        </w:rPr>
        <w:t>严格执行年初预算，用于缴纳职业年金支出</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4.​卫生健康支出(类)行政事业单位医疗(款)事业单位医疗(项)年初预算为109,549.20元，支出决算为104,072.04元，完成年初预算的95.000%，决算数小于年初预算数的主要原因是：</w:t>
      </w:r>
      <w:r>
        <w:rPr>
          <w:rFonts w:hint="eastAsia" w:ascii="Times New Roman" w:eastAsia="仿宋_GB2312"/>
          <w:b w:val="0"/>
          <w:sz w:val="30"/>
          <w:szCs w:val="30"/>
          <w:lang w:eastAsia="zh-CN"/>
        </w:rPr>
        <w:t>社保缴费比例</w:t>
      </w:r>
      <w:r>
        <w:rPr>
          <w:rFonts w:hint="eastAsia" w:ascii="Times New Roman" w:eastAsia="仿宋_GB2312"/>
          <w:b w:val="0"/>
          <w:sz w:val="30"/>
          <w:szCs w:val="30"/>
          <w:lang w:val="en-US" w:eastAsia="zh-CN"/>
        </w:rPr>
        <w:t>调整</w:t>
      </w:r>
      <w:r>
        <w:rPr>
          <w:rFonts w:hint="eastAsia" w:ascii="Times New Roman" w:eastAsia="仿宋_GB2312"/>
          <w:b w:val="0"/>
          <w:sz w:val="30"/>
          <w:szCs w:val="30"/>
          <w:lang w:eastAsia="zh-CN"/>
        </w:rPr>
        <w:t>，实际缴费金额减少</w:t>
      </w:r>
      <w:r>
        <w:rPr>
          <w:rFonts w:ascii="Times New Roman" w:eastAsia="仿宋_GB2312"/>
          <w:b w:val="0"/>
          <w:sz w:val="30"/>
          <w:szCs w:val="30"/>
        </w:rPr>
        <w:t>。</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六、一般公共预算财政拨款基本支出决算情况说明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天津市南开区科技创新发展中心2024年度部门决算一般公共预算财政拨款基本支出合计2,607,963.92元，与2023年度相比减少331,896.68元，主要原因是</w:t>
      </w:r>
      <w:r>
        <w:rPr>
          <w:rFonts w:hint="eastAsia" w:ascii="Times New Roman" w:eastAsia="仿宋_GB2312"/>
          <w:b w:val="0"/>
          <w:sz w:val="30"/>
          <w:szCs w:val="30"/>
          <w:lang w:eastAsia="zh-CN"/>
        </w:rPr>
        <w:t>我单位在职人数减少，办公地址迁移，基本支出减少</w:t>
      </w:r>
      <w:r>
        <w:rPr>
          <w:rFonts w:ascii="Times New Roman" w:eastAsia="仿宋_GB2312"/>
          <w:b w:val="0"/>
          <w:sz w:val="30"/>
          <w:szCs w:val="30"/>
        </w:rPr>
        <w:t>。其中：</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人员经费2,460,390.06元，主要包括基本工资、津贴补贴、绩效工资、机关事业单位基本养老保险缴费、职业年金缴费、职工基本医疗保险缴费、其他社会保障缴费、住房公积金、其他工资福利支出、退休费和奖励金。</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公用经费147,573.86元，主要包括办公费、印刷费、手续费、邮电费、差旅费、维修(护)费、劳务费、委托业务费、工会经费、福利费、其他交通费用和其他商品和服务支出。</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七、政府性基金预算财政拨款收支决算情况说明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天津市南开区科技创新发展中心2024年度无政府性基金预算财政拨款收入、支出和结转结余。</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八、国有资本经营预算财政拨款收支决算情况说明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天津市南开区科技创新发展中心2024年度无国有资本经营预算财政拨款收入、支出和结转结余。</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九、财政拨款“三公”经费支出决算情况说明</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（一）总体情况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2024年财政拨款“三公”经费预算0.00元，支出决算0.00元，与2024年预算相比持平；支出决算较上年持平；决算数与预算数持平的主要原因是</w:t>
      </w:r>
      <w:r>
        <w:rPr>
          <w:rFonts w:hint="eastAsia" w:ascii="Times New Roman" w:hAnsi="Times New Roman" w:eastAsia="仿宋_GB2312" w:cs="仿宋_GB2312"/>
          <w:sz w:val="30"/>
          <w:szCs w:val="30"/>
          <w:highlight w:val="none"/>
          <w:lang w:eastAsia="zh-CN"/>
        </w:rPr>
        <w:t>本年度未用财政拨款经费列支“三公”经费</w:t>
      </w:r>
      <w:r>
        <w:rPr>
          <w:rFonts w:ascii="Times New Roman" w:eastAsia="仿宋_GB2312"/>
          <w:b w:val="0"/>
          <w:sz w:val="30"/>
          <w:szCs w:val="30"/>
        </w:rPr>
        <w:t>；决算数较上年持平的主要原因是</w:t>
      </w:r>
      <w:r>
        <w:rPr>
          <w:rFonts w:hint="eastAsia" w:ascii="Times New Roman" w:hAnsi="Times New Roman" w:eastAsia="仿宋_GB2312" w:cs="仿宋_GB2312"/>
          <w:sz w:val="30"/>
          <w:szCs w:val="30"/>
          <w:highlight w:val="none"/>
          <w:lang w:eastAsia="zh-CN"/>
        </w:rPr>
        <w:t>本年度未用财政拨款经费列支“三公”经费</w:t>
      </w:r>
      <w:r>
        <w:rPr>
          <w:rFonts w:ascii="Times New Roman" w:eastAsia="仿宋_GB2312"/>
          <w:b w:val="0"/>
          <w:sz w:val="30"/>
          <w:szCs w:val="30"/>
        </w:rPr>
        <w:t>。</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（二）具体情况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1.因公出国（境）费预算0.00元，支出决算0.00元，与预算相比持平；支出决算较上年持平；决算数与预算数持平的主要原因是</w:t>
      </w:r>
      <w:r>
        <w:rPr>
          <w:rFonts w:hint="eastAsia" w:ascii="Times New Roman" w:hAnsi="Times New Roman" w:eastAsia="仿宋_GB2312" w:cs="仿宋_GB2312"/>
          <w:sz w:val="30"/>
          <w:szCs w:val="30"/>
          <w:highlight w:val="none"/>
          <w:lang w:eastAsia="zh-CN"/>
        </w:rPr>
        <w:t>年度未用财政拨款经费列支因公出国（境）费</w:t>
      </w:r>
      <w:r>
        <w:rPr>
          <w:rFonts w:ascii="Times New Roman" w:eastAsia="仿宋_GB2312"/>
          <w:b w:val="0"/>
          <w:sz w:val="30"/>
          <w:szCs w:val="30"/>
        </w:rPr>
        <w:t>；决算数较上年持平的主要原因是</w:t>
      </w:r>
      <w:r>
        <w:rPr>
          <w:rFonts w:hint="eastAsia" w:ascii="Times New Roman" w:hAnsi="Times New Roman" w:eastAsia="仿宋_GB2312" w:cs="仿宋_GB2312"/>
          <w:sz w:val="30"/>
          <w:szCs w:val="30"/>
          <w:highlight w:val="none"/>
          <w:lang w:eastAsia="zh-CN"/>
        </w:rPr>
        <w:t>本年度未用财政拨款经费列支因公出国（境）费</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2024年本单位组织的出国团组0个，出国0人次。</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2.公务用车购置及运行维护费预算0.00元，支出决算0.00元，与预算相比持平；支出决算较上年持平；决算数与预算数持平的主要原因是</w:t>
      </w:r>
      <w:r>
        <w:rPr>
          <w:rFonts w:hint="eastAsia" w:ascii="Times New Roman" w:hAnsi="Times New Roman" w:eastAsia="仿宋_GB2312" w:cs="仿宋_GB2312"/>
          <w:sz w:val="30"/>
          <w:szCs w:val="30"/>
          <w:highlight w:val="none"/>
          <w:lang w:eastAsia="zh-CN"/>
        </w:rPr>
        <w:t>本年度未用财政拨款经费列支公务用车购置及运行维护费</w:t>
      </w:r>
      <w:r>
        <w:rPr>
          <w:rFonts w:ascii="Times New Roman" w:eastAsia="仿宋_GB2312"/>
          <w:b w:val="0"/>
          <w:sz w:val="30"/>
          <w:szCs w:val="30"/>
        </w:rPr>
        <w:t>；决算数较上年持平的主要原因是</w:t>
      </w:r>
      <w:r>
        <w:rPr>
          <w:rFonts w:hint="eastAsia" w:ascii="Times New Roman" w:hAnsi="Times New Roman" w:eastAsia="仿宋_GB2312" w:cs="仿宋_GB2312"/>
          <w:sz w:val="30"/>
          <w:szCs w:val="30"/>
          <w:highlight w:val="none"/>
          <w:lang w:eastAsia="zh-CN"/>
        </w:rPr>
        <w:t>本年度未用财政拨款经费列支公务用车购置及运行维护费</w:t>
      </w:r>
      <w:r>
        <w:rPr>
          <w:rFonts w:ascii="Times New Roman" w:eastAsia="仿宋_GB2312"/>
          <w:b w:val="0"/>
          <w:sz w:val="30"/>
          <w:szCs w:val="30"/>
        </w:rPr>
        <w:t>。其中：</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公务用车运行维护费预算0.00元，支出决算0.00元，与预算相比持平；支出决算较上年持平；决算数与预算数持平的主要原因是</w:t>
      </w:r>
      <w:r>
        <w:rPr>
          <w:rFonts w:hint="eastAsia" w:ascii="Times New Roman" w:hAnsi="Times New Roman" w:eastAsia="仿宋_GB2312" w:cs="仿宋_GB2312"/>
          <w:sz w:val="30"/>
          <w:szCs w:val="30"/>
          <w:highlight w:val="none"/>
          <w:lang w:eastAsia="zh-CN"/>
        </w:rPr>
        <w:t>本年度未用财政拨款经费列支</w:t>
      </w:r>
      <w:r>
        <w:rPr>
          <w:rFonts w:hint="eastAsia" w:ascii="Times New Roman" w:hAnsi="Times New Roman" w:eastAsia="仿宋_GB2312" w:cs="仿宋_GB2312"/>
          <w:kern w:val="0"/>
          <w:sz w:val="30"/>
          <w:szCs w:val="30"/>
          <w:highlight w:val="none"/>
        </w:rPr>
        <w:t>公务用车运行维护费</w:t>
      </w:r>
      <w:r>
        <w:rPr>
          <w:rFonts w:ascii="Times New Roman" w:eastAsia="仿宋_GB2312"/>
          <w:b w:val="0"/>
          <w:sz w:val="30"/>
          <w:szCs w:val="30"/>
        </w:rPr>
        <w:t>；决算数较上年持平的主要原因是</w:t>
      </w:r>
      <w:r>
        <w:rPr>
          <w:rFonts w:hint="eastAsia" w:ascii="Times New Roman" w:hAnsi="Times New Roman" w:eastAsia="仿宋_GB2312" w:cs="仿宋_GB2312"/>
          <w:sz w:val="30"/>
          <w:szCs w:val="30"/>
          <w:highlight w:val="none"/>
          <w:lang w:eastAsia="zh-CN"/>
        </w:rPr>
        <w:t>本年度未用财政拨款经费列支</w:t>
      </w:r>
      <w:r>
        <w:rPr>
          <w:rFonts w:hint="eastAsia" w:ascii="Times New Roman" w:hAnsi="Times New Roman" w:eastAsia="仿宋_GB2312" w:cs="仿宋_GB2312"/>
          <w:kern w:val="0"/>
          <w:sz w:val="30"/>
          <w:szCs w:val="30"/>
          <w:highlight w:val="none"/>
        </w:rPr>
        <w:t>公务用车运行维护费</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截至2024年12月31日，使用财政拨款开支运行维护费的公务用车保有量为0辆。</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公务用车购置费预算0.00元，支出决算0.00元，与预算相比持平；支出决算较上年持平；决算数与预算数持平的主要原因是</w:t>
      </w:r>
      <w:r>
        <w:rPr>
          <w:rFonts w:hint="eastAsia" w:ascii="Times New Roman" w:hAnsi="Times New Roman" w:eastAsia="仿宋_GB2312" w:cs="仿宋_GB2312"/>
          <w:sz w:val="30"/>
          <w:szCs w:val="30"/>
          <w:highlight w:val="none"/>
          <w:lang w:eastAsia="zh-CN"/>
        </w:rPr>
        <w:t>本年度未用财政拨款经费列支</w:t>
      </w:r>
      <w:r>
        <w:rPr>
          <w:rFonts w:ascii="Times New Roman" w:eastAsia="仿宋_GB2312"/>
          <w:b w:val="0"/>
          <w:sz w:val="30"/>
          <w:szCs w:val="30"/>
        </w:rPr>
        <w:t>公务用车购置费；决算数较上年持平的主要原因是</w:t>
      </w:r>
      <w:r>
        <w:rPr>
          <w:rFonts w:hint="eastAsia" w:ascii="Times New Roman" w:hAnsi="Times New Roman" w:eastAsia="仿宋_GB2312" w:cs="仿宋_GB2312"/>
          <w:sz w:val="30"/>
          <w:szCs w:val="30"/>
          <w:highlight w:val="none"/>
          <w:lang w:eastAsia="zh-CN"/>
        </w:rPr>
        <w:t>本年度未用财政拨款经费列支</w:t>
      </w:r>
      <w:r>
        <w:rPr>
          <w:rFonts w:hint="eastAsia" w:ascii="Times New Roman" w:hAnsi="Times New Roman" w:eastAsia="仿宋_GB2312" w:cs="仿宋_GB2312"/>
          <w:kern w:val="0"/>
          <w:sz w:val="30"/>
          <w:szCs w:val="30"/>
          <w:highlight w:val="none"/>
        </w:rPr>
        <w:t>公务用车购置费</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2024年购置公务用车0辆。</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3.公务接待费预算0.00元，支出决算0.00元，与预算相比持平；支出决算较上年持平；决算数与预算数持平的主要原因是</w:t>
      </w:r>
      <w:r>
        <w:rPr>
          <w:rFonts w:hint="eastAsia" w:ascii="Times New Roman" w:hAnsi="Times New Roman" w:eastAsia="仿宋_GB2312" w:cs="仿宋_GB2312"/>
          <w:sz w:val="30"/>
          <w:szCs w:val="30"/>
          <w:highlight w:val="none"/>
          <w:lang w:eastAsia="zh-CN"/>
        </w:rPr>
        <w:t>本年度未用财政拨款经费列支公务接待费</w:t>
      </w:r>
      <w:r>
        <w:rPr>
          <w:rFonts w:ascii="Times New Roman" w:eastAsia="仿宋_GB2312"/>
          <w:b w:val="0"/>
          <w:sz w:val="30"/>
          <w:szCs w:val="30"/>
        </w:rPr>
        <w:t>；决算数较上年持平的主要原因是</w:t>
      </w:r>
      <w:r>
        <w:rPr>
          <w:rFonts w:hint="eastAsia" w:ascii="Times New Roman" w:hAnsi="Times New Roman" w:eastAsia="仿宋_GB2312" w:cs="仿宋_GB2312"/>
          <w:sz w:val="30"/>
          <w:szCs w:val="30"/>
          <w:highlight w:val="none"/>
          <w:lang w:eastAsia="zh-CN"/>
        </w:rPr>
        <w:t>本年度未用财政拨款经费列支公务接待费</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2024年本单位国内公务接待0批次，0人次；其中，外事接待0批次，0人次。</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十、机关运行经费支出情况说明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天津市南开区科技创新发展中心2024年度无机关运行经费。</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十一、政府采购支出情况说明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天津市南开区科技创新发展中心2024年度无政府采购支出。</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十二、国有资产占有使用情况说明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截至2024年12月31日，天津市南开区科技创新发展中心共有车辆0辆；单价100万元以上的设备1台（套）。</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十三、预算绩效情况说明</w:t>
      </w:r>
    </w:p>
    <w:p>
      <w:pPr>
        <w:widowControl/>
        <w:spacing w:before="0" w:beforeLines="0" w:beforeAutospacing="0" w:after="0" w:afterLines="0" w:afterAutospacing="0" w:line="360" w:lineRule="auto"/>
        <w:ind w:firstLine="600" w:firstLineChars="200"/>
        <w:jc w:val="left"/>
        <w:rPr>
          <w:rFonts w:hint="eastAsia" w:ascii="Times New Roman" w:eastAsia="仿宋_GB2312"/>
          <w:b w:val="0"/>
          <w:sz w:val="30"/>
          <w:szCs w:val="30"/>
        </w:rPr>
      </w:pPr>
      <w:r>
        <w:rPr>
          <w:rFonts w:ascii="Times New Roman" w:eastAsia="仿宋_GB2312"/>
          <w:b w:val="0"/>
          <w:sz w:val="30"/>
          <w:szCs w:val="30"/>
        </w:rPr>
        <w:t>天津市南开区科技创新发展中心</w:t>
      </w:r>
      <w:r>
        <w:rPr>
          <w:rFonts w:hint="eastAsia" w:ascii="Times New Roman" w:eastAsia="仿宋_GB2312"/>
          <w:b w:val="0"/>
          <w:sz w:val="30"/>
          <w:szCs w:val="30"/>
          <w:lang w:eastAsia="zh-CN"/>
        </w:rPr>
        <w:t>202</w:t>
      </w:r>
      <w:r>
        <w:rPr>
          <w:rFonts w:hint="eastAsia" w:ascii="Times New Roman" w:eastAsia="仿宋_GB2312"/>
          <w:b w:val="0"/>
          <w:sz w:val="30"/>
          <w:szCs w:val="30"/>
          <w:lang w:val="en-US" w:eastAsia="zh-CN"/>
        </w:rPr>
        <w:t>4</w:t>
      </w:r>
      <w:r>
        <w:rPr>
          <w:rFonts w:hint="eastAsia" w:ascii="Times New Roman" w:eastAsia="仿宋_GB2312"/>
          <w:b w:val="0"/>
          <w:sz w:val="30"/>
          <w:szCs w:val="30"/>
          <w:lang w:eastAsia="zh-CN"/>
        </w:rPr>
        <w:t>年度没有项目支出，无需开展绩效自评。</w:t>
      </w:r>
      <w:bookmarkStart w:id="0" w:name="_GoBack"/>
      <w:bookmarkEnd w:id="0"/>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十四、教育、医疗卫生、社会保障和就业、住房保障、涉农补贴等民生支出情况说明</w:t>
      </w:r>
    </w:p>
    <w:p>
      <w:pPr>
        <w:widowControl/>
        <w:spacing w:before="0" w:beforeLines="0" w:beforeAutospacing="0" w:after="0" w:afterLines="0" w:afterAutospacing="0" w:line="240" w:lineRule="auto"/>
        <w:ind w:firstLine="600" w:firstLineChars="200"/>
        <w:jc w:val="left"/>
        <w:rPr>
          <w:rFonts w:ascii="Times New Roman" w:eastAsia="仿宋_GB2312"/>
          <w:sz w:val="30"/>
          <w:szCs w:val="30"/>
        </w:rPr>
      </w:pPr>
      <w:r>
        <w:rPr>
          <w:rFonts w:ascii="Times New Roman" w:eastAsia="仿宋_GB2312"/>
          <w:b w:val="0"/>
          <w:sz w:val="30"/>
          <w:szCs w:val="30"/>
        </w:rPr>
        <w:t>天津市</w:t>
      </w:r>
      <w:r>
        <w:rPr>
          <w:rFonts w:hint="eastAsia" w:ascii="Times New Roman" w:eastAsia="仿宋_GB2312"/>
          <w:b w:val="0"/>
          <w:sz w:val="30"/>
          <w:szCs w:val="30"/>
          <w:lang w:eastAsia="zh-CN"/>
        </w:rPr>
        <w:t>南开区科技创新发展中心</w:t>
      </w:r>
      <w:r>
        <w:rPr>
          <w:rFonts w:ascii="Times New Roman" w:eastAsia="仿宋_GB2312"/>
          <w:b w:val="0"/>
          <w:sz w:val="30"/>
          <w:szCs w:val="30"/>
        </w:rPr>
        <w:t>不属于乡、镇、街级单位，不涉及公开2024年度教育、医疗卫生、社会保障和就业、住房保障、涉农补贴等民生支出情况。</w:t>
      </w:r>
    </w:p>
    <w:p>
      <w:pPr>
        <w:rPr>
          <w:rFonts w:ascii="黑体" w:eastAsia="黑体"/>
          <w:b w:val="0"/>
          <w:sz w:val="44"/>
          <w:szCs w:val="44"/>
        </w:rPr>
      </w:pPr>
      <w:r>
        <w:rPr>
          <w:rFonts w:ascii="黑体" w:eastAsia="黑体"/>
          <w:b w:val="0"/>
          <w:sz w:val="44"/>
          <w:szCs w:val="44"/>
        </w:rPr>
        <w:br w:type="page"/>
      </w:r>
    </w:p>
    <w:p>
      <w:pPr>
        <w:widowControl/>
        <w:spacing w:before="0" w:beforeLines="0" w:beforeAutospacing="0" w:after="0" w:afterLines="0" w:afterAutospacing="0" w:line="360" w:lineRule="auto"/>
        <w:jc w:val="center"/>
        <w:outlineLvl w:val="0"/>
        <w:rPr>
          <w:rFonts w:ascii="黑体" w:eastAsia="黑体"/>
          <w:sz w:val="44"/>
          <w:szCs w:val="44"/>
        </w:rPr>
      </w:pPr>
      <w:r>
        <w:rPr>
          <w:rFonts w:ascii="黑体" w:eastAsia="黑体"/>
          <w:b w:val="0"/>
          <w:sz w:val="44"/>
          <w:szCs w:val="44"/>
        </w:rPr>
        <w:t>第四部分 名词解释</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p>
      <w:pPr>
        <w:widowControl/>
        <w:spacing w:before="0" w:beforeLines="0" w:beforeAutospacing="0" w:after="0" w:afterLines="0" w:afterAutospacing="0" w:line="360" w:lineRule="auto"/>
        <w:ind w:firstLine="640" w:firstLineChars="200"/>
        <w:jc w:val="left"/>
        <w:rPr>
          <w:rFonts w:ascii="Times New Roman" w:eastAsia="仿宋_GB2312"/>
          <w:sz w:val="32"/>
          <w:szCs w:val="32"/>
        </w:rPr>
      </w:pPr>
      <w:r>
        <w:rPr>
          <w:rFonts w:ascii="Times New Roman" w:eastAsia="仿宋_GB2312"/>
          <w:b w:val="0"/>
          <w:sz w:val="32"/>
          <w:szCs w:val="32"/>
        </w:rPr>
        <w:t>  </w:t>
      </w:r>
    </w:p>
    <w:p>
      <w:pPr>
        <w:rPr>
          <w:rFonts w:hint="default" w:asciiTheme="minorEastAsia" w:hAnsiTheme="minorEastAsia" w:cstheme="minorEastAsia"/>
          <w:b w:val="0"/>
          <w:bCs w:val="0"/>
          <w:i w:val="0"/>
          <w:iCs w:val="0"/>
          <w:caps w:val="0"/>
          <w:color w:val="333333"/>
          <w:spacing w:val="0"/>
          <w:sz w:val="22"/>
          <w:szCs w:val="22"/>
          <w:highlight w:val="none"/>
          <w:shd w:val="clear" w:fill="FFFFFF"/>
          <w:lang w:val="en-US" w:eastAsia="zh-CN"/>
        </w:rPr>
      </w:pPr>
    </w:p>
    <w:sectPr>
      <w:pgSz w:w="11906" w:h="16838"/>
      <w:pgMar w:top="2098" w:right="1417" w:bottom="1871" w:left="1417" w:header="851" w:footer="992" w:gutter="0"/>
      <w:pgBorders>
        <w:top w:val="none" w:sz="0" w:space="0"/>
        <w:left w:val="none" w:sz="0" w:space="0"/>
        <w:bottom w:val="none" w:sz="0" w:space="0"/>
        <w:right w:val="none" w:sz="0" w:space="0"/>
      </w:pgBorders>
      <w:cols w:space="0" w:num="1"/>
      <w:rtlGutter w:val="0"/>
      <w:docGrid w:type="lines" w:linePitch="32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319D41F4-8E3F-4E04-A5DE-120CBB525B7B}"/>
  </w:font>
  <w:font w:name="黑体">
    <w:panose1 w:val="02010609060101010101"/>
    <w:charset w:val="86"/>
    <w:family w:val="auto"/>
    <w:pitch w:val="default"/>
    <w:sig w:usb0="800002BF" w:usb1="38CF7CFA" w:usb2="00000016" w:usb3="00000000" w:csb0="00040001" w:csb1="00000000"/>
    <w:embedRegular r:id="rId2" w:fontKey="{D2DECA8D-D814-44F3-BB5D-BA73A9447C6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B77F0992-9DDC-468A-B9BA-3AA5ECE79AF1}"/>
  </w:font>
  <w:font w:name="仿宋">
    <w:panose1 w:val="02010609060101010101"/>
    <w:charset w:val="86"/>
    <w:family w:val="modern"/>
    <w:pitch w:val="default"/>
    <w:sig w:usb0="800002BF" w:usb1="38CF7CFA" w:usb2="00000016" w:usb3="00000000" w:csb0="00040001" w:csb1="00000000"/>
    <w:embedRegular r:id="rId4" w:fontKey="{93AD2A75-5115-4460-B01D-705AA6B16371}"/>
  </w:font>
  <w:font w:name="Calibri Light">
    <w:panose1 w:val="020F0302020204030204"/>
    <w:charset w:val="00"/>
    <w:family w:val="auto"/>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 w:name="helvetica">
    <w:altName w:val="Courier New"/>
    <w:panose1 w:val="00000000000000000000"/>
    <w:charset w:val="00"/>
    <w:family w:val="auto"/>
    <w:pitch w:val="default"/>
    <w:sig w:usb0="00000000" w:usb1="00000000" w:usb2="00000000" w:usb3="00000000" w:csb0="2000019F" w:csb1="4F010000"/>
  </w:font>
  <w:font w:name="Fz_S_BiaoSong_Jt">
    <w:altName w:val="Courier New"/>
    <w:panose1 w:val="00000000000000000000"/>
    <w:charset w:val="00"/>
    <w:family w:val="auto"/>
    <w:pitch w:val="default"/>
    <w:sig w:usb0="00000000" w:usb1="00000000" w:usb2="00000000" w:usb3="00000000" w:csb0="00000000" w:csb1="00000000"/>
    <w:embedRegular r:id="rId5" w:fontKey="{7D2FDB61-D822-4056-A4CA-B2E298168DE3}"/>
  </w:font>
  <w:font w:name="仿宋_GB2312">
    <w:panose1 w:val="02010609030101010101"/>
    <w:charset w:val="86"/>
    <w:family w:val="auto"/>
    <w:pitch w:val="default"/>
    <w:sig w:usb0="00000001" w:usb1="080E0000" w:usb2="00000000" w:usb3="00000000" w:csb0="00040000" w:csb1="00000000"/>
    <w:embedRegular r:id="rId6" w:fontKey="{4181CDE1-8DDF-4947-9B44-DB9522778EDD}"/>
  </w:font>
  <w:font w:name="宋体-简">
    <w:altName w:val="宋体"/>
    <w:panose1 w:val="02010800040101010101"/>
    <w:charset w:val="86"/>
    <w:family w:val="auto"/>
    <w:pitch w:val="default"/>
    <w:sig w:usb0="00000000" w:usb1="00000000" w:usb2="00000000" w:usb3="00000000" w:csb0="00040000" w:csb1="00000000"/>
    <w:embedRegular r:id="rId7" w:fontKey="{79F98DF0-9692-486C-994C-3776B2013BA1}"/>
  </w:font>
  <w:font w:name="楷体">
    <w:panose1 w:val="02010609060101010101"/>
    <w:charset w:val="86"/>
    <w:family w:val="auto"/>
    <w:pitch w:val="default"/>
    <w:sig w:usb0="800002BF" w:usb1="38CF7CFA" w:usb2="00000016" w:usb3="00000000" w:csb0="00040001" w:csb1="00000000"/>
    <w:embedRegular r:id="rId8" w:fontKey="{062736BC-0446-4D78-8653-0E2E9A2A2D5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F1D044"/>
    <w:multiLevelType w:val="singleLevel"/>
    <w:tmpl w:val="EBF1D044"/>
    <w:lvl w:ilvl="0" w:tentative="0">
      <w:start w:val="6"/>
      <w:numFmt w:val="chineseCounting"/>
      <w:suff w:val="nothing"/>
      <w:lvlText w:val="%1、"/>
      <w:lvlJc w:val="left"/>
      <w:rPr>
        <w:rFonts w:hint="eastAsia"/>
      </w:rPr>
    </w:lvl>
  </w:abstractNum>
  <w:abstractNum w:abstractNumId="1">
    <w:nsid w:val="5F16A424"/>
    <w:multiLevelType w:val="multilevel"/>
    <w:tmpl w:val="5F16A424"/>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pStyle w:val="5"/>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TrueTypeFonts/>
  <w:saveSubsetFonts/>
  <w:bordersDoNotSurroundHeader w:val="0"/>
  <w:bordersDoNotSurroundFooter w:val="0"/>
  <w:documentProtection w:enforcement="0"/>
  <w:defaultTabStop w:val="420"/>
  <w:drawingGridVerticalSpacing w:val="16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jb3VudCI6NzEsImhkaWQiOiIwOWZmNGM5NWI3N2I3ZjBhMDgxMmUxZjg3YjY1Y2NmNSIsInVzZXJDb3VudCI6Mn0="/>
  </w:docVars>
  <w:rsids>
    <w:rsidRoot w:val="00000000"/>
    <w:rsid w:val="00086151"/>
    <w:rsid w:val="00236F8C"/>
    <w:rsid w:val="00822154"/>
    <w:rsid w:val="00C65689"/>
    <w:rsid w:val="00CC2C8E"/>
    <w:rsid w:val="016646EA"/>
    <w:rsid w:val="01A03C5A"/>
    <w:rsid w:val="01A5267D"/>
    <w:rsid w:val="01AF6A8D"/>
    <w:rsid w:val="024808A2"/>
    <w:rsid w:val="025C3821"/>
    <w:rsid w:val="02AE55E9"/>
    <w:rsid w:val="02DA3B1B"/>
    <w:rsid w:val="02E57B4D"/>
    <w:rsid w:val="03450B90"/>
    <w:rsid w:val="037B12D4"/>
    <w:rsid w:val="03804D63"/>
    <w:rsid w:val="03FB73B0"/>
    <w:rsid w:val="04806B11"/>
    <w:rsid w:val="049C1B9D"/>
    <w:rsid w:val="04BD008C"/>
    <w:rsid w:val="04C55939"/>
    <w:rsid w:val="04DA28BB"/>
    <w:rsid w:val="04F528BE"/>
    <w:rsid w:val="050E10CE"/>
    <w:rsid w:val="054F2DFB"/>
    <w:rsid w:val="05991C82"/>
    <w:rsid w:val="05CD1EC8"/>
    <w:rsid w:val="061416A9"/>
    <w:rsid w:val="061D60A6"/>
    <w:rsid w:val="06236884"/>
    <w:rsid w:val="06B07006"/>
    <w:rsid w:val="06FC7C2A"/>
    <w:rsid w:val="07533AFE"/>
    <w:rsid w:val="07AC18F2"/>
    <w:rsid w:val="07B3657A"/>
    <w:rsid w:val="07C857D0"/>
    <w:rsid w:val="083F3A0A"/>
    <w:rsid w:val="08AB5AAF"/>
    <w:rsid w:val="09012C64"/>
    <w:rsid w:val="092D5744"/>
    <w:rsid w:val="093B2E99"/>
    <w:rsid w:val="095D7943"/>
    <w:rsid w:val="09C006C6"/>
    <w:rsid w:val="0A10621F"/>
    <w:rsid w:val="0A464C4F"/>
    <w:rsid w:val="0A6729A3"/>
    <w:rsid w:val="0A694877"/>
    <w:rsid w:val="0AA954BE"/>
    <w:rsid w:val="0AE70639"/>
    <w:rsid w:val="0B4F5E6D"/>
    <w:rsid w:val="0B54502F"/>
    <w:rsid w:val="0B753AE2"/>
    <w:rsid w:val="0BB67D0A"/>
    <w:rsid w:val="0BC56230"/>
    <w:rsid w:val="0BCF21BD"/>
    <w:rsid w:val="0C4E53E8"/>
    <w:rsid w:val="0C6712D6"/>
    <w:rsid w:val="0C9F7900"/>
    <w:rsid w:val="0CB23317"/>
    <w:rsid w:val="0D101068"/>
    <w:rsid w:val="0D4E13BE"/>
    <w:rsid w:val="0D734F42"/>
    <w:rsid w:val="0D7557DF"/>
    <w:rsid w:val="0D853E34"/>
    <w:rsid w:val="0D9C2A57"/>
    <w:rsid w:val="0DC3019B"/>
    <w:rsid w:val="0DFA5D82"/>
    <w:rsid w:val="0E1E52CE"/>
    <w:rsid w:val="0E722011"/>
    <w:rsid w:val="0E866524"/>
    <w:rsid w:val="0E9268D3"/>
    <w:rsid w:val="0E957F1F"/>
    <w:rsid w:val="0F0E7284"/>
    <w:rsid w:val="0F28110F"/>
    <w:rsid w:val="0F37083F"/>
    <w:rsid w:val="0F7470AF"/>
    <w:rsid w:val="0F891DB8"/>
    <w:rsid w:val="0F8D3287"/>
    <w:rsid w:val="0FAA3B86"/>
    <w:rsid w:val="10191346"/>
    <w:rsid w:val="102A01A6"/>
    <w:rsid w:val="105A290D"/>
    <w:rsid w:val="10754A6C"/>
    <w:rsid w:val="107E4E0D"/>
    <w:rsid w:val="108B537D"/>
    <w:rsid w:val="10B11DB1"/>
    <w:rsid w:val="10E649D4"/>
    <w:rsid w:val="11177F57"/>
    <w:rsid w:val="11217C97"/>
    <w:rsid w:val="11464C20"/>
    <w:rsid w:val="115E4926"/>
    <w:rsid w:val="118A1FFA"/>
    <w:rsid w:val="11E35B5A"/>
    <w:rsid w:val="11E42DD6"/>
    <w:rsid w:val="125F5A1B"/>
    <w:rsid w:val="126979D6"/>
    <w:rsid w:val="129E45A7"/>
    <w:rsid w:val="13074404"/>
    <w:rsid w:val="136A5C00"/>
    <w:rsid w:val="13B97B08"/>
    <w:rsid w:val="13C527AC"/>
    <w:rsid w:val="143C61AE"/>
    <w:rsid w:val="14711797"/>
    <w:rsid w:val="147B6F17"/>
    <w:rsid w:val="14D42061"/>
    <w:rsid w:val="15081C8B"/>
    <w:rsid w:val="15090D5C"/>
    <w:rsid w:val="15CF053D"/>
    <w:rsid w:val="15E0131A"/>
    <w:rsid w:val="15E11DC0"/>
    <w:rsid w:val="16457D9F"/>
    <w:rsid w:val="17223EFF"/>
    <w:rsid w:val="17AA5F28"/>
    <w:rsid w:val="17B713F6"/>
    <w:rsid w:val="184350A0"/>
    <w:rsid w:val="18935485"/>
    <w:rsid w:val="18A34206"/>
    <w:rsid w:val="18DE3B2C"/>
    <w:rsid w:val="1906685D"/>
    <w:rsid w:val="19111683"/>
    <w:rsid w:val="19353916"/>
    <w:rsid w:val="193E101D"/>
    <w:rsid w:val="19C10AF1"/>
    <w:rsid w:val="1A017CDA"/>
    <w:rsid w:val="1A2672DE"/>
    <w:rsid w:val="1AA81D42"/>
    <w:rsid w:val="1AB433D9"/>
    <w:rsid w:val="1AFB6D70"/>
    <w:rsid w:val="1B1B11EE"/>
    <w:rsid w:val="1B3719E0"/>
    <w:rsid w:val="1B6261C3"/>
    <w:rsid w:val="1B731730"/>
    <w:rsid w:val="1B882BB5"/>
    <w:rsid w:val="1B9B33C7"/>
    <w:rsid w:val="1B9D7FEC"/>
    <w:rsid w:val="1BA55461"/>
    <w:rsid w:val="1BE74496"/>
    <w:rsid w:val="1C3D67D1"/>
    <w:rsid w:val="1C40731A"/>
    <w:rsid w:val="1C506572"/>
    <w:rsid w:val="1C560392"/>
    <w:rsid w:val="1C581532"/>
    <w:rsid w:val="1C9F2E05"/>
    <w:rsid w:val="1CA15E03"/>
    <w:rsid w:val="1CA24F0C"/>
    <w:rsid w:val="1CF8716C"/>
    <w:rsid w:val="1D1638FE"/>
    <w:rsid w:val="1D1E545A"/>
    <w:rsid w:val="1D4B1F5B"/>
    <w:rsid w:val="1D6C5CA0"/>
    <w:rsid w:val="1D725586"/>
    <w:rsid w:val="1D745B4F"/>
    <w:rsid w:val="1D867987"/>
    <w:rsid w:val="1D944010"/>
    <w:rsid w:val="1DD70E85"/>
    <w:rsid w:val="1DD74B99"/>
    <w:rsid w:val="1DE74AD7"/>
    <w:rsid w:val="1DF60A19"/>
    <w:rsid w:val="1DFA6713"/>
    <w:rsid w:val="1E050843"/>
    <w:rsid w:val="1E2D3FB0"/>
    <w:rsid w:val="1E2E50F1"/>
    <w:rsid w:val="1E3B4E26"/>
    <w:rsid w:val="1EDF707D"/>
    <w:rsid w:val="1F394761"/>
    <w:rsid w:val="1F65664C"/>
    <w:rsid w:val="1F7C149A"/>
    <w:rsid w:val="1F84140D"/>
    <w:rsid w:val="1F9B7FFD"/>
    <w:rsid w:val="1F9C7614"/>
    <w:rsid w:val="1FBE1971"/>
    <w:rsid w:val="2008768D"/>
    <w:rsid w:val="204B327F"/>
    <w:rsid w:val="204C2B10"/>
    <w:rsid w:val="207D30AD"/>
    <w:rsid w:val="209064B9"/>
    <w:rsid w:val="20970D81"/>
    <w:rsid w:val="20D165D5"/>
    <w:rsid w:val="210878E6"/>
    <w:rsid w:val="210E1408"/>
    <w:rsid w:val="211069AD"/>
    <w:rsid w:val="21573FAB"/>
    <w:rsid w:val="2172069C"/>
    <w:rsid w:val="21987BC4"/>
    <w:rsid w:val="21BE314A"/>
    <w:rsid w:val="220451AB"/>
    <w:rsid w:val="2237486E"/>
    <w:rsid w:val="223D1378"/>
    <w:rsid w:val="22451BC7"/>
    <w:rsid w:val="22940650"/>
    <w:rsid w:val="22AD4B1E"/>
    <w:rsid w:val="22C43743"/>
    <w:rsid w:val="22D31DF3"/>
    <w:rsid w:val="22FD3CF7"/>
    <w:rsid w:val="232C221B"/>
    <w:rsid w:val="2356249E"/>
    <w:rsid w:val="236E713A"/>
    <w:rsid w:val="23700968"/>
    <w:rsid w:val="238761A6"/>
    <w:rsid w:val="23920578"/>
    <w:rsid w:val="23BB6F9A"/>
    <w:rsid w:val="23FC3864"/>
    <w:rsid w:val="24857B00"/>
    <w:rsid w:val="24F25212"/>
    <w:rsid w:val="251B0465"/>
    <w:rsid w:val="254B0AC6"/>
    <w:rsid w:val="25571AB6"/>
    <w:rsid w:val="25B40AD6"/>
    <w:rsid w:val="25BE7872"/>
    <w:rsid w:val="25BF702A"/>
    <w:rsid w:val="26390459"/>
    <w:rsid w:val="264D2D17"/>
    <w:rsid w:val="26D50E55"/>
    <w:rsid w:val="271A539C"/>
    <w:rsid w:val="273823FA"/>
    <w:rsid w:val="274972D4"/>
    <w:rsid w:val="27AA3D97"/>
    <w:rsid w:val="280A3758"/>
    <w:rsid w:val="28292E99"/>
    <w:rsid w:val="282F4D0F"/>
    <w:rsid w:val="289057C5"/>
    <w:rsid w:val="28A67C7A"/>
    <w:rsid w:val="28EA3248"/>
    <w:rsid w:val="28F879DA"/>
    <w:rsid w:val="294B7731"/>
    <w:rsid w:val="29514455"/>
    <w:rsid w:val="29530A33"/>
    <w:rsid w:val="29D21FF2"/>
    <w:rsid w:val="2A611B0F"/>
    <w:rsid w:val="2AC1762B"/>
    <w:rsid w:val="2AE845D0"/>
    <w:rsid w:val="2B4975FB"/>
    <w:rsid w:val="2B695031"/>
    <w:rsid w:val="2B735A8F"/>
    <w:rsid w:val="2BA7478D"/>
    <w:rsid w:val="2BB038DB"/>
    <w:rsid w:val="2BB761E0"/>
    <w:rsid w:val="2BB812F9"/>
    <w:rsid w:val="2BE35C27"/>
    <w:rsid w:val="2BFA504B"/>
    <w:rsid w:val="2BFF2BAC"/>
    <w:rsid w:val="2C681F1F"/>
    <w:rsid w:val="2C8608DC"/>
    <w:rsid w:val="2CA4764A"/>
    <w:rsid w:val="2CC42ECA"/>
    <w:rsid w:val="2CDA4349"/>
    <w:rsid w:val="2D225539"/>
    <w:rsid w:val="2D4618D2"/>
    <w:rsid w:val="2D5F021B"/>
    <w:rsid w:val="2D6E1286"/>
    <w:rsid w:val="2D70583E"/>
    <w:rsid w:val="2E0725DC"/>
    <w:rsid w:val="2E1B4BB8"/>
    <w:rsid w:val="2E256CB6"/>
    <w:rsid w:val="2E5F27E4"/>
    <w:rsid w:val="2EBD223E"/>
    <w:rsid w:val="2EC10AD1"/>
    <w:rsid w:val="2ECB6A5A"/>
    <w:rsid w:val="2EE65418"/>
    <w:rsid w:val="2EFC0112"/>
    <w:rsid w:val="2F0F6197"/>
    <w:rsid w:val="2F2B730D"/>
    <w:rsid w:val="2F9F3DC1"/>
    <w:rsid w:val="2FDD68F6"/>
    <w:rsid w:val="2FFC7AC2"/>
    <w:rsid w:val="301430AF"/>
    <w:rsid w:val="30630612"/>
    <w:rsid w:val="30746475"/>
    <w:rsid w:val="308E59B0"/>
    <w:rsid w:val="30B10568"/>
    <w:rsid w:val="30E55DD3"/>
    <w:rsid w:val="30E60399"/>
    <w:rsid w:val="31356AA5"/>
    <w:rsid w:val="313E22F0"/>
    <w:rsid w:val="31B0194C"/>
    <w:rsid w:val="31CE17D1"/>
    <w:rsid w:val="32270449"/>
    <w:rsid w:val="323E4515"/>
    <w:rsid w:val="3286389B"/>
    <w:rsid w:val="32994FDB"/>
    <w:rsid w:val="32CF5C94"/>
    <w:rsid w:val="32D337C7"/>
    <w:rsid w:val="32E200EC"/>
    <w:rsid w:val="32E5408B"/>
    <w:rsid w:val="32EB0D70"/>
    <w:rsid w:val="332824BC"/>
    <w:rsid w:val="332868BB"/>
    <w:rsid w:val="333211F3"/>
    <w:rsid w:val="33504B41"/>
    <w:rsid w:val="338B4A07"/>
    <w:rsid w:val="33944811"/>
    <w:rsid w:val="33CE0488"/>
    <w:rsid w:val="341D31EE"/>
    <w:rsid w:val="34262463"/>
    <w:rsid w:val="34296F31"/>
    <w:rsid w:val="34340A27"/>
    <w:rsid w:val="346A2989"/>
    <w:rsid w:val="348865E9"/>
    <w:rsid w:val="348F70D5"/>
    <w:rsid w:val="349D2BAD"/>
    <w:rsid w:val="34B25886"/>
    <w:rsid w:val="35277FF8"/>
    <w:rsid w:val="35763460"/>
    <w:rsid w:val="35776F72"/>
    <w:rsid w:val="35997371"/>
    <w:rsid w:val="35DD4D47"/>
    <w:rsid w:val="35FDAB06"/>
    <w:rsid w:val="360134DF"/>
    <w:rsid w:val="360B1E2F"/>
    <w:rsid w:val="360D500F"/>
    <w:rsid w:val="36330424"/>
    <w:rsid w:val="36FE3ABA"/>
    <w:rsid w:val="37072BDE"/>
    <w:rsid w:val="37455334"/>
    <w:rsid w:val="37527C32"/>
    <w:rsid w:val="376F0A96"/>
    <w:rsid w:val="37731921"/>
    <w:rsid w:val="37E509C0"/>
    <w:rsid w:val="37E96FB8"/>
    <w:rsid w:val="38213B8C"/>
    <w:rsid w:val="38222D85"/>
    <w:rsid w:val="38803721"/>
    <w:rsid w:val="38925A62"/>
    <w:rsid w:val="389F5F4F"/>
    <w:rsid w:val="38C36BA2"/>
    <w:rsid w:val="38E11CEF"/>
    <w:rsid w:val="38F6595C"/>
    <w:rsid w:val="391702A7"/>
    <w:rsid w:val="39286EB6"/>
    <w:rsid w:val="39601DF4"/>
    <w:rsid w:val="396960F3"/>
    <w:rsid w:val="39840D35"/>
    <w:rsid w:val="39A97DAF"/>
    <w:rsid w:val="39CD1330"/>
    <w:rsid w:val="39DD1AFF"/>
    <w:rsid w:val="3A2510B9"/>
    <w:rsid w:val="3A2B1DFC"/>
    <w:rsid w:val="3AA6422C"/>
    <w:rsid w:val="3AAF46D5"/>
    <w:rsid w:val="3AF562AE"/>
    <w:rsid w:val="3B135A0E"/>
    <w:rsid w:val="3B272BBC"/>
    <w:rsid w:val="3B374FEE"/>
    <w:rsid w:val="3B4410EE"/>
    <w:rsid w:val="3B56159C"/>
    <w:rsid w:val="3B596DF7"/>
    <w:rsid w:val="3B7D732B"/>
    <w:rsid w:val="3BD30423"/>
    <w:rsid w:val="3C6C0B58"/>
    <w:rsid w:val="3CBE41D5"/>
    <w:rsid w:val="3D2C4340"/>
    <w:rsid w:val="3D446B0E"/>
    <w:rsid w:val="3D745844"/>
    <w:rsid w:val="3D953A6B"/>
    <w:rsid w:val="3DBB5979"/>
    <w:rsid w:val="3DD56F21"/>
    <w:rsid w:val="3DEF6699"/>
    <w:rsid w:val="3DFD4677"/>
    <w:rsid w:val="3E1057AF"/>
    <w:rsid w:val="3E6C0DFA"/>
    <w:rsid w:val="3E740322"/>
    <w:rsid w:val="3E7F4380"/>
    <w:rsid w:val="3E8D171B"/>
    <w:rsid w:val="3EA5630D"/>
    <w:rsid w:val="3EBA731B"/>
    <w:rsid w:val="3EE33949"/>
    <w:rsid w:val="3EFB5800"/>
    <w:rsid w:val="3F3B4E59"/>
    <w:rsid w:val="3F6E677C"/>
    <w:rsid w:val="3F712F46"/>
    <w:rsid w:val="3FBC0EF7"/>
    <w:rsid w:val="3FCD2AB9"/>
    <w:rsid w:val="3FCFF788"/>
    <w:rsid w:val="3FD17600"/>
    <w:rsid w:val="402E7C36"/>
    <w:rsid w:val="4050218A"/>
    <w:rsid w:val="405C7868"/>
    <w:rsid w:val="408B24EB"/>
    <w:rsid w:val="408D1DBF"/>
    <w:rsid w:val="40C652D1"/>
    <w:rsid w:val="417044B8"/>
    <w:rsid w:val="41A203A0"/>
    <w:rsid w:val="41A25D3E"/>
    <w:rsid w:val="41C77987"/>
    <w:rsid w:val="41E83F8C"/>
    <w:rsid w:val="422D1842"/>
    <w:rsid w:val="425B7C31"/>
    <w:rsid w:val="427D66D0"/>
    <w:rsid w:val="42BC7E02"/>
    <w:rsid w:val="42C82575"/>
    <w:rsid w:val="43022EE1"/>
    <w:rsid w:val="431A5F8F"/>
    <w:rsid w:val="431F247A"/>
    <w:rsid w:val="43335E8F"/>
    <w:rsid w:val="433F2968"/>
    <w:rsid w:val="43655F7F"/>
    <w:rsid w:val="43676E20"/>
    <w:rsid w:val="43A31040"/>
    <w:rsid w:val="43BF774E"/>
    <w:rsid w:val="43CD062F"/>
    <w:rsid w:val="43E214F9"/>
    <w:rsid w:val="43F06264"/>
    <w:rsid w:val="44404C8E"/>
    <w:rsid w:val="447537F1"/>
    <w:rsid w:val="44870D07"/>
    <w:rsid w:val="44D33826"/>
    <w:rsid w:val="45344EFF"/>
    <w:rsid w:val="45513D03"/>
    <w:rsid w:val="45541E1C"/>
    <w:rsid w:val="45FE7734"/>
    <w:rsid w:val="461F0A8B"/>
    <w:rsid w:val="4648721E"/>
    <w:rsid w:val="46663E71"/>
    <w:rsid w:val="466A37AC"/>
    <w:rsid w:val="468A1A00"/>
    <w:rsid w:val="46CB071B"/>
    <w:rsid w:val="46DE140B"/>
    <w:rsid w:val="46E77334"/>
    <w:rsid w:val="46F22E29"/>
    <w:rsid w:val="46F7142F"/>
    <w:rsid w:val="47107AE3"/>
    <w:rsid w:val="473C62ED"/>
    <w:rsid w:val="47617242"/>
    <w:rsid w:val="478C16C9"/>
    <w:rsid w:val="47BD246B"/>
    <w:rsid w:val="47CB2B0C"/>
    <w:rsid w:val="47E773CE"/>
    <w:rsid w:val="47EE2C9A"/>
    <w:rsid w:val="47EE71C5"/>
    <w:rsid w:val="47F00499"/>
    <w:rsid w:val="48015FF5"/>
    <w:rsid w:val="483820D2"/>
    <w:rsid w:val="48692CD0"/>
    <w:rsid w:val="48AE3D01"/>
    <w:rsid w:val="48B96318"/>
    <w:rsid w:val="48D0072D"/>
    <w:rsid w:val="49067B2F"/>
    <w:rsid w:val="49677E31"/>
    <w:rsid w:val="496C2225"/>
    <w:rsid w:val="49A35E02"/>
    <w:rsid w:val="49AE2880"/>
    <w:rsid w:val="49F42EAF"/>
    <w:rsid w:val="4A337323"/>
    <w:rsid w:val="4A5B28DC"/>
    <w:rsid w:val="4AA06B93"/>
    <w:rsid w:val="4ADB18EB"/>
    <w:rsid w:val="4B3A6FE7"/>
    <w:rsid w:val="4B96118E"/>
    <w:rsid w:val="4BAE1B66"/>
    <w:rsid w:val="4BC806E6"/>
    <w:rsid w:val="4BED4708"/>
    <w:rsid w:val="4BF133DC"/>
    <w:rsid w:val="4C2E4987"/>
    <w:rsid w:val="4C4117A4"/>
    <w:rsid w:val="4C507D4A"/>
    <w:rsid w:val="4CB65017"/>
    <w:rsid w:val="4CDF5563"/>
    <w:rsid w:val="4CFB2214"/>
    <w:rsid w:val="4D2C4D26"/>
    <w:rsid w:val="4D335E0E"/>
    <w:rsid w:val="4D4C134B"/>
    <w:rsid w:val="4D4E4EA3"/>
    <w:rsid w:val="4D9A5B1B"/>
    <w:rsid w:val="4DA55D85"/>
    <w:rsid w:val="4DBB20DB"/>
    <w:rsid w:val="4DDC3F22"/>
    <w:rsid w:val="4DE66FB2"/>
    <w:rsid w:val="4DEC6CB8"/>
    <w:rsid w:val="4E1040C7"/>
    <w:rsid w:val="4E1760BF"/>
    <w:rsid w:val="4E30647F"/>
    <w:rsid w:val="4EBA03C3"/>
    <w:rsid w:val="4EBC5459"/>
    <w:rsid w:val="4ED94CB0"/>
    <w:rsid w:val="4EEC2ED3"/>
    <w:rsid w:val="4EFF0F39"/>
    <w:rsid w:val="4F0E56EA"/>
    <w:rsid w:val="4F2E11BC"/>
    <w:rsid w:val="4F326DA2"/>
    <w:rsid w:val="4F3C4343"/>
    <w:rsid w:val="4F416688"/>
    <w:rsid w:val="4F5620B0"/>
    <w:rsid w:val="4F616EB4"/>
    <w:rsid w:val="4F6654EE"/>
    <w:rsid w:val="4F7379C6"/>
    <w:rsid w:val="4F872BDB"/>
    <w:rsid w:val="4F934F18"/>
    <w:rsid w:val="4FA033E9"/>
    <w:rsid w:val="4FA743DA"/>
    <w:rsid w:val="4FB3565A"/>
    <w:rsid w:val="4FC4714D"/>
    <w:rsid w:val="503D1C79"/>
    <w:rsid w:val="5072771C"/>
    <w:rsid w:val="507A6406"/>
    <w:rsid w:val="50853863"/>
    <w:rsid w:val="508A4590"/>
    <w:rsid w:val="50F1461D"/>
    <w:rsid w:val="50FE5411"/>
    <w:rsid w:val="510B072E"/>
    <w:rsid w:val="511B0BF4"/>
    <w:rsid w:val="51264306"/>
    <w:rsid w:val="514E62C9"/>
    <w:rsid w:val="516123CE"/>
    <w:rsid w:val="51932FAD"/>
    <w:rsid w:val="51B177A9"/>
    <w:rsid w:val="51E066EB"/>
    <w:rsid w:val="52640E8B"/>
    <w:rsid w:val="5267570A"/>
    <w:rsid w:val="52707792"/>
    <w:rsid w:val="52A12CDC"/>
    <w:rsid w:val="52DF0C92"/>
    <w:rsid w:val="52E1159C"/>
    <w:rsid w:val="52E34D6A"/>
    <w:rsid w:val="531E524E"/>
    <w:rsid w:val="534072EB"/>
    <w:rsid w:val="537648BE"/>
    <w:rsid w:val="538E2D0B"/>
    <w:rsid w:val="53922782"/>
    <w:rsid w:val="539C1424"/>
    <w:rsid w:val="53A639C0"/>
    <w:rsid w:val="53F00A24"/>
    <w:rsid w:val="53F63DBA"/>
    <w:rsid w:val="5448624E"/>
    <w:rsid w:val="546E2B1A"/>
    <w:rsid w:val="5482555F"/>
    <w:rsid w:val="54A31DD8"/>
    <w:rsid w:val="54AA6F8B"/>
    <w:rsid w:val="54D26583"/>
    <w:rsid w:val="55363E67"/>
    <w:rsid w:val="556E6DF7"/>
    <w:rsid w:val="55965CE3"/>
    <w:rsid w:val="559D47CE"/>
    <w:rsid w:val="55BE1959"/>
    <w:rsid w:val="55C0134C"/>
    <w:rsid w:val="56232437"/>
    <w:rsid w:val="562D39F0"/>
    <w:rsid w:val="56541A75"/>
    <w:rsid w:val="568832FC"/>
    <w:rsid w:val="568C4181"/>
    <w:rsid w:val="570725A9"/>
    <w:rsid w:val="5714693E"/>
    <w:rsid w:val="571D0C9C"/>
    <w:rsid w:val="573A16CE"/>
    <w:rsid w:val="579C7F80"/>
    <w:rsid w:val="57B30D7C"/>
    <w:rsid w:val="57F9AC10"/>
    <w:rsid w:val="58166B03"/>
    <w:rsid w:val="583E3C94"/>
    <w:rsid w:val="58721734"/>
    <w:rsid w:val="58900246"/>
    <w:rsid w:val="58977358"/>
    <w:rsid w:val="58D53944"/>
    <w:rsid w:val="58D65478"/>
    <w:rsid w:val="58F52487"/>
    <w:rsid w:val="590422E6"/>
    <w:rsid w:val="592257E5"/>
    <w:rsid w:val="59655E33"/>
    <w:rsid w:val="59CF5BD9"/>
    <w:rsid w:val="59E20C3C"/>
    <w:rsid w:val="5A1D5B0A"/>
    <w:rsid w:val="5A3B4B4E"/>
    <w:rsid w:val="5A4804CA"/>
    <w:rsid w:val="5A594C85"/>
    <w:rsid w:val="5A8842AA"/>
    <w:rsid w:val="5AEB1E3C"/>
    <w:rsid w:val="5B2507CA"/>
    <w:rsid w:val="5B2A474A"/>
    <w:rsid w:val="5B2D237E"/>
    <w:rsid w:val="5B830730"/>
    <w:rsid w:val="5BBB2DD6"/>
    <w:rsid w:val="5BE263B6"/>
    <w:rsid w:val="5C34211C"/>
    <w:rsid w:val="5C8E5C5A"/>
    <w:rsid w:val="5C965E61"/>
    <w:rsid w:val="5CF0089C"/>
    <w:rsid w:val="5CF5796F"/>
    <w:rsid w:val="5D242A11"/>
    <w:rsid w:val="5D9217C2"/>
    <w:rsid w:val="5DAD06BF"/>
    <w:rsid w:val="5DC92CE9"/>
    <w:rsid w:val="5DE23CB3"/>
    <w:rsid w:val="5DE97EEC"/>
    <w:rsid w:val="5DFA5EB0"/>
    <w:rsid w:val="5E000E4D"/>
    <w:rsid w:val="5E0B583E"/>
    <w:rsid w:val="5E201A7B"/>
    <w:rsid w:val="5EA45884"/>
    <w:rsid w:val="5EBD0484"/>
    <w:rsid w:val="5F2C5C7C"/>
    <w:rsid w:val="5F36141C"/>
    <w:rsid w:val="5FC5273F"/>
    <w:rsid w:val="604F6C39"/>
    <w:rsid w:val="60806DF2"/>
    <w:rsid w:val="61072DA5"/>
    <w:rsid w:val="611C0817"/>
    <w:rsid w:val="61224A52"/>
    <w:rsid w:val="61406C0C"/>
    <w:rsid w:val="61520CCB"/>
    <w:rsid w:val="61851A29"/>
    <w:rsid w:val="622D1522"/>
    <w:rsid w:val="622E0574"/>
    <w:rsid w:val="62683B6B"/>
    <w:rsid w:val="6272073D"/>
    <w:rsid w:val="6275761C"/>
    <w:rsid w:val="62816E52"/>
    <w:rsid w:val="62AB7BE6"/>
    <w:rsid w:val="62AC5944"/>
    <w:rsid w:val="632F3F8A"/>
    <w:rsid w:val="63716241"/>
    <w:rsid w:val="637279B4"/>
    <w:rsid w:val="63817D2B"/>
    <w:rsid w:val="63BD1FA9"/>
    <w:rsid w:val="63D175D1"/>
    <w:rsid w:val="63D27965"/>
    <w:rsid w:val="63F4667E"/>
    <w:rsid w:val="64095516"/>
    <w:rsid w:val="641A2468"/>
    <w:rsid w:val="64372F20"/>
    <w:rsid w:val="648944D0"/>
    <w:rsid w:val="64DC72D7"/>
    <w:rsid w:val="64FA42B4"/>
    <w:rsid w:val="653619A6"/>
    <w:rsid w:val="65610A02"/>
    <w:rsid w:val="65A11EA3"/>
    <w:rsid w:val="65AC3D66"/>
    <w:rsid w:val="65BB5334"/>
    <w:rsid w:val="663E1DBA"/>
    <w:rsid w:val="665D0213"/>
    <w:rsid w:val="668506C7"/>
    <w:rsid w:val="669E59F1"/>
    <w:rsid w:val="66A2024B"/>
    <w:rsid w:val="6704732B"/>
    <w:rsid w:val="670F6731"/>
    <w:rsid w:val="67585CB0"/>
    <w:rsid w:val="67770F0C"/>
    <w:rsid w:val="67B03535"/>
    <w:rsid w:val="68174F69"/>
    <w:rsid w:val="682C436A"/>
    <w:rsid w:val="68382778"/>
    <w:rsid w:val="68391F41"/>
    <w:rsid w:val="68436B8C"/>
    <w:rsid w:val="68797358"/>
    <w:rsid w:val="6884624F"/>
    <w:rsid w:val="68A519DF"/>
    <w:rsid w:val="68C4160B"/>
    <w:rsid w:val="68C41C30"/>
    <w:rsid w:val="68CF3BA4"/>
    <w:rsid w:val="69257FA7"/>
    <w:rsid w:val="693F26C7"/>
    <w:rsid w:val="697E12B2"/>
    <w:rsid w:val="69C8706D"/>
    <w:rsid w:val="6A0E3FB4"/>
    <w:rsid w:val="6A292754"/>
    <w:rsid w:val="6A5E3B28"/>
    <w:rsid w:val="6A6B1EBE"/>
    <w:rsid w:val="6A8F43F7"/>
    <w:rsid w:val="6AD625F3"/>
    <w:rsid w:val="6B7218BE"/>
    <w:rsid w:val="6B750BA9"/>
    <w:rsid w:val="6BB93285"/>
    <w:rsid w:val="6BEDF527"/>
    <w:rsid w:val="6C0C698C"/>
    <w:rsid w:val="6C222401"/>
    <w:rsid w:val="6C56267F"/>
    <w:rsid w:val="6C826EF9"/>
    <w:rsid w:val="6CAE4C93"/>
    <w:rsid w:val="6CB14F16"/>
    <w:rsid w:val="6CEC2069"/>
    <w:rsid w:val="6D0B1869"/>
    <w:rsid w:val="6D65402D"/>
    <w:rsid w:val="6D683822"/>
    <w:rsid w:val="6D8D136C"/>
    <w:rsid w:val="6DBF2759"/>
    <w:rsid w:val="6DC96F36"/>
    <w:rsid w:val="6DFA3EBF"/>
    <w:rsid w:val="6E3E63D2"/>
    <w:rsid w:val="6E5F7BE6"/>
    <w:rsid w:val="6E6918C6"/>
    <w:rsid w:val="6EEB4AC4"/>
    <w:rsid w:val="6F212DD6"/>
    <w:rsid w:val="6F3B5912"/>
    <w:rsid w:val="6FA14A81"/>
    <w:rsid w:val="6FA3261F"/>
    <w:rsid w:val="6FB44BAA"/>
    <w:rsid w:val="6FD78D8A"/>
    <w:rsid w:val="6FFDCF89"/>
    <w:rsid w:val="700D6539"/>
    <w:rsid w:val="704203E3"/>
    <w:rsid w:val="7058046B"/>
    <w:rsid w:val="707F2079"/>
    <w:rsid w:val="70922734"/>
    <w:rsid w:val="70CD16CB"/>
    <w:rsid w:val="70CE6DC7"/>
    <w:rsid w:val="710B3646"/>
    <w:rsid w:val="711759F2"/>
    <w:rsid w:val="713C4ED8"/>
    <w:rsid w:val="71407642"/>
    <w:rsid w:val="71641210"/>
    <w:rsid w:val="71D95B7C"/>
    <w:rsid w:val="71EA6A50"/>
    <w:rsid w:val="71FE31A8"/>
    <w:rsid w:val="720C30AE"/>
    <w:rsid w:val="721A7983"/>
    <w:rsid w:val="721F6113"/>
    <w:rsid w:val="7233782C"/>
    <w:rsid w:val="72772C78"/>
    <w:rsid w:val="729C0443"/>
    <w:rsid w:val="73177841"/>
    <w:rsid w:val="733774FE"/>
    <w:rsid w:val="73617E1B"/>
    <w:rsid w:val="736D7653"/>
    <w:rsid w:val="738035CB"/>
    <w:rsid w:val="73852C46"/>
    <w:rsid w:val="7396335C"/>
    <w:rsid w:val="73F46595"/>
    <w:rsid w:val="74283FA2"/>
    <w:rsid w:val="742C135B"/>
    <w:rsid w:val="74463733"/>
    <w:rsid w:val="748A2F40"/>
    <w:rsid w:val="74D84FF7"/>
    <w:rsid w:val="74F85778"/>
    <w:rsid w:val="75272439"/>
    <w:rsid w:val="758F1E9B"/>
    <w:rsid w:val="75B356D5"/>
    <w:rsid w:val="75CE266B"/>
    <w:rsid w:val="75DD86E9"/>
    <w:rsid w:val="76120141"/>
    <w:rsid w:val="768216BE"/>
    <w:rsid w:val="76924256"/>
    <w:rsid w:val="76C23B43"/>
    <w:rsid w:val="76FD6F97"/>
    <w:rsid w:val="770218E8"/>
    <w:rsid w:val="779469CE"/>
    <w:rsid w:val="77C875A5"/>
    <w:rsid w:val="78A27DF6"/>
    <w:rsid w:val="79285B3A"/>
    <w:rsid w:val="79490B03"/>
    <w:rsid w:val="79625CA9"/>
    <w:rsid w:val="79A91196"/>
    <w:rsid w:val="7A0B32D3"/>
    <w:rsid w:val="7AC13CD3"/>
    <w:rsid w:val="7AE10264"/>
    <w:rsid w:val="7AE4248E"/>
    <w:rsid w:val="7AF47613"/>
    <w:rsid w:val="7B4A207F"/>
    <w:rsid w:val="7B550C59"/>
    <w:rsid w:val="7B936F45"/>
    <w:rsid w:val="7BA47419"/>
    <w:rsid w:val="7BB10D45"/>
    <w:rsid w:val="7BB44151"/>
    <w:rsid w:val="7C656A39"/>
    <w:rsid w:val="7CB93996"/>
    <w:rsid w:val="7CBE0F99"/>
    <w:rsid w:val="7D093576"/>
    <w:rsid w:val="7D115EA6"/>
    <w:rsid w:val="7D4E45F1"/>
    <w:rsid w:val="7DFB6D82"/>
    <w:rsid w:val="7DFED4AA"/>
    <w:rsid w:val="7E1D71D1"/>
    <w:rsid w:val="7E246254"/>
    <w:rsid w:val="7E553215"/>
    <w:rsid w:val="7E6D090F"/>
    <w:rsid w:val="7ECC66B2"/>
    <w:rsid w:val="7F2914C3"/>
    <w:rsid w:val="7F5F2ED6"/>
    <w:rsid w:val="7F7BD542"/>
    <w:rsid w:val="7FA837EF"/>
    <w:rsid w:val="7FBC9352"/>
    <w:rsid w:val="7FC36955"/>
    <w:rsid w:val="7FE903A0"/>
    <w:rsid w:val="7FF07065"/>
    <w:rsid w:val="7FF97946"/>
    <w:rsid w:val="7FFE7888"/>
    <w:rsid w:val="7FFFB5DB"/>
    <w:rsid w:val="8E7B9B6B"/>
    <w:rsid w:val="9FFBFF3B"/>
    <w:rsid w:val="A3BFD1C8"/>
    <w:rsid w:val="AFFFAB52"/>
    <w:rsid w:val="B73F34E5"/>
    <w:rsid w:val="B8E28D64"/>
    <w:rsid w:val="BFA54E51"/>
    <w:rsid w:val="CDFC0DEF"/>
    <w:rsid w:val="D3E60E83"/>
    <w:rsid w:val="DB4FE050"/>
    <w:rsid w:val="DBFEF0D2"/>
    <w:rsid w:val="DFBD6FEF"/>
    <w:rsid w:val="E2DE949D"/>
    <w:rsid w:val="E4C8A119"/>
    <w:rsid w:val="E7F4D2DA"/>
    <w:rsid w:val="E9EF6F43"/>
    <w:rsid w:val="EBF02B0F"/>
    <w:rsid w:val="EEE74D43"/>
    <w:rsid w:val="EF7BA4A3"/>
    <w:rsid w:val="EFEFA57D"/>
    <w:rsid w:val="F65F61B1"/>
    <w:rsid w:val="F997E54E"/>
    <w:rsid w:val="FA7BD81E"/>
    <w:rsid w:val="FAF7E9AA"/>
    <w:rsid w:val="FB4C53D1"/>
    <w:rsid w:val="FBEF8F85"/>
    <w:rsid w:val="FCF3508D"/>
    <w:rsid w:val="FCFD37B6"/>
    <w:rsid w:val="FD6FC958"/>
    <w:rsid w:val="FDF7B17C"/>
    <w:rsid w:val="FEF7C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宋体" w:asciiTheme="minorHAnsi" w:hAnsiTheme="minorHAnsi" w:eastAsiaTheme="minorEastAsia"/>
      <w:color w:val="auto"/>
      <w:kern w:val="0"/>
      <w:sz w:val="24"/>
      <w:szCs w:val="24"/>
      <w:lang w:val="en-US" w:eastAsia="zh-CN" w:bidi="ar-SA"/>
    </w:rPr>
  </w:style>
  <w:style w:type="paragraph" w:styleId="2">
    <w:name w:val="heading 1"/>
    <w:basedOn w:val="1"/>
    <w:next w:val="1"/>
    <w:qFormat/>
    <w:uiPriority w:val="0"/>
    <w:pPr>
      <w:keepNext/>
      <w:keepLines/>
      <w:numPr>
        <w:ilvl w:val="0"/>
        <w:numId w:val="1"/>
      </w:numPr>
      <w:adjustRightInd w:val="0"/>
      <w:snapToGrid w:val="0"/>
      <w:spacing w:before="340" w:after="50" w:afterLines="50" w:line="578" w:lineRule="auto"/>
      <w:ind w:left="425" w:hanging="425"/>
      <w:jc w:val="left"/>
      <w:outlineLvl w:val="0"/>
    </w:pPr>
    <w:rPr>
      <w:rFonts w:ascii="Times New Roman" w:hAnsi="Times New Roman" w:eastAsia="仿宋" w:cs="Times New Roman"/>
      <w:b/>
      <w:bCs/>
      <w:kern w:val="44"/>
      <w:sz w:val="36"/>
      <w:szCs w:val="44"/>
    </w:rPr>
  </w:style>
  <w:style w:type="paragraph" w:styleId="3">
    <w:name w:val="heading 2"/>
    <w:basedOn w:val="1"/>
    <w:next w:val="1"/>
    <w:link w:val="15"/>
    <w:semiHidden/>
    <w:unhideWhenUsed/>
    <w:qFormat/>
    <w:uiPriority w:val="9"/>
    <w:pPr>
      <w:widowControl w:val="0"/>
      <w:numPr>
        <w:ilvl w:val="1"/>
        <w:numId w:val="1"/>
      </w:numPr>
      <w:spacing w:line="416" w:lineRule="auto"/>
      <w:ind w:left="567" w:hanging="567"/>
      <w:outlineLvl w:val="1"/>
    </w:pPr>
    <w:rPr>
      <w:rFonts w:ascii="Calibri Light" w:hAnsi="Calibri Light" w:eastAsia="宋体" w:cs="Times New Roman"/>
      <w:b/>
      <w:bCs/>
      <w:sz w:val="28"/>
      <w:szCs w:val="32"/>
    </w:rPr>
  </w:style>
  <w:style w:type="paragraph" w:styleId="4">
    <w:name w:val="heading 3"/>
    <w:basedOn w:val="1"/>
    <w:next w:val="1"/>
    <w:semiHidden/>
    <w:unhideWhenUsed/>
    <w:qFormat/>
    <w:uiPriority w:val="9"/>
    <w:pPr>
      <w:keepNext/>
      <w:keepLines/>
      <w:numPr>
        <w:ilvl w:val="2"/>
        <w:numId w:val="1"/>
      </w:numPr>
      <w:spacing w:before="50" w:beforeLines="50" w:after="50" w:afterLines="50" w:line="416" w:lineRule="auto"/>
      <w:outlineLvl w:val="2"/>
    </w:pPr>
    <w:rPr>
      <w:rFonts w:ascii="宋体" w:hAnsi="宋体" w:eastAsia="宋体" w:cs="宋体"/>
      <w:b/>
      <w:bCs/>
      <w:sz w:val="32"/>
    </w:rPr>
  </w:style>
  <w:style w:type="paragraph" w:styleId="5">
    <w:name w:val="heading 4"/>
    <w:basedOn w:val="1"/>
    <w:next w:val="1"/>
    <w:semiHidden/>
    <w:unhideWhenUsed/>
    <w:qFormat/>
    <w:uiPriority w:val="9"/>
    <w:pPr>
      <w:keepNext/>
      <w:keepLines/>
      <w:numPr>
        <w:ilvl w:val="3"/>
        <w:numId w:val="1"/>
      </w:numPr>
      <w:spacing w:before="120" w:after="120"/>
      <w:outlineLvl w:val="3"/>
    </w:pPr>
    <w:rPr>
      <w:rFonts w:ascii="Calibri Light" w:hAnsi="Calibri Light" w:eastAsia="宋体" w:cs="Times New Roman"/>
      <w:b/>
      <w:bCs/>
      <w:sz w:val="28"/>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semiHidden/>
    <w:unhideWhenUsed/>
    <w:qFormat/>
    <w:uiPriority w:val="99"/>
    <w:pPr>
      <w:jc w:val="left"/>
    </w:pPr>
  </w:style>
  <w:style w:type="paragraph" w:styleId="7">
    <w:name w:val="Balloon Text"/>
    <w:basedOn w:val="1"/>
    <w:link w:val="24"/>
    <w:unhideWhenUsed/>
    <w:qFormat/>
    <w:uiPriority w:val="99"/>
    <w:rPr>
      <w:rFonts w:cstheme="minorBidi"/>
      <w:kern w:val="2"/>
      <w:sz w:val="18"/>
      <w:szCs w:val="18"/>
    </w:rPr>
  </w:style>
  <w:style w:type="paragraph" w:styleId="8">
    <w:name w:val="footer"/>
    <w:basedOn w:val="1"/>
    <w:link w:val="16"/>
    <w:qFormat/>
    <w:uiPriority w:val="99"/>
    <w:pPr>
      <w:tabs>
        <w:tab w:val="center" w:pos="4153"/>
        <w:tab w:val="right" w:pos="8306"/>
      </w:tabs>
      <w:snapToGrid w:val="0"/>
      <w:jc w:val="left"/>
    </w:pPr>
    <w:rPr>
      <w:rFonts w:cstheme="minorBidi"/>
      <w:kern w:val="2"/>
      <w:sz w:val="18"/>
      <w:szCs w:val="18"/>
    </w:rPr>
  </w:style>
  <w:style w:type="paragraph" w:styleId="9">
    <w:name w:val="header"/>
    <w:basedOn w:val="1"/>
    <w:link w:val="1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rFonts w:cstheme="minorBidi"/>
      <w:kern w:val="2"/>
      <w:sz w:val="18"/>
      <w:szCs w:val="18"/>
    </w:rPr>
  </w:style>
  <w:style w:type="paragraph" w:styleId="10">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2">
    <w:name w:val="Table Grid"/>
    <w:qFormat/>
    <w:uiPriority w:val="0"/>
    <w:rPr>
      <w:sz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Strong"/>
    <w:basedOn w:val="13"/>
    <w:qFormat/>
    <w:uiPriority w:val="22"/>
    <w:rPr>
      <w:b/>
    </w:rPr>
  </w:style>
  <w:style w:type="character" w:customStyle="1" w:styleId="15">
    <w:name w:val="标题 2 Char"/>
    <w:link w:val="3"/>
    <w:qFormat/>
    <w:uiPriority w:val="0"/>
    <w:rPr>
      <w:rFonts w:ascii="Calibri Light" w:hAnsi="Calibri Light" w:eastAsia="宋体" w:cs="Times New Roman"/>
      <w:b/>
      <w:bCs/>
      <w:sz w:val="28"/>
      <w:szCs w:val="32"/>
    </w:rPr>
  </w:style>
  <w:style w:type="character" w:customStyle="1" w:styleId="16">
    <w:name w:val="页脚 Char"/>
    <w:basedOn w:val="13"/>
    <w:link w:val="8"/>
    <w:qFormat/>
    <w:uiPriority w:val="99"/>
    <w:rPr>
      <w:rFonts w:asciiTheme="minorHAnsi" w:hAnsiTheme="minorHAnsi" w:eastAsiaTheme="minorEastAsia" w:cstheme="minorBidi"/>
      <w:sz w:val="18"/>
      <w:szCs w:val="18"/>
      <w:lang w:val="en-US" w:eastAsia="zh-CN" w:bidi="ar-SA"/>
    </w:rPr>
  </w:style>
  <w:style w:type="character" w:customStyle="1" w:styleId="17">
    <w:name w:val="页眉 Char"/>
    <w:basedOn w:val="13"/>
    <w:link w:val="9"/>
    <w:qFormat/>
    <w:uiPriority w:val="0"/>
    <w:rPr>
      <w:rFonts w:asciiTheme="minorHAnsi" w:hAnsiTheme="minorHAnsi" w:eastAsiaTheme="minorEastAsia" w:cstheme="minorBidi"/>
      <w:sz w:val="18"/>
      <w:szCs w:val="18"/>
      <w:lang w:val="en-US" w:eastAsia="zh-CN" w:bidi="ar-SA"/>
    </w:rPr>
  </w:style>
  <w:style w:type="character" w:customStyle="1" w:styleId="18">
    <w:name w:val="font11"/>
    <w:basedOn w:val="13"/>
    <w:qFormat/>
    <w:uiPriority w:val="0"/>
    <w:rPr>
      <w:rFonts w:hint="eastAsia" w:ascii="宋体" w:hAnsi="宋体" w:eastAsia="宋体" w:cs="宋体"/>
      <w:color w:val="000000"/>
      <w:sz w:val="20"/>
      <w:szCs w:val="20"/>
      <w:u w:val="none"/>
      <w:lang w:val="en-US" w:eastAsia="zh-CN" w:bidi="ar-SA"/>
    </w:rPr>
  </w:style>
  <w:style w:type="character" w:customStyle="1" w:styleId="19">
    <w:name w:val="font01"/>
    <w:basedOn w:val="13"/>
    <w:qFormat/>
    <w:uiPriority w:val="0"/>
    <w:rPr>
      <w:rFonts w:hint="eastAsia" w:ascii="宋体" w:hAnsi="宋体" w:eastAsia="宋体" w:cs="宋体"/>
      <w:color w:val="000000"/>
      <w:sz w:val="22"/>
      <w:szCs w:val="22"/>
      <w:u w:val="none"/>
      <w:lang w:val="en-US" w:eastAsia="zh-CN" w:bidi="ar-SA"/>
    </w:rPr>
  </w:style>
  <w:style w:type="character" w:customStyle="1" w:styleId="20">
    <w:name w:val="font41"/>
    <w:basedOn w:val="13"/>
    <w:qFormat/>
    <w:uiPriority w:val="0"/>
    <w:rPr>
      <w:rFonts w:hint="eastAsia" w:ascii="宋体" w:hAnsi="宋体" w:eastAsia="宋体" w:cs="宋体"/>
      <w:color w:val="000000"/>
      <w:sz w:val="24"/>
      <w:szCs w:val="24"/>
      <w:u w:val="none"/>
      <w:lang w:val="en-US" w:eastAsia="zh-CN" w:bidi="ar-SA"/>
    </w:rPr>
  </w:style>
  <w:style w:type="character" w:customStyle="1" w:styleId="21">
    <w:name w:val="font31"/>
    <w:basedOn w:val="13"/>
    <w:qFormat/>
    <w:uiPriority w:val="0"/>
    <w:rPr>
      <w:rFonts w:hint="eastAsia" w:ascii="华文中宋" w:hAnsi="华文中宋" w:eastAsia="华文中宋" w:cs="华文中宋"/>
      <w:color w:val="000000"/>
      <w:sz w:val="32"/>
      <w:szCs w:val="32"/>
      <w:u w:val="none"/>
      <w:lang w:val="en-US" w:eastAsia="zh-CN" w:bidi="ar-SA"/>
    </w:rPr>
  </w:style>
  <w:style w:type="character" w:customStyle="1" w:styleId="22">
    <w:name w:val="font91"/>
    <w:basedOn w:val="13"/>
    <w:qFormat/>
    <w:uiPriority w:val="0"/>
    <w:rPr>
      <w:rFonts w:hint="eastAsia" w:ascii="华文中宋" w:hAnsi="华文中宋" w:eastAsia="华文中宋" w:cs="华文中宋"/>
      <w:color w:val="000000"/>
      <w:sz w:val="32"/>
      <w:szCs w:val="32"/>
      <w:u w:val="none"/>
      <w:lang w:val="en-US" w:eastAsia="zh-CN" w:bidi="ar-SA"/>
    </w:rPr>
  </w:style>
  <w:style w:type="character" w:customStyle="1" w:styleId="23">
    <w:name w:val="font51"/>
    <w:basedOn w:val="13"/>
    <w:qFormat/>
    <w:uiPriority w:val="0"/>
    <w:rPr>
      <w:rFonts w:hint="eastAsia" w:ascii="宋体" w:hAnsi="宋体" w:eastAsia="宋体" w:cs="宋体"/>
      <w:color w:val="000000"/>
      <w:sz w:val="24"/>
      <w:szCs w:val="24"/>
      <w:u w:val="none"/>
      <w:lang w:val="en-US" w:eastAsia="zh-CN" w:bidi="ar-SA"/>
    </w:rPr>
  </w:style>
  <w:style w:type="character" w:customStyle="1" w:styleId="24">
    <w:name w:val="批注框文本 Char"/>
    <w:basedOn w:val="13"/>
    <w:link w:val="7"/>
    <w:semiHidden/>
    <w:qFormat/>
    <w:uiPriority w:val="99"/>
    <w:rPr>
      <w:rFonts w:asciiTheme="minorHAnsi" w:hAnsiTheme="minorHAnsi" w:eastAsiaTheme="minorEastAsia" w:cstheme="minorBidi"/>
      <w:sz w:val="18"/>
      <w:szCs w:val="18"/>
      <w:lang w:val="en-US" w:eastAsia="zh-CN" w:bidi="ar-SA"/>
    </w:rPr>
  </w:style>
  <w:style w:type="character" w:customStyle="1" w:styleId="25">
    <w:name w:val="font71"/>
    <w:basedOn w:val="13"/>
    <w:qFormat/>
    <w:uiPriority w:val="0"/>
    <w:rPr>
      <w:rFonts w:ascii="Arial" w:hAnsi="Arial" w:cs="Arial"/>
      <w:color w:val="000000"/>
      <w:sz w:val="20"/>
      <w:szCs w:val="20"/>
      <w:u w:val="none"/>
    </w:rPr>
  </w:style>
  <w:style w:type="character" w:customStyle="1" w:styleId="26">
    <w:name w:val="font61"/>
    <w:basedOn w:val="13"/>
    <w:qFormat/>
    <w:uiPriority w:val="0"/>
    <w:rPr>
      <w:rFonts w:hint="eastAsia" w:ascii="宋体" w:hAnsi="宋体" w:eastAsia="宋体" w:cs="宋体"/>
      <w:color w:val="000000"/>
      <w:sz w:val="20"/>
      <w:szCs w:val="20"/>
      <w:u w:val="none"/>
    </w:rPr>
  </w:style>
  <w:style w:type="character" w:customStyle="1" w:styleId="27">
    <w:name w:val="font21"/>
    <w:basedOn w:val="13"/>
    <w:qFormat/>
    <w:uiPriority w:val="0"/>
    <w:rPr>
      <w:rFonts w:hint="eastAsia" w:ascii="宋体" w:hAnsi="宋体" w:eastAsia="宋体" w:cs="宋体"/>
      <w:color w:val="000000"/>
      <w:sz w:val="20"/>
      <w:szCs w:val="20"/>
      <w:u w:val="none"/>
    </w:rPr>
  </w:style>
  <w:style w:type="paragraph" w:customStyle="1" w:styleId="28">
    <w:name w:val="p1"/>
    <w:basedOn w:val="1"/>
    <w:qFormat/>
    <w:uiPriority w:val="0"/>
    <w:pPr>
      <w:spacing w:before="0" w:beforeAutospacing="0" w:after="0" w:afterAutospacing="0"/>
      <w:ind w:left="0" w:right="0"/>
      <w:jc w:val="left"/>
    </w:pPr>
    <w:rPr>
      <w:rFonts w:ascii="helvetica" w:hAnsi="helvetica" w:eastAsia="helvetica" w:cs="helvetica"/>
      <w:color w:val="000000"/>
      <w:kern w:val="0"/>
      <w:sz w:val="30"/>
      <w:szCs w:val="3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24</Pages>
  <Words>77</Words>
  <Characters>911</Characters>
  <Lines>86</Lines>
  <Paragraphs>24</Paragraphs>
  <TotalTime>0</TotalTime>
  <ScaleCrop>false</ScaleCrop>
  <LinksUpToDate>false</LinksUpToDate>
  <CharactersWithSpaces>913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2023-08-06T23:55:00Z</dcterms:created>
  <dc:creator>王明新TIAD</dc:creator>
  <cp:lastModifiedBy>Administrator</cp:lastModifiedBy>
  <cp:lastPrinted>2023-08-06T17:00:00Z</cp:lastPrinted>
  <dcterms:modified xsi:type="dcterms:W3CDTF">2025-09-28T08:50:44Z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4DD241A32C2A74221E599C68814E8004_43</vt:lpwstr>
  </property>
  <property fmtid="{D5CDD505-2E9C-101B-9397-08002B2CF9AE}" pid="4" name="KSOTemplateUUID">
    <vt:lpwstr>v1.0_mb_S7ajbG3IpAnL1wSthNCxfw==</vt:lpwstr>
  </property>
  <property fmtid="{D5CDD505-2E9C-101B-9397-08002B2CF9AE}" pid="5" name="KSOTemplateDocerSaveRecord">
    <vt:lpwstr>eyJoZGlkIjoiODczM2M4Y2Y4MWZjZmRiODkyNDdiNmU1ZGM2NGRkOWEiLCJ1c2VySWQiOiI1OTM0MzU5MTkifQ==</vt:lpwstr>
  </property>
</Properties>
</file>