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widowControl/>
        <w:spacing w:before="0" w:beforeLines="0" w:beforeAutospacing="0" w:after="0" w:afterLines="0" w:afterAutospacing="0" w:line="240" w:lineRule="auto"/>
        <w:jc w:val="center"/>
        <w:rPr>
          <w:rFonts w:ascii="Fz_S_BiaoSong_Jt" w:eastAsia="Fz_S_BiaoSong_Jt"/>
          <w:sz w:val="48"/>
          <w:szCs w:val="48"/>
        </w:rPr>
      </w:pPr>
      <w:r>
        <w:rPr>
          <w:rFonts w:ascii="Fz_S_BiaoSong_Jt" w:eastAsia="Fz_S_BiaoSong_Jt"/>
          <w:b w:val="0"/>
          <w:sz w:val="48"/>
          <w:szCs w:val="48"/>
        </w:rPr>
        <w:t>天津市南开区科学技术局（本级）</w:t>
      </w:r>
    </w:p>
    <w:p>
      <w:pPr>
        <w:widowControl/>
        <w:spacing w:before="0" w:beforeLines="0" w:beforeAutospacing="0" w:after="0" w:afterLines="0" w:afterAutospacing="0" w:line="240" w:lineRule="auto"/>
        <w:jc w:val="center"/>
        <w:rPr>
          <w:rFonts w:ascii="Times New Roman" w:eastAsia="Fz_S_BiaoSong_Jt"/>
          <w:sz w:val="48"/>
          <w:szCs w:val="48"/>
        </w:rPr>
      </w:pPr>
      <w:r>
        <w:rPr>
          <w:rFonts w:ascii="Times New Roman" w:eastAsia="Fz_S_BiaoSong_Jt"/>
          <w:b w:val="0"/>
          <w:sz w:val="48"/>
          <w:szCs w:val="48"/>
        </w:rPr>
        <w:t>2024年度部门决算</w:t>
      </w: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rPr>
          <w:rFonts w:hint="eastAsia" w:asciiTheme="minorEastAsia" w:hAnsiTheme="minorEastAsia" w:eastAsiaTheme="minorEastAsia" w:cstheme="minorEastAsia"/>
          <w:b w:val="0"/>
          <w:bCs w:val="0"/>
          <w:color w:val="000000"/>
          <w:sz w:val="22"/>
          <w:szCs w:val="22"/>
        </w:rPr>
      </w:pPr>
      <w:r>
        <w:rPr>
          <w:rFonts w:hint="eastAsia" w:asciiTheme="minorEastAsia" w:hAnsiTheme="minorEastAsia" w:eastAsiaTheme="minorEastAsia" w:cstheme="minorEastAsia"/>
          <w:b w:val="0"/>
          <w:bCs w:val="0"/>
          <w:color w:val="000000"/>
          <w:sz w:val="22"/>
          <w:szCs w:val="22"/>
        </w:rPr>
        <w:br w:type="page"/>
      </w: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目  录</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第一部分   概况</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一、主要职责</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二、机构设置</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第二部分   2024年度部门决算报表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二、收入决算表（按功能分类列示）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三、收入决算表（按单位列示）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五、财政拨款收入支出决算总表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七、一般公共预算财政拨款基本支出决算明细表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八、政府性基金预算财政拨款收入支出决算表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九、国有资本经营预算财政拨款支出决算表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十、财政拨款“三公”经费支出决算表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十一、项目支出决算表</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第三部分   2024年度部门决算情况说明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四、财政拨款收支决算总体情况说明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五、一般公共预算财政拨款支出决算情况说明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六、一般公共预算财政拨款基本支出决算情况说明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七、政府性基金预算财政拨款收支决算情况说明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八、国有资本经营预算财政拨款收支决算情况说明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九、财政拨款“三公”经费支出决算情况说明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十、机关运行经费支出情况说明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十一、政府采购支出情况说明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十二、国有资产占有使用情况说明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十三、预算绩效情况说明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十四、教育、医疗卫生、社会保障和就业、住房保障、涉农补贴等民生支出情况说明</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第四部分   名词解释</w:t>
      </w:r>
    </w:p>
    <w:p>
      <w:pPr>
        <w:rPr>
          <w:rFonts w:hint="eastAsia" w:asciiTheme="minorEastAsia" w:hAnsiTheme="minorEastAsia" w:eastAsiaTheme="minorEastAsia" w:cstheme="minorEastAsia"/>
          <w:b w:val="0"/>
          <w:bCs w:val="0"/>
          <w:sz w:val="22"/>
          <w:szCs w:val="22"/>
          <w:highlight w:val="yellow"/>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footerReference r:id="rId3" w:type="default"/>
          <w:pgSz w:w="11906" w:h="16838"/>
          <w:pgMar w:top="1531" w:right="1984" w:bottom="1531" w:left="2098" w:header="851" w:footer="992" w:gutter="0"/>
          <w:pgBorders>
            <w:top w:val="none" w:sz="0" w:space="0"/>
            <w:left w:val="none" w:sz="0" w:space="0"/>
            <w:bottom w:val="none" w:sz="0" w:space="0"/>
            <w:right w:val="none" w:sz="0" w:space="0"/>
          </w:pgBorders>
          <w:cols w:space="720" w:num="1"/>
          <w:docGrid w:type="lines" w:linePitch="312" w:charSpace="0"/>
        </w:sectPr>
      </w:pP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第一部分  概况</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一、主要职责</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（一）贯彻执行有关科技创新工作的法律、法规和相关政策。</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（二）坚持创新驱动发展战略方针，拟订科技发展规划和科技创新政策并组织实施。研究确定科技发展布局和优先发展领域，促进区域发展。</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（三）统筹推进创新体系建设和科技体制改革，会同有关部门健全技术创新激励机制。优化科研体系建设，推动企业科技创新能力建设。落实重大科技决策咨询制度。</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四）会同有关部门提出优化配置科技资源的政策措施建议。推动多元化科技投入体系建设，负责相关科技经费预决算及使用的管理，协调管理区级财政科技计划（专项基金等）并监督实施。推动科技型企业发展。会同有关部门推进科技金融投融资体系建设，推动科技型企业融资工作。</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（五）组织实施基础研究规划、政策和标准。推动科研保障建设和科技资源共享。</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（六）组织实施重大科技项目规划，支持关键共性技术、前沿引领技术、现代工程技术、颠覆性技术研发和创新，组织重大技术攻关和成果应用示范。</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（七）组织拟订高新技术发展及产业化、科技促进社会发展的规划、政策和措施。促进以改善民生为重点的社会建设。组织开展重点领域技术发展需求分析，提出重大任务并监督实施。</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（八）牵头技术转移体系建设，会同有关部门拟订科技成果转移转化和促进产学研结合的相关政策措施并组织实施。推动科技服务业、技术市场和科技中介组织发展。</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（九）统筹科技创新体系建设，配合有关部门推动区域创新发展、科技资源合理布局和协同创新能力建设。</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（十）负责科技监督评价体系建设和相关科技评估管理，指导科技评价机制改革，统筹科研诚信建设。负责科技 统计工作。组织实施创新调查和科技报告制度。负责科技保密工作。</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（十一）落实有关科技对外交往与创新能力开放合作的规划、政策和措施。指导相关部门对外科技合作与科技人才交流工作。</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（十二）负责引进国外智力工作。做好高端人才集聚和重点专家联系服务工作。</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（十三）会同有关部门拟订科技人才队伍建设规划和政策，建立健全科技人才评价和激励机制，组织实施科技人才计划，推动高端科技创新人才队伍建设。组织实施科学普及和科学传播规划、政策。</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（十四）负责组织国家、市级科学技术奖励推荐申报工作。</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（十五）做好中央及市在区科研机构有关业务工作的协调、服务。</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（十六）承担本领域安全生产管理责任。</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（十七）组织推动科技领域招商引资工作。</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（十八）完成区委、区政府交办的其他事项。</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（十九）职能转变。</w:t>
      </w:r>
    </w:p>
    <w:p>
      <w:pPr>
        <w:widowControl/>
        <w:spacing w:before="0" w:beforeLines="0" w:beforeAutospacing="0" w:after="0" w:afterLines="0" w:afterAutospacing="0" w:line="240" w:lineRule="auto"/>
        <w:ind w:firstLine="600" w:firstLineChars="200"/>
        <w:jc w:val="left"/>
        <w:rPr>
          <w:rFonts w:hint="eastAsia" w:ascii="Times New Roman" w:eastAsia="仿宋_GB2312"/>
          <w:b w:val="0"/>
          <w:sz w:val="30"/>
          <w:szCs w:val="30"/>
          <w:lang w:eastAsia="zh-CN"/>
        </w:rPr>
      </w:pPr>
      <w:r>
        <w:rPr>
          <w:rFonts w:hint="eastAsia" w:ascii="Times New Roman" w:eastAsia="仿宋_GB2312"/>
          <w:b w:val="0"/>
          <w:sz w:val="30"/>
          <w:szCs w:val="30"/>
          <w:lang w:eastAsia="zh-CN"/>
        </w:rPr>
        <w:t>围绕贯彻实施科教兴国战略、人才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政府部门不直接管理具体科研项目，委托项目管理专业机构开展项目受理、评审、立项、过程管理、验收等具体工作。进一步改进科技人才评价机制，建立健全以创新能力、质量、贡献、绩效为导向的科技人才评价体系和激励政策，统筹科技人才队伍建设和引进国外智力工作。</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二、机构设置</w:t>
      </w:r>
    </w:p>
    <w:p>
      <w:pPr>
        <w:keepNext w:val="0"/>
        <w:keepLines w:val="0"/>
        <w:pageBreakBefore w:val="0"/>
        <w:widowControl w:val="0"/>
        <w:numPr>
          <w:numId w:val="0"/>
        </w:numPr>
        <w:kinsoku/>
        <w:wordWrap/>
        <w:overflowPunct/>
        <w:topLinePunct w:val="0"/>
        <w:autoSpaceDE w:val="0"/>
        <w:autoSpaceDN w:val="0"/>
        <w:bidi w:val="0"/>
        <w:adjustRightInd w:val="0"/>
        <w:snapToGrid/>
        <w:spacing w:line="600" w:lineRule="exact"/>
        <w:ind w:firstLine="600" w:firstLineChars="200"/>
        <w:jc w:val="both"/>
        <w:textAlignment w:val="auto"/>
        <w:rPr>
          <w:rFonts w:ascii="Times New Roman" w:eastAsia="仿宋_GB2312"/>
          <w:b w:val="0"/>
          <w:sz w:val="30"/>
          <w:szCs w:val="30"/>
        </w:rPr>
      </w:pPr>
      <w:r>
        <w:rPr>
          <w:rFonts w:ascii="Times New Roman" w:eastAsia="仿宋_GB2312"/>
          <w:b w:val="0"/>
          <w:sz w:val="30"/>
          <w:szCs w:val="30"/>
        </w:rPr>
        <w:t>天津市南开区科学技术局（本级）内设</w:t>
      </w:r>
      <w:r>
        <w:rPr>
          <w:rFonts w:hint="eastAsia" w:ascii="Times New Roman" w:eastAsia="仿宋_GB2312"/>
          <w:b w:val="0"/>
          <w:sz w:val="30"/>
          <w:szCs w:val="30"/>
          <w:lang w:val="en-US" w:eastAsia="zh-CN"/>
        </w:rPr>
        <w:t>5</w:t>
      </w:r>
      <w:r>
        <w:rPr>
          <w:rFonts w:ascii="Times New Roman" w:eastAsia="仿宋_GB2312"/>
          <w:b w:val="0"/>
          <w:sz w:val="30"/>
          <w:szCs w:val="30"/>
        </w:rPr>
        <w:t>个职能</w:t>
      </w:r>
      <w:r>
        <w:rPr>
          <w:rFonts w:hint="eastAsia" w:ascii="Times New Roman" w:eastAsia="仿宋_GB2312"/>
          <w:b w:val="0"/>
          <w:sz w:val="30"/>
          <w:szCs w:val="30"/>
          <w:lang w:eastAsia="zh-CN"/>
        </w:rPr>
        <w:t>科室</w:t>
      </w:r>
      <w:r>
        <w:rPr>
          <w:rFonts w:ascii="Times New Roman" w:eastAsia="仿宋_GB2312"/>
          <w:b w:val="0"/>
          <w:sz w:val="30"/>
          <w:szCs w:val="30"/>
        </w:rPr>
        <w:t>。纳入天津市南开区科学技术局（本级）2024年度部门决算编制范围的单位包括：</w:t>
      </w:r>
      <w:r>
        <w:rPr>
          <w:rFonts w:hint="eastAsia" w:ascii="Times New Roman" w:hAnsi="Times New Roman" w:eastAsia="仿宋_GB2312" w:cs="仿宋_GB2312"/>
          <w:sz w:val="30"/>
          <w:szCs w:val="30"/>
          <w:highlight w:val="none"/>
          <w:lang w:eastAsia="zh-CN"/>
        </w:rPr>
        <w:t>天津市南开区科学技术局（本级）。</w:t>
      </w:r>
    </w:p>
    <w:p>
      <w:pPr>
        <w:widowControl/>
        <w:spacing w:before="0" w:beforeLines="0" w:beforeAutospacing="0" w:after="0" w:afterLines="0" w:afterAutospacing="0" w:line="240" w:lineRule="auto"/>
        <w:ind w:firstLine="600" w:firstLineChars="200"/>
        <w:jc w:val="left"/>
        <w:rPr>
          <w:rFonts w:ascii="Times New Roman" w:eastAsia="仿宋_GB2312"/>
          <w:b w:val="0"/>
          <w:sz w:val="30"/>
          <w:szCs w:val="30"/>
        </w:rPr>
      </w:pPr>
    </w:p>
    <w:p>
      <w:pPr>
        <w:rPr>
          <w:rFonts w:hint="eastAsia" w:asciiTheme="minorEastAsia" w:hAnsiTheme="minorEastAsia" w:eastAsiaTheme="minorEastAsia" w:cstheme="minorEastAsia"/>
          <w:b w:val="0"/>
          <w:bCs w:val="0"/>
          <w:i w:val="0"/>
          <w:iCs w:val="0"/>
          <w:caps w:val="0"/>
          <w:color w:val="000000"/>
          <w:spacing w:val="0"/>
          <w:sz w:val="22"/>
          <w:szCs w:val="22"/>
          <w:highlight w:val="none"/>
          <w:shd w:val="clear" w:fill="FFFFFF"/>
          <w:lang w:val="en-US" w:eastAsia="zh-CN"/>
        </w:rPr>
        <w:sectPr>
          <w:headerReference r:id="rId4" w:type="default"/>
          <w:footerReference r:id="rId5" w:type="default"/>
          <w:pgSz w:w="11906" w:h="16838"/>
          <w:pgMar w:top="1531" w:right="1984" w:bottom="1531" w:left="2098"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rPr>
          <w:rFonts w:ascii="黑体" w:eastAsia="黑体"/>
          <w:b w:val="0"/>
          <w:sz w:val="44"/>
          <w:szCs w:val="44"/>
        </w:rPr>
      </w:pP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第二部分  2024年度部门决算报表</w:t>
      </w:r>
    </w:p>
    <w:p>
      <w:pPr>
        <w:pStyle w:val="28"/>
        <w:keepNext w:val="0"/>
        <w:keepLines w:val="0"/>
        <w:widowControl/>
        <w:suppressLineNumbers w:val="0"/>
        <w:rPr>
          <w:rFonts w:hint="eastAsia" w:ascii="仿宋" w:hAnsi="仿宋" w:eastAsia="仿宋" w:cs="仿宋"/>
          <w:b/>
          <w:bCs/>
          <w:sz w:val="30"/>
          <w:szCs w:val="30"/>
          <w:highlight w:val="none"/>
          <w:u w:val="none"/>
          <w:lang w:val="en-US" w:eastAsia="zh-CN"/>
        </w:rPr>
      </w:pPr>
      <w:r>
        <w:rPr>
          <w:rFonts w:hint="eastAsia" w:ascii="仿宋" w:hAnsi="仿宋" w:eastAsia="仿宋" w:cs="仿宋"/>
          <w:b/>
          <w:bCs/>
          <w:sz w:val="30"/>
          <w:szCs w:val="30"/>
        </w:rPr>
        <w:t>一、收入支出决算总表</w:t>
      </w:r>
      <w:r>
        <w:rPr>
          <w:rFonts w:hint="eastAsia" w:ascii="仿宋" w:hAnsi="仿宋" w:eastAsia="仿宋" w:cs="仿宋"/>
          <w:b/>
          <w:bCs/>
          <w:sz w:val="30"/>
          <w:szCs w:val="30"/>
          <w:highlight w:val="none"/>
          <w:u w:val="none"/>
          <w:lang w:val="en-US" w:eastAsia="zh-CN"/>
        </w:rPr>
        <w:t xml:space="preserve">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97"/>
        <w:gridCol w:w="2650"/>
        <w:gridCol w:w="3598"/>
        <w:gridCol w:w="3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3912" w:type="pct"/>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部门（单位）：天津市南开区科学技术局（本级） </w:t>
            </w:r>
          </w:p>
        </w:tc>
        <w:tc>
          <w:tcPr>
            <w:tcW w:w="108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Style w:val="27"/>
                <w:rFonts w:hint="eastAsia" w:asciiTheme="minorEastAsia" w:hAnsiTheme="minorEastAsia" w:eastAsiaTheme="minorEastAsia" w:cstheme="minorEastAsia"/>
                <w:b w:val="0"/>
                <w:bCs w:val="0"/>
                <w:sz w:val="22"/>
                <w:szCs w:val="22"/>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947"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c>
          <w:tcPr>
            <w:tcW w:w="1087"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123,405,157.69</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四、财政专户管理资金</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109,698,767.92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五、事业收入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六、事业单位经营收入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685,375.64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七、上级补助收入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328,926.27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八、附属单位上缴收入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九、其他收入</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6,850,247.36</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947"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138,724,243.41</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138,710,208.19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十、使用非财政拨款结余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二十四、结余分配</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十一、年初结转和结余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114,269.96</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二十五、年末结转和结余</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128,305.18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其中：财政拨款结转和结余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114,269.96</w:t>
            </w:r>
          </w:p>
        </w:tc>
        <w:tc>
          <w:tcPr>
            <w:tcW w:w="128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其他结转和结余</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28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8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收入总计</w:t>
            </w:r>
          </w:p>
        </w:tc>
        <w:tc>
          <w:tcPr>
            <w:tcW w:w="94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138,838,513.37</w:t>
            </w:r>
          </w:p>
        </w:tc>
        <w:tc>
          <w:tcPr>
            <w:tcW w:w="128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支出总计</w:t>
            </w:r>
          </w:p>
        </w:tc>
        <w:tc>
          <w:tcPr>
            <w:tcW w:w="108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138,838,513.37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注：本表反映本年度的总收支和年末结转结余情况。财政专户管理资金是指教育收费；事业收入不含教育收费。</w:t>
            </w:r>
          </w:p>
        </w:tc>
      </w:tr>
    </w:tbl>
    <w:p>
      <w:pPr>
        <w:rPr>
          <w:rFonts w:hint="eastAsia" w:asciiTheme="minorEastAsia" w:hAnsiTheme="minorEastAsia" w:eastAsiaTheme="minorEastAsia" w:cstheme="minorEastAsia"/>
          <w:b w:val="0"/>
          <w:bCs w:val="0"/>
          <w:sz w:val="22"/>
          <w:szCs w:val="22"/>
          <w:lang w:val="en-US" w:eastAsia="zh-CN"/>
        </w:rPr>
      </w:pPr>
      <w:r>
        <w:rPr>
          <w:rFonts w:hint="eastAsia" w:asciiTheme="minorEastAsia" w:hAnsiTheme="minorEastAsia" w:eastAsiaTheme="minorEastAsia" w:cstheme="minorEastAsia"/>
          <w:b w:val="0"/>
          <w:bCs w:val="0"/>
          <w:sz w:val="22"/>
          <w:szCs w:val="22"/>
          <w:highlight w:val="none"/>
          <w:u w:val="none"/>
          <w:lang w:val="en-US" w:eastAsia="zh-CN"/>
        </w:rPr>
        <w:br w:type="page"/>
      </w:r>
    </w:p>
    <w:p>
      <w:pPr>
        <w:pStyle w:val="28"/>
        <w:keepNext w:val="0"/>
        <w:keepLines w:val="0"/>
        <w:widowControl/>
        <w:suppressLineNumbers w:val="0"/>
        <w:jc w:val="left"/>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二、收入决算表(按功能分类列示)</w:t>
      </w:r>
      <w:r>
        <w:rPr>
          <w:rFonts w:hint="eastAsia" w:ascii="仿宋" w:hAnsi="仿宋" w:eastAsia="仿宋" w:cs="仿宋"/>
          <w:b/>
          <w:bCs/>
          <w:color w:val="000000"/>
          <w:sz w:val="30"/>
          <w:szCs w:val="30"/>
        </w:rPr>
        <w:t xml:space="preserve">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7"/>
        <w:gridCol w:w="2888"/>
        <w:gridCol w:w="1387"/>
        <w:gridCol w:w="1250"/>
        <w:gridCol w:w="1300"/>
        <w:gridCol w:w="1238"/>
        <w:gridCol w:w="1175"/>
        <w:gridCol w:w="1246"/>
        <w:gridCol w:w="1216"/>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548" w:type="pct"/>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部门（单位）：天津市南开区科学技术局（本级） </w:t>
            </w:r>
          </w:p>
        </w:tc>
        <w:tc>
          <w:tcPr>
            <w:tcW w:w="451"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项      目</w:t>
            </w:r>
          </w:p>
        </w:tc>
        <w:tc>
          <w:tcPr>
            <w:tcW w:w="495"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本年收入合计</w:t>
            </w:r>
          </w:p>
        </w:tc>
        <w:tc>
          <w:tcPr>
            <w:tcW w:w="446"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财政拨款收入</w:t>
            </w:r>
          </w:p>
        </w:tc>
        <w:tc>
          <w:tcPr>
            <w:tcW w:w="464"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上级补助收入</w:t>
            </w:r>
          </w:p>
        </w:tc>
        <w:tc>
          <w:tcPr>
            <w:tcW w:w="862" w:type="pct"/>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事业收入</w:t>
            </w:r>
          </w:p>
        </w:tc>
        <w:tc>
          <w:tcPr>
            <w:tcW w:w="445"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经营收入</w:t>
            </w:r>
          </w:p>
        </w:tc>
        <w:tc>
          <w:tcPr>
            <w:tcW w:w="434"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附属单位上缴收入</w:t>
            </w:r>
          </w:p>
        </w:tc>
        <w:tc>
          <w:tcPr>
            <w:tcW w:w="451"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6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科目编码</w:t>
            </w:r>
          </w:p>
        </w:tc>
        <w:tc>
          <w:tcPr>
            <w:tcW w:w="103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科目名称</w:t>
            </w:r>
          </w:p>
        </w:tc>
        <w:tc>
          <w:tcPr>
            <w:tcW w:w="495"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46"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64"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小计</w:t>
            </w:r>
          </w:p>
        </w:tc>
        <w:tc>
          <w:tcPr>
            <w:tcW w:w="4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其中：教育收费</w:t>
            </w:r>
          </w:p>
        </w:tc>
        <w:tc>
          <w:tcPr>
            <w:tcW w:w="445"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399" w:type="pct"/>
            <w:gridSpan w:val="2"/>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合计</w:t>
            </w:r>
          </w:p>
        </w:tc>
        <w:tc>
          <w:tcPr>
            <w:tcW w:w="495"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138,724,243.41</w:t>
            </w:r>
          </w:p>
        </w:tc>
        <w:tc>
          <w:tcPr>
            <w:tcW w:w="446"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131,873,996.05</w:t>
            </w:r>
          </w:p>
        </w:tc>
        <w:tc>
          <w:tcPr>
            <w:tcW w:w="464"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6,850,247.36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一般公共服务支出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83,500.00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83,500.00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20132</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组织事务</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83,500.00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83,500.00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2013299</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其他组织事务支出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83,500.00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83,500.00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科学技术支出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109,696,489.20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102,846,241.84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6,850,247.36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20601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科学技术管理事务</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6,845,689.20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6,845,441.84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247.36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2060101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行政运行</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5,504,528.15</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5,504,280.79</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247.36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2060199</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其他科学技术管理事务支出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1,341,161.05</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1,341,161.05</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20604</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技术研究与开发</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27,780,800.00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27,780,800.00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2060499</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其他技术研究与开发支出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27,780,800.00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27,780,800.00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20699</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其他科学技术支出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75,070,000.00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68,220,000.00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6,850,000.00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2069901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科技奖励</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5,000,000.00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5,000,000.00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2069999</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其他科学技术支出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70,070,000.00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63,220,000.00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6,850,000.00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社会保障和就业支出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687,556.74</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687,556.74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行政事业单位养老支出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687,556.74</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687,556.74</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机关事业单位基本养老保险缴费支出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458,370.32</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458,370.32</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2080506</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机关事业单位职业年金缴费支出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229,186.42</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229,186.42</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卫生健康支出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343,059.11</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343,059.11</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行政事业单位医疗</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343,059.11</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343,059.11</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2101101</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行政单位医疗</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285,762.82</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285,762.82</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2101103</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公务员医疗补助</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57,296.29</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57,296.29</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215</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资源勘探工业信息等支出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16,724,800.00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16,724,800.00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21599</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其他资源勘探工业信息等支出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16,724,800.00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16,724,800.00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2159904</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技术改造支出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16,724,800.00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16,724,800.00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224</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灾害防治及应急管理支出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2,720,000.00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2,720,000.00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22406</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自然灾害防治</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2,720,000.00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2,720,000.00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2240699</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其他自然灾害防治支出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2,720,000.00</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2,720,000.00</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229</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8,468,838.36</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8,468,838.36</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22904</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其他政府性基金及对应专项债务收入安排的支出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8,468,838.36</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8,468,838.36</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2290402</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其他地方自行试点项目收益专项债券收入安排的支出</w:t>
            </w: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8,468,838.36</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8,468,838.36</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注：本表反映本年度取得的各项收入情况。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三、收入决算表(按单位列示)</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7"/>
        <w:gridCol w:w="1050"/>
        <w:gridCol w:w="550"/>
        <w:gridCol w:w="613"/>
        <w:gridCol w:w="650"/>
        <w:gridCol w:w="612"/>
        <w:gridCol w:w="663"/>
        <w:gridCol w:w="712"/>
        <w:gridCol w:w="650"/>
        <w:gridCol w:w="688"/>
        <w:gridCol w:w="650"/>
        <w:gridCol w:w="662"/>
        <w:gridCol w:w="353"/>
        <w:gridCol w:w="260"/>
        <w:gridCol w:w="625"/>
        <w:gridCol w:w="700"/>
        <w:gridCol w:w="712"/>
        <w:gridCol w:w="688"/>
        <w:gridCol w:w="712"/>
        <w:gridCol w:w="638"/>
        <w:gridCol w:w="638"/>
        <w:gridCol w:w="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153" w:type="pct"/>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 xml:space="preserve">部门（单位）：天津市南开区科学技术局（本级） </w:t>
            </w:r>
          </w:p>
        </w:tc>
        <w:tc>
          <w:tcPr>
            <w:tcW w:w="245"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32"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36"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126"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316" w:type="pct"/>
            <w:gridSpan w:val="2"/>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0"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4"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45"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54"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227" w:type="pct"/>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456" w:type="pct"/>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部门（单位）代码</w:t>
            </w:r>
          </w:p>
        </w:tc>
        <w:tc>
          <w:tcPr>
            <w:tcW w:w="375"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部门（单位）名称</w:t>
            </w:r>
          </w:p>
        </w:tc>
        <w:tc>
          <w:tcPr>
            <w:tcW w:w="19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合计</w:t>
            </w:r>
          </w:p>
        </w:tc>
        <w:tc>
          <w:tcPr>
            <w:tcW w:w="2327" w:type="pct"/>
            <w:gridSpan w:val="11"/>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本年收入</w:t>
            </w:r>
          </w:p>
        </w:tc>
        <w:tc>
          <w:tcPr>
            <w:tcW w:w="1912" w:type="pct"/>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上年结转和结余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37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9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21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23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254"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事业收入</w:t>
            </w:r>
          </w:p>
        </w:tc>
        <w:tc>
          <w:tcPr>
            <w:tcW w:w="245"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事业单位经营收入</w:t>
            </w:r>
          </w:p>
        </w:tc>
        <w:tc>
          <w:tcPr>
            <w:tcW w:w="232"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上级补助收入</w:t>
            </w:r>
          </w:p>
        </w:tc>
        <w:tc>
          <w:tcPr>
            <w:tcW w:w="23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附属单位上缴收入</w:t>
            </w:r>
          </w:p>
        </w:tc>
        <w:tc>
          <w:tcPr>
            <w:tcW w:w="219" w:type="pct"/>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其他收入</w:t>
            </w:r>
          </w:p>
        </w:tc>
        <w:tc>
          <w:tcPr>
            <w:tcW w:w="223"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1004" w:type="pct"/>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财政拨款结转结余</w:t>
            </w:r>
          </w:p>
        </w:tc>
        <w:tc>
          <w:tcPr>
            <w:tcW w:w="684" w:type="pct"/>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非财政拨款结转结余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37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9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54"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45"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2"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3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19" w:type="pct"/>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23"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250"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54"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24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254"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227"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27"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228"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63"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合计</w:t>
            </w:r>
          </w:p>
        </w:tc>
        <w:tc>
          <w:tcPr>
            <w:tcW w:w="19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138,838,513.37</w:t>
            </w:r>
          </w:p>
        </w:tc>
        <w:tc>
          <w:tcPr>
            <w:tcW w:w="2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138,724,243.41</w:t>
            </w:r>
          </w:p>
        </w:tc>
        <w:tc>
          <w:tcPr>
            <w:tcW w:w="23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123,405,157.69</w:t>
            </w:r>
          </w:p>
        </w:tc>
        <w:tc>
          <w:tcPr>
            <w:tcW w:w="2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8,468,838.36</w:t>
            </w:r>
          </w:p>
        </w:tc>
        <w:tc>
          <w:tcPr>
            <w:tcW w:w="6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6,850,247.36</w:t>
            </w:r>
          </w:p>
        </w:tc>
        <w:tc>
          <w:tcPr>
            <w:tcW w:w="6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114,269.96</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114,269.96</w:t>
            </w: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114,269.96</w:t>
            </w: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331101</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天津市南开区科学技术局（本级）</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138,838,513.37</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138,724,243.41</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123,405,157.69</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8,468,838.36</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6,850,247.36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114,269.96</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114,269.96</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114,269.96</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2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注：本表反映本年度取得的各项收入情况。财政专户管理资金是指教育收费；事业收入不含教育收费。</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四、支出决算表 </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5"/>
        <w:gridCol w:w="2188"/>
        <w:gridCol w:w="1845"/>
        <w:gridCol w:w="1800"/>
        <w:gridCol w:w="1800"/>
        <w:gridCol w:w="1815"/>
        <w:gridCol w:w="1628"/>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32"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部门（单位）：天津市南开区科学技术局（本级） </w:t>
            </w:r>
          </w:p>
        </w:tc>
        <w:tc>
          <w:tcPr>
            <w:tcW w:w="56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65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基本支出</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648"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上缴上级支出</w:t>
            </w:r>
          </w:p>
        </w:tc>
        <w:tc>
          <w:tcPr>
            <w:tcW w:w="581"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经营支出</w:t>
            </w:r>
          </w:p>
        </w:tc>
        <w:tc>
          <w:tcPr>
            <w:tcW w:w="56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78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138,710,208.19</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6,521,108.78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132,189,099.41</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组织事务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2013299</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其他组织事务支出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科学技术支出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109,698,767.92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5,506,806.87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104,191,961.05</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科学技术管理事务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6,847,967.92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5,506,806.87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1,341,161.05</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2060101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行政运行</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5,506,806.87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5,506,806.87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2060199</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其他科学技术管理事务支出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1,341,161.05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1,341,161.05</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技术研究与开发</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27,780,800.00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27,780,800.00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其他技术研究与开发支出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27,780,800.00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27,780,800.00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20699</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其他科学技术支出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75,070,000.00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75,070,000.00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2069901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科技奖励</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2069999</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其他科学技术支出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70,070,000.00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70,070,000.00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685,375.64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685,375.64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685,375.64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685,375.64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457,587.39</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457,587.39</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227,788.25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227,788.25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328,926.27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328,926.27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328,926.27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328,926.27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2101101</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271,727.85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271,727.85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2101103</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公务员医疗补助</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57,198.42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57,198.42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215</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资源勘探工业信息等支出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21599</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其他资源勘探工业信息等支出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2159904</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技术改造支出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灾害防治及应急管理支出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22406</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自然灾害防治</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2240699</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其他自然灾害防治支出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其他政府性基金及对应专项债务收入安排的支出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2290402</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其他地方自行试点项目收益专项债券收入安排的支出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注：本表反映本年度各项支出情况。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五、财政拨款收入支出决算总表</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17"/>
        <w:gridCol w:w="1883"/>
        <w:gridCol w:w="2350"/>
        <w:gridCol w:w="1850"/>
        <w:gridCol w:w="1791"/>
        <w:gridCol w:w="1827"/>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294" w:type="pct"/>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部门（单位）：天津市南开区科学技术局（本级） </w:t>
            </w:r>
          </w:p>
        </w:tc>
        <w:tc>
          <w:tcPr>
            <w:tcW w:w="705"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5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3499" w:type="pct"/>
            <w:gridSpan w:val="5"/>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一般公共预算财政拨款</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政府性基金预算财政拨款</w:t>
            </w: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123,405,157.69</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102,848,767.92</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102,848,767.92</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685,375.64</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685,375.64</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328,926.27</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328,926.27</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131,873,996.05</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131,860,208.19</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123,391,369.83</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年初财政拨款结转和结余</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114,269.96</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年末财政拨款结转和结余</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128,057.82</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128,057.82</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114,269.96</w:t>
            </w: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39"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1"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0"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2"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705"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131,988,266.01</w:t>
            </w:r>
          </w:p>
        </w:tc>
        <w:tc>
          <w:tcPr>
            <w:tcW w:w="83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6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131,988,266.01</w:t>
            </w:r>
          </w:p>
        </w:tc>
        <w:tc>
          <w:tcPr>
            <w:tcW w:w="64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123,519,427.65</w:t>
            </w:r>
          </w:p>
        </w:tc>
        <w:tc>
          <w:tcPr>
            <w:tcW w:w="65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70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注：本表反映本年度一般公共预算财政拨款、政府性基金预算财政拨款和国有资本经营预算财政拨款的总收支和年末结转结余情况。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numPr>
          <w:ilvl w:val="0"/>
          <w:numId w:val="2"/>
        </w:numPr>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一般公共预算财政拨款支出决算表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9"/>
        <w:gridCol w:w="4092"/>
        <w:gridCol w:w="1800"/>
        <w:gridCol w:w="1662"/>
        <w:gridCol w:w="1738"/>
        <w:gridCol w:w="1708"/>
        <w:gridCol w:w="1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02" w:type="pct"/>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天津市南开区科学技术局（本级） </w:t>
            </w:r>
          </w:p>
        </w:tc>
        <w:tc>
          <w:tcPr>
            <w:tcW w:w="59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9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825" w:type="pct"/>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9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1"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462"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93"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62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人员经费</w:t>
            </w:r>
          </w:p>
        </w:tc>
        <w:tc>
          <w:tcPr>
            <w:tcW w:w="6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公用经费</w:t>
            </w:r>
          </w:p>
        </w:tc>
        <w:tc>
          <w:tcPr>
            <w:tcW w:w="59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9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123,391,369.83</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6,521,108.78</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6,109,280.61</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411,828.17</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116,870,261.05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一般公共服务支出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83,500.00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83,500.00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20132</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组织事务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83,500.00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83,500.00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2013299</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其他组织事务支出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83,500.00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83,500.00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科学技术支出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102,848,767.92</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5,506,806.87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5,094,978.70</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411,828.17</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97,341,961.05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20601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科学技术管理事务</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6,847,967.92</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5,506,806.87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5,094,978.70</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411,828.17</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1,341,161.05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2060101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行政运行</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5,506,806.87</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5,506,806.87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5,094,978.70</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411,828.17</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2060199</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其他科学技术管理事务支出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1,341,161.05</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1,341,161.05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20604</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技术研究与开发</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27,780,800.00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27,780,800.00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2060499</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其他技术研究与开发支出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27,780,800.00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27,780,800.00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20699</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其他科学技术支出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68,220,000.00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68,220,000.00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2069901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科技奖励</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5,000,000.00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5,000,000.00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2069999</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其他科学技术支出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63,220,000.00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63,220,000.00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社会保障和就业支出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685,375.64</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685,375.64</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685,375.64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行政事业单位养老支出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685,375.64</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685,375.64</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685,375.64</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2080505</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机关事业单位基本养老保险缴费支出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457,587.39</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457,587.39</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457,587.39</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2080506</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机关事业单位职业年金缴费支出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227,788.25</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227,788.25</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227,788.25</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卫生健康支出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328,926.27</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328,926.27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328,926.27</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行政事业单位医疗</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328,926.27</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328,926.27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328,926.27</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2101101</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行政单位医疗</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271,727.85</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271,727.85</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271,727.85</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2101103</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公务员医疗补助</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57,198.42</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57,198.42</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57,198.42</w:t>
            </w: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215</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资源勘探工业信息等支出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16,724,800.00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16,724,800.00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21599</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其他资源勘探工业信息等支出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16,724,800.00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16,724,800.00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2159904</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技术改造支出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16,724,800.00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16,724,800.00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224</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灾害防治及应急管理支出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2,720,000.00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2,720,000.00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22406</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自然灾害防治</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2,720,000.00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2,720,000.00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2240699</w:t>
            </w:r>
          </w:p>
        </w:tc>
        <w:tc>
          <w:tcPr>
            <w:tcW w:w="1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其他自然灾害防治支出</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2,720,000.00</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2,720,000.00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注：本表反映本年度一般公共预算财政拨款支出情况。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七、一般公共预算财政拨款基本支出决算明细表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382" w:type="pct"/>
            <w:gridSpan w:val="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部门（单位）：天津市南开区科学技术局（本级） </w:t>
            </w:r>
          </w:p>
        </w:tc>
        <w:tc>
          <w:tcPr>
            <w:tcW w:w="61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67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w:t>
            </w:r>
          </w:p>
        </w:tc>
        <w:tc>
          <w:tcPr>
            <w:tcW w:w="3327" w:type="pct"/>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工资福利支出</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6,032,636.14</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商品和服务支出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410,748.17</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国内债务发行费用</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基本工资</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881,068.00</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50,550.82</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30704</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国外债务发行费用</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津贴补贴</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1,876,083.12</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印刷费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126.00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资本性支出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634,471.38</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30203</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咨询费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房屋建筑物购建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30106</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伙食补助费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手续费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4,318.55</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办公设备购置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30107</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绩效工资</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水费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专用设备购置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30108</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机关事业单位基本养老保险缴费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487,201.79</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电费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31005</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基础设施建设</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职业年金缴费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242,595.45</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邮电费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6,459.08</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31006</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大型修缮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30110</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职工基本医疗保险缴费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279,131.45</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取暖费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31007</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信息网络及软件购置更新</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公务员医疗补助缴费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57,198.42</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物业管理费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31008</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物资储备</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其他社会保障缴费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20,776.17</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差旅费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52,408.41</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土地补偿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住房公积金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1,508,983.44</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因公出国（境）费用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安置补助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30114</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30213</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维修(护)费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地上附着物和青苗补偿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30199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其他工资福利支出</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45,126.92</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租赁费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拆迁补偿</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76,644.47</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会议费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离休费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27,392.03</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培训费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其他交通工具购置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30302</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退休费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49,252.44</w:t>
            </w: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公务接待费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3,140.00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文物和陈列品购置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30303</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退职（役）费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专用材料费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无形资产购置</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30304</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抚恤金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30224</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被装购置费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30305</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生活补助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30225</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专用燃料费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对企业补助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30306</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救济费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30226</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劳务费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3,330.00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31201</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资本金注入</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30307</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委托业务费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1,052.64</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31203</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政府投资基金股权投资</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30308</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助学金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30228</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工会经费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26,509.39</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31204</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费用补贴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奖励金</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福利费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45,705.20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31205</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利息补贴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30310</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个人农业生产补贴</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公务用车运行维护费</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31206</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30311</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代缴社会保险费</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200,960.00</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其他对企业补助</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30399</w:t>
            </w:r>
          </w:p>
        </w:tc>
        <w:tc>
          <w:tcPr>
            <w:tcW w:w="66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30240</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税金及附加费用</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30299</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其他商品和服务支出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15,868.08</w:t>
            </w: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39907</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国家赔偿费用支出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债务利息及费用支出</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39908</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对民间非营利组织和群众性自治组织补贴</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30701</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国内债务付息</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经常性赠与</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30702</w:t>
            </w:r>
          </w:p>
        </w:tc>
        <w:tc>
          <w:tcPr>
            <w:tcW w:w="6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国外债务付息</w:t>
            </w:r>
          </w:p>
        </w:tc>
        <w:tc>
          <w:tcPr>
            <w:tcW w:w="65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39910</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资本性赠与</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67"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72" w:type="pct"/>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13"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43"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654" w:type="pct"/>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9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39999</w:t>
            </w:r>
          </w:p>
        </w:tc>
        <w:tc>
          <w:tcPr>
            <w:tcW w:w="7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其他支出</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999"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人员经费合计</w:t>
            </w:r>
          </w:p>
        </w:tc>
        <w:tc>
          <w:tcPr>
            <w:tcW w:w="67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6,109,280.61</w:t>
            </w:r>
          </w:p>
        </w:tc>
        <w:tc>
          <w:tcPr>
            <w:tcW w:w="2710" w:type="pct"/>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公用经费合计</w:t>
            </w:r>
          </w:p>
        </w:tc>
        <w:tc>
          <w:tcPr>
            <w:tcW w:w="6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411,828.17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注：本表反映本年度一般公共预算财政拨款基本支出明细情况。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八、政府性基金预算财政拨款收入支出决算表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1"/>
        <w:gridCol w:w="3851"/>
        <w:gridCol w:w="1510"/>
        <w:gridCol w:w="1537"/>
        <w:gridCol w:w="1429"/>
        <w:gridCol w:w="1428"/>
        <w:gridCol w:w="1509"/>
        <w:gridCol w:w="1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82"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天津市南开区科学技术局（本级） </w:t>
            </w:r>
          </w:p>
        </w:tc>
        <w:tc>
          <w:tcPr>
            <w:tcW w:w="51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53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549"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1560" w:type="pct"/>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517"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57"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376"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53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49"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510"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39"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517"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229</w:t>
            </w:r>
          </w:p>
        </w:tc>
        <w:tc>
          <w:tcPr>
            <w:tcW w:w="1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其他支出</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22904</w:t>
            </w:r>
          </w:p>
        </w:tc>
        <w:tc>
          <w:tcPr>
            <w:tcW w:w="1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其他政府性基金及对应专项债务收入安排的支出</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2290402</w:t>
            </w:r>
          </w:p>
        </w:tc>
        <w:tc>
          <w:tcPr>
            <w:tcW w:w="1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其他地方自行试点项目收益专项债券收入安排的支出</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8,468,838.36</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注：本表反映本年度政府性基金预算财政拨款收入、支出及结转和结余情况。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九、国有资本经营预算财政拨款支出决算表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2"/>
        <w:gridCol w:w="3442"/>
        <w:gridCol w:w="1619"/>
        <w:gridCol w:w="1579"/>
        <w:gridCol w:w="1523"/>
        <w:gridCol w:w="1606"/>
        <w:gridCol w:w="1468"/>
        <w:gridCol w:w="1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87"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天津市南开区科学技术局（本级） </w:t>
            </w:r>
          </w:p>
        </w:tc>
        <w:tc>
          <w:tcPr>
            <w:tcW w:w="512"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5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56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164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4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1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5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7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注：本表反映本年度国有资本经营预算财政拨款收入、支出及结转和结余情况。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天津市南开区科学技术局（本级）2024年国有资本经营预算财政拨款收入支出决算表为空表。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十、财政拨款“三公”经费支出决算表 </w:t>
      </w:r>
    </w:p>
    <w:tbl>
      <w:tblPr>
        <w:tblStyle w:val="11"/>
        <w:tblW w:w="13638"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69"/>
        <w:gridCol w:w="2108"/>
        <w:gridCol w:w="2400"/>
        <w:gridCol w:w="2385"/>
        <w:gridCol w:w="2430"/>
        <w:gridCol w:w="21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部门（单位）：天津市南开区科学技术局（本级） </w:t>
            </w:r>
          </w:p>
        </w:tc>
        <w:tc>
          <w:tcPr>
            <w:tcW w:w="214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2385"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公务用车购置费</w:t>
            </w:r>
          </w:p>
        </w:tc>
        <w:tc>
          <w:tcPr>
            <w:tcW w:w="243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3,140.00</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注：本表反映本年度“三公”经费支出决算情况。其中决算数是包括当年财政拨款和以前年度结转资金安排的实际支出。</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十一、项目支出决算表 </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2"/>
        <w:gridCol w:w="2862"/>
        <w:gridCol w:w="1738"/>
        <w:gridCol w:w="1616"/>
        <w:gridCol w:w="1707"/>
        <w:gridCol w:w="1693"/>
        <w:gridCol w:w="1674"/>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31" w:type="pct"/>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部门（单位）：天津市南开区科学技术局（本级） </w:t>
            </w:r>
          </w:p>
        </w:tc>
        <w:tc>
          <w:tcPr>
            <w:tcW w:w="568"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4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w:t>
            </w:r>
          </w:p>
        </w:tc>
        <w:tc>
          <w:tcPr>
            <w:tcW w:w="3579" w:type="pct"/>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397" w:type="pc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022" w:type="pct"/>
            <w:tcBorders>
              <w:top w:val="nil"/>
              <w:left w:val="nil"/>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科目名称（二级项目名称）</w:t>
            </w:r>
          </w:p>
        </w:tc>
        <w:tc>
          <w:tcPr>
            <w:tcW w:w="621"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577"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w:t>
            </w:r>
          </w:p>
        </w:tc>
        <w:tc>
          <w:tcPr>
            <w:tcW w:w="609"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w:t>
            </w:r>
          </w:p>
        </w:tc>
        <w:tc>
          <w:tcPr>
            <w:tcW w:w="604"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w:t>
            </w:r>
          </w:p>
        </w:tc>
        <w:tc>
          <w:tcPr>
            <w:tcW w:w="598"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财政专户管理资金</w:t>
            </w:r>
          </w:p>
        </w:tc>
        <w:tc>
          <w:tcPr>
            <w:tcW w:w="568" w:type="pct"/>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4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132,189,099.41</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116,870,261.05</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一般公共服务支出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组织事务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其他组织事务支出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2013299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2024年春节人才慰问经费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83,500.00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科学技术支出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104,191,961.05</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97,341,961.05</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20601</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科学技术管理事务</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1,341,161.05</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1,341,161.05</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2060199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其他科学技术管理事务支出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1,341,161.05</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1,341,161.05</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2060199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离休人员去世抚恤金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286,482.00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286,482.00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2060199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经费补助</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4,848.55</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4,848.55</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2060199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2024年招商引资经费</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49,830.50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49,830.50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2060199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海河实验室租金直达资金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技术研究与开发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27,780,800.00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27,780,800.00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其他技术研究与开发支出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27,780,800.00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27,780,800.00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2024年科技型企业发展专项资金企业研发投入后补助项目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4,379,000.00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4,379,000.00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2023年第三批制造业高质量发展专项资金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78,000.00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2020年度国家高企市级奖励资金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2024年科技型企业发展专项资金高新技术企业认定奖励项目</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12,890,000.00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12,890,000.00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2021年科技型企业发展专项资金新一代人工智能重大专项结转</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2023年第四批制造业高质量发展专项资金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2,371,400.00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2,371,400.00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2024年第二批制造业高质量发展专项资金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1,155,900.00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1,155,900.00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2023年科技型企业发展专项资金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5,330,000.00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5,330,000.00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2024年第二批制造业高质量发展专项资金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49,300.00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49,300.00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2023年第三批制造业高质量发展专项资金预算</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1,326,000.00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1,326,000.00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2060499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2023年第四批制造业高质量发展专项资金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101,200.00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其他科学技术支出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75,070,000.00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68,220,000.00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2069901</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科技奖励</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2069901</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2020年及2021年首次认定国家高新技术企业区级匹配奖励</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2069999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其他科学技术支出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70,070,000.00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63,220,000.00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2069999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2020年国高新和2021年国高新首次认定和重新认定奖励资金(区级匹配)</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2069999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2024年度天开园发展专项资金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58,220,000.00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58,220,000.00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2069999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启航湾项目收益</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6,850,000.00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215</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资源勘探工业信息等支出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21599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其他资源勘探工业信息等支出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2159904</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技术改造支出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16,724,800.00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2159904</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中央财政2020年制造业高质量发展资金工业和信息化领域</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13,000,000.00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13,000,000.00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2159904</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2024年第一批制造业高质量发展专项资金调整预算</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424,800.00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424,800.00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2159904</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2024年第三批制造业高质量发展专项资金</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3,300,000.00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3,300,000.00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灾害防治及应急管理支出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22406</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自然灾害防治</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2240699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其他自然灾害防治支出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2240699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中央财政2022年自然灾害防治体系建设补助资金津财建一指20235号</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2,720,000.00</w:t>
            </w: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其他政府性基金及对应专项债务收入安排的支出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2290402</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其他地方自行试点项目收益专项债券收入安排的支出</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3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2290402</w:t>
            </w:r>
          </w:p>
        </w:tc>
        <w:tc>
          <w:tcPr>
            <w:tcW w:w="102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天津国家自主创新示范区南开园——启航湾智慧园区新基建建设项目-津财债指20211号</w:t>
            </w:r>
          </w:p>
        </w:tc>
        <w:tc>
          <w:tcPr>
            <w:tcW w:w="62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5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60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8,468,838.36</w:t>
            </w:r>
          </w:p>
        </w:tc>
        <w:tc>
          <w:tcPr>
            <w:tcW w:w="60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9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56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注：本表反映本年度项目支出决算情况，其中支出数包括当年预算资金和以前年度结转资金安排的合计实际支出。</w:t>
            </w:r>
          </w:p>
        </w:tc>
      </w:tr>
    </w:tbl>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sectPr>
          <w:pgSz w:w="16838" w:h="11906" w:orient="landscape"/>
          <w:pgMar w:top="2098" w:right="1531" w:bottom="1984" w:left="1531" w:header="851" w:footer="992" w:gutter="0"/>
          <w:pgBorders>
            <w:top w:val="none" w:sz="0" w:space="0"/>
            <w:left w:val="none" w:sz="0" w:space="0"/>
            <w:bottom w:val="none" w:sz="0" w:space="0"/>
            <w:right w:val="none" w:sz="0" w:space="0"/>
          </w:pgBorders>
          <w:cols w:space="720" w:num="1"/>
          <w:docGrid w:type="lines" w:linePitch="312" w:charSpace="0"/>
        </w:sect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第三部分  2024年度部门决算情况说明</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一、收入支出决算总体情况说明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天津市南开区科学技术局（本级）2024年度收入、支出决算总计138,838,513.37元。与2023年度相比，收、支总计各增加7,400,191.02元，增长5.630%，主要原因是</w:t>
      </w:r>
      <w:r>
        <w:rPr>
          <w:rFonts w:hint="eastAsia" w:ascii="Times New Roman" w:eastAsia="仿宋_GB2312"/>
          <w:b w:val="0"/>
          <w:sz w:val="30"/>
          <w:szCs w:val="30"/>
          <w:lang w:val="en-US" w:eastAsia="zh-CN"/>
        </w:rPr>
        <w:t>本年政府性基金预算天津国家自主创新示范区南开园——启航湾智慧园区新基建建设项目收支增加；此外，机构改革人员增加，人员支出相应增加</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收入包括：一般公共预算财政拨款收入123,405,157.69元、政府性基金预算财政拨款收入8,468,838.36元、其他收入6,850,247.36元。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一般公共服务支出83,500.00元、科学技术支出109,698,767.92元、社会保障和就业支出685,375.64元、卫生健康支出328,926.27元、资源勘探工业信息等支出16,724,800.00元、灾害防治及应急管理支出2,720,000.00元、其他支出8,468,838.36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天津市南开区科学技术局（本级）2024年度本年收入合计138,724,243.41元，与2023年度相比增加7,377,797.13元，主要原因是</w:t>
      </w:r>
      <w:r>
        <w:rPr>
          <w:rFonts w:hint="eastAsia" w:ascii="Times New Roman" w:eastAsia="仿宋_GB2312"/>
          <w:b w:val="0"/>
          <w:sz w:val="30"/>
          <w:szCs w:val="30"/>
          <w:lang w:val="en-US" w:eastAsia="zh-CN"/>
        </w:rPr>
        <w:t>本年政府性基金预算天津国家自主创新示范区南开园——启航湾智慧园区新基建建设项目收入增加；此外，机构改革人员增加，人员支出相应增加</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一般公共预算财政拨款收入123,405,157.69元，占88.957%；政府性基金预算财政拨款收入8,468,838.36元，占6.105%；其他收入6,850,247.36元，占4.938%。</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天津市南开区科学技术局（本级）2024年度本年支出合计138,710,208.19元，与2023年度相比增加7,293,055.72元，主要原因是</w:t>
      </w:r>
      <w:r>
        <w:rPr>
          <w:rFonts w:hint="eastAsia" w:ascii="Times New Roman" w:eastAsia="仿宋_GB2312"/>
          <w:b w:val="0"/>
          <w:sz w:val="30"/>
          <w:szCs w:val="30"/>
          <w:lang w:val="en-US" w:eastAsia="zh-CN"/>
        </w:rPr>
        <w:t>本年政府性基金预算天津国家自主创新示范区南开园——启航湾智慧园区新基建建设项目支出增加；此外，机构改革人员增加，人员支出相应增加</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基本支出6,521,108.78元，占4.701%；项目支出132,189,099.41元，占95.299%。</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天津市南开区科学技术局（本级）2024年度财政拨款收入、支出决算总计131,988,266.01元。与2023年度相比，财政拨款收、支总计各增加550,151.99元，增长0.419%，主要原因是</w:t>
      </w:r>
      <w:r>
        <w:rPr>
          <w:rFonts w:hint="eastAsia" w:ascii="Times New Roman" w:eastAsia="仿宋_GB2312"/>
          <w:b w:val="0"/>
          <w:sz w:val="30"/>
          <w:szCs w:val="30"/>
          <w:highlight w:val="none"/>
          <w:lang w:eastAsia="zh-CN"/>
        </w:rPr>
        <w:t>因机构改革，工信等职能划归至区科技局，相应项目资金财政拨款收支增加</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outlineLvl w:val="1"/>
        <w:rPr>
          <w:rFonts w:ascii="Times New Roman" w:eastAsia="仿宋_GB2312"/>
          <w:sz w:val="30"/>
          <w:szCs w:val="30"/>
        </w:rPr>
      </w:pPr>
      <w:r>
        <w:rPr>
          <w:rFonts w:ascii="Times New Roman" w:eastAsia="仿宋_GB2312"/>
          <w:b w:val="0"/>
          <w:sz w:val="30"/>
          <w:szCs w:val="30"/>
        </w:rPr>
        <w:t>收入包括：一般公共预算财政拨款123,405,157.69元、政府性基金预算财政拨款8,468,838.36元、年初财政拨款结转和结余114,269.96元。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一般公共服务支出83,500.00元、科学技术支出102,848,767.92元、社会保障和就业支出685,375.64元、卫生健康支出328,926.27元、资源勘探工业信息等支出16,724,800.00元、灾害防治及应急管理支出2,720,000.00元、其他支出8,468,838.36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天津市南开区科学技术局（本级）2024年度部门决算一般公共预算财政拨款支出合计123,391,369.83元，占本年支出合计的88.956%。与2023年度相比，一般公共预算财政拨款支出减少7,444,782.64元，下降5.690%，主要原因是</w:t>
      </w:r>
      <w:r>
        <w:rPr>
          <w:rFonts w:hint="eastAsia" w:ascii="Times New Roman" w:eastAsia="仿宋_GB2312"/>
          <w:b w:val="0"/>
          <w:sz w:val="30"/>
          <w:szCs w:val="30"/>
          <w:lang w:val="en-US" w:eastAsia="zh-CN"/>
        </w:rPr>
        <w:t>市级转移支付项目资金减少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（二）支出结构情况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123,391,369.83元，主要用于以下方面：一般公共服务支出（类）83,500.00元，占0.068%；科学技术支出（类）102,848,767.92元，占83.352%；社会保障和就业支出（类）685,375.64元，占0.555%；卫生健康支出（类）328,926.27元，占0.267%；资源勘探工业信息等支出（类）16,724,800.00元，占13.554%；灾害防治及应急管理支出（类）2,720,000.00元，占2.204%。</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（三）具体情况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2024年度一般公共预算财政拨款支出年初预算为12,762,606.38元，支出决算为123,391,369.83元，完成年初预算的966.820%。其中： </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1.​一般公共服务支出(类)组织事务(款)其他组织事务支出(项)年初预算为0.00元，支出决算为83,500.00元，决算数大于年初预算数的主要原因是：</w:t>
      </w:r>
      <w:r>
        <w:rPr>
          <w:rFonts w:hint="eastAsia" w:ascii="Times New Roman" w:eastAsia="仿宋_GB2312"/>
          <w:b w:val="0"/>
          <w:sz w:val="30"/>
          <w:szCs w:val="30"/>
          <w:lang w:val="en-US" w:eastAsia="zh-CN"/>
        </w:rPr>
        <w:t>年中追加预算用于</w:t>
      </w:r>
      <w:r>
        <w:rPr>
          <w:rFonts w:hint="eastAsia" w:ascii="Times New Roman" w:eastAsia="仿宋_GB2312"/>
          <w:b w:val="0"/>
          <w:sz w:val="30"/>
          <w:szCs w:val="30"/>
          <w:lang w:eastAsia="zh-CN"/>
        </w:rPr>
        <w:t>慰问南开区科技领域院士、专家、人才等事项支出</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2.​科学技术支出(类)科学技术管理事务(款)行政运行(项)年初预算为5,158,004.22元，支出决算为5,506,806.87元，完成年初预算的106.762%，决算数大于年初预算数的主要原因是：</w:t>
      </w:r>
      <w:r>
        <w:rPr>
          <w:rFonts w:hint="eastAsia" w:ascii="Times New Roman" w:eastAsia="仿宋_GB2312"/>
          <w:b w:val="0"/>
          <w:sz w:val="30"/>
          <w:szCs w:val="30"/>
          <w:lang w:eastAsia="zh-CN"/>
        </w:rPr>
        <w:t>机构改革，科技局在职人数增加，人员工资、办公经费等基本支出增加</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3.​科学技术支出(类)科学技术管理事务(款)其他科学技术管理事务支出(项)年初预算为1,119,120.40元，支出决算为1,341,161.05元，完成年初预算的119.841%，决算数大于年初预算数的主要原因是：</w:t>
      </w:r>
      <w:r>
        <w:rPr>
          <w:rFonts w:hint="eastAsia" w:ascii="Times New Roman" w:eastAsia="仿宋_GB2312"/>
          <w:b w:val="0"/>
          <w:sz w:val="30"/>
          <w:szCs w:val="30"/>
          <w:lang w:eastAsia="zh-CN"/>
        </w:rPr>
        <w:t>年</w:t>
      </w:r>
      <w:r>
        <w:rPr>
          <w:rFonts w:hint="eastAsia" w:ascii="Times New Roman" w:eastAsia="仿宋_GB2312"/>
          <w:b w:val="0"/>
          <w:sz w:val="30"/>
          <w:szCs w:val="30"/>
          <w:lang w:val="en-US" w:eastAsia="zh-CN"/>
        </w:rPr>
        <w:t>中追加预算，用于海河实验室租金直达资金项目</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4.​科学技术支出(类)技术研究与开发(款)其他技术研究与开发支出(项)年初预算为5,458,000.00元，支出决算为27,780,800.00元，完成年初预算的508.992%，决算数大于年初预算数的主要原因是：</w:t>
      </w:r>
      <w:r>
        <w:rPr>
          <w:rFonts w:hint="eastAsia" w:ascii="Times New Roman" w:eastAsia="仿宋_GB2312"/>
          <w:b w:val="0"/>
          <w:sz w:val="30"/>
          <w:szCs w:val="30"/>
          <w:lang w:val="en-US" w:eastAsia="zh-CN"/>
        </w:rPr>
        <w:t>年中追加预算，用于2023年科技型企业发展专项资金等事项支出</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5.​科学技术支出(类)其他科学技术支出(款)科技奖励(项)年初预算为0.00元，支出决算为5,000,000.00元，决算数大于年初预算数的主要原因是：</w:t>
      </w:r>
      <w:r>
        <w:rPr>
          <w:rFonts w:hint="eastAsia" w:ascii="Times New Roman" w:eastAsia="仿宋_GB2312"/>
          <w:b w:val="0"/>
          <w:sz w:val="30"/>
          <w:szCs w:val="30"/>
          <w:lang w:val="en-US" w:eastAsia="zh-CN"/>
        </w:rPr>
        <w:t>年中追加预算，用于2020年及2021年首次认定国家高新技术企业区级匹配奖励支出</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lang w:val="en-US" w:eastAsia="zh-CN"/>
        </w:rPr>
      </w:pPr>
      <w:r>
        <w:rPr>
          <w:rFonts w:ascii="Times New Roman" w:eastAsia="仿宋_GB2312"/>
          <w:b w:val="0"/>
          <w:sz w:val="30"/>
          <w:szCs w:val="30"/>
        </w:rPr>
        <w:t>6.​科学技术支出(类)其他科学技术支出(款)其他科学技术支出(项)年初预算为0.00元，支出决算为63,220,000.00元，决算数大于年初预算数的主要原因是：</w:t>
      </w:r>
      <w:r>
        <w:rPr>
          <w:rFonts w:hint="eastAsia" w:ascii="Times New Roman" w:eastAsia="仿宋_GB2312"/>
          <w:b w:val="0"/>
          <w:sz w:val="30"/>
          <w:szCs w:val="30"/>
          <w:lang w:val="en-US" w:eastAsia="zh-CN"/>
        </w:rPr>
        <w:t>年中追加预算，用于2024年度天开园发展专项资金以及2020年国高新和2021年国高新首次认定和重新认定奖励资金(区级匹配)</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7.​社会保障和就业支出(类)行政事业单位养老支出(款)机关事业单位基本养老保险缴费支出(项)年初预算为456,658.56元，支出决算为457,587.39元，完成年初预算的100.203%，决算数大于年初预算数的主要原因是：</w:t>
      </w:r>
      <w:r>
        <w:rPr>
          <w:rFonts w:hint="eastAsia" w:ascii="Times New Roman" w:eastAsia="仿宋_GB2312"/>
          <w:b w:val="0"/>
          <w:sz w:val="30"/>
          <w:szCs w:val="30"/>
          <w:lang w:eastAsia="zh-CN"/>
        </w:rPr>
        <w:t>部门机构改革，在职人员数量增加，社保养老缴纳支出增加</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8.​社会保障和就业支出(类)行政事业单位养老支出(款)机关事业单位职业年金缴费支出(项)年初预算为228,329.28元，支出决算为227,788.25元，完成年初预算的99.763%，决算数小于年初预算数的主要原因是：</w:t>
      </w:r>
      <w:r>
        <w:rPr>
          <w:rFonts w:hint="eastAsia" w:ascii="Times New Roman" w:eastAsia="仿宋_GB2312"/>
          <w:b w:val="0"/>
          <w:sz w:val="30"/>
          <w:szCs w:val="30"/>
          <w:lang w:eastAsia="zh-CN"/>
        </w:rPr>
        <w:t>社保缴费比例</w:t>
      </w:r>
      <w:r>
        <w:rPr>
          <w:rFonts w:hint="eastAsia" w:ascii="Times New Roman" w:eastAsia="仿宋_GB2312"/>
          <w:b w:val="0"/>
          <w:sz w:val="30"/>
          <w:szCs w:val="30"/>
          <w:lang w:val="en-US" w:eastAsia="zh-CN"/>
        </w:rPr>
        <w:t>调整</w:t>
      </w:r>
      <w:r>
        <w:rPr>
          <w:rFonts w:hint="eastAsia" w:ascii="Times New Roman" w:eastAsia="仿宋_GB2312"/>
          <w:b w:val="0"/>
          <w:sz w:val="30"/>
          <w:szCs w:val="30"/>
          <w:lang w:eastAsia="zh-CN"/>
        </w:rPr>
        <w:t>，实际缴费金额减少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9.​卫生健康支出(类)行政事业单位医疗(款)行政单位医疗(项)年初预算为285,411.60元，支出决算为271,727.85元，完成年初预算的95.206%，决算数小于年初预算数的主要原因是：</w:t>
      </w:r>
      <w:r>
        <w:rPr>
          <w:rFonts w:hint="eastAsia" w:ascii="Times New Roman" w:eastAsia="仿宋_GB2312"/>
          <w:b w:val="0"/>
          <w:sz w:val="30"/>
          <w:szCs w:val="30"/>
          <w:lang w:eastAsia="zh-CN"/>
        </w:rPr>
        <w:t>社保缴费比例</w:t>
      </w:r>
      <w:r>
        <w:rPr>
          <w:rFonts w:hint="eastAsia" w:ascii="Times New Roman" w:eastAsia="仿宋_GB2312"/>
          <w:b w:val="0"/>
          <w:sz w:val="30"/>
          <w:szCs w:val="30"/>
          <w:lang w:val="en-US" w:eastAsia="zh-CN"/>
        </w:rPr>
        <w:t>调整</w:t>
      </w:r>
      <w:r>
        <w:rPr>
          <w:rFonts w:hint="eastAsia" w:ascii="Times New Roman" w:eastAsia="仿宋_GB2312"/>
          <w:b w:val="0"/>
          <w:sz w:val="30"/>
          <w:szCs w:val="30"/>
          <w:lang w:eastAsia="zh-CN"/>
        </w:rPr>
        <w:t>，实际缴费金额减少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10.​卫生健康支出(类)行政事业单位医疗(款)公务员医疗补助(项)年初预算为57,082.32元，支出决算为57,198.42元，完成年初预算的100.203%，决算数大于年初预算数的主要原因是：</w:t>
      </w:r>
      <w:r>
        <w:rPr>
          <w:rFonts w:hint="eastAsia" w:ascii="Times New Roman" w:eastAsia="仿宋_GB2312"/>
          <w:b w:val="0"/>
          <w:sz w:val="30"/>
          <w:szCs w:val="30"/>
          <w:lang w:eastAsia="zh-CN"/>
        </w:rPr>
        <w:t>因部门机构改革，在职人员数量增加，社保公务员医疗补助缴纳支出增加</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11.​资源勘探工业信息等支出(类)其他资源勘探工业信息等支出(款)技术改造支出(项)年初预算为0.00元，支出决算为16,724,800.00元，决算数大于年初预算数的主要原因是：</w:t>
      </w:r>
      <w:r>
        <w:rPr>
          <w:rFonts w:hint="eastAsia" w:ascii="Times New Roman" w:eastAsia="仿宋_GB2312"/>
          <w:b w:val="0"/>
          <w:sz w:val="30"/>
          <w:szCs w:val="30"/>
          <w:lang w:val="en-US" w:eastAsia="zh-CN"/>
        </w:rPr>
        <w:t>年中追加预算，用于2020年制造业高质量发展专项资金支出</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12.​灾害防治及应急管理支出(类)自然灾害防治(款)其他自然灾害防治支出(项)年初预算为0.00元，支出决算为2,720,000.00元，决算数大于年初预算数的主要原因是：</w:t>
      </w:r>
      <w:r>
        <w:rPr>
          <w:rFonts w:hint="eastAsia" w:ascii="Times New Roman" w:eastAsia="仿宋_GB2312"/>
          <w:b w:val="0"/>
          <w:sz w:val="30"/>
          <w:szCs w:val="30"/>
          <w:lang w:val="en-US" w:eastAsia="zh-CN"/>
        </w:rPr>
        <w:t>年中追加预算，用于2022年自然灾害防治体系建设补助等支出</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天津市南开区科学技术局（本级）2024年度部门决算一般公共预算财政拨款基本支出合计6,521,108.78元，与2023年度相比增加1,677,838.69元，主要原因是</w:t>
      </w:r>
      <w:r>
        <w:rPr>
          <w:rFonts w:hint="eastAsia" w:ascii="Times New Roman" w:eastAsia="仿宋_GB2312"/>
          <w:b w:val="0"/>
          <w:sz w:val="30"/>
          <w:szCs w:val="30"/>
          <w:lang w:eastAsia="zh-CN"/>
        </w:rPr>
        <w:t>机构改革，工信等职能并入区科技局，人员支出增加</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人员经费6,109,280.61元，主要包括基本工资、津贴补贴、奖金、机关事业单位基本养老保险缴费、职业年金缴费、职工基本医疗保险缴费、公务员医疗补助缴费、其他社会保障缴费、住房公积金、其他工资福利支出、离休费和退休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公用经费411,828.17元，主要包括办公费、印刷费、手续费、邮电费、差旅费、维修(护)费、公务接待费、劳务费、委托业务费、工会经费、福利费、其他交通费用、其他商品和服务支出和办公设备购置。</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学技术局（本级）2024年度部门决算政府性基金预算财政拨款年初结转和结余0.00元，收入8,468,838.36元，支出8,468,838.36元，年末结转和结余0.00元。与2023年度相比，政府性基金预算财政拨款支出增加7,887,838.36元，增长1,357.631%，主要原因是</w:t>
      </w:r>
      <w:r>
        <w:rPr>
          <w:rFonts w:hint="eastAsia" w:ascii="Times New Roman" w:hAnsi="Times New Roman" w:eastAsia="仿宋_GB2312" w:cs="仿宋_GB2312"/>
          <w:sz w:val="30"/>
          <w:szCs w:val="30"/>
          <w:highlight w:val="none"/>
          <w:lang w:eastAsia="zh-CN"/>
        </w:rPr>
        <w:t>本年度启航湾新基建项目按计划进行调整和支出，实际支出较上年度增加</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（二）支出结构情况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2024年度政府性基金预算财政拨款支出8,468,838.36元，主要用于以下方面：其他支出（类）8,468,838.36元，占100.000%。</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（三）具体情况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2024年度政府性基金预算财政拨款支出年初预算为272,048,931.20元，支出决算为8,468,838.36元，完成年初预算的3.113%。其中：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其他支出(类)其他政府性基金及对应专项债务收入安排的支出(款)其他地方自行试点项目收益专项债券收入安排的支出(项)年初预算为272,048,931.20元，支出决算为8,468,838.36元，完成年初预算的3.113%，决算数小于年初预算数的主要原因是：</w:t>
      </w:r>
      <w:r>
        <w:rPr>
          <w:rFonts w:hint="eastAsia" w:ascii="Times New Roman" w:hAnsi="Times New Roman" w:eastAsia="仿宋_GB2312" w:cs="仿宋_GB2312"/>
          <w:sz w:val="30"/>
          <w:szCs w:val="30"/>
          <w:highlight w:val="none"/>
          <w:lang w:eastAsia="zh-CN"/>
        </w:rPr>
        <w:t>本年度启航湾新基建项目按计划进行调整和支出，实际支出和年初预算相比减少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天津市南开区科学技术局（本级）2024年度无国有资本经营预算财政拨款收入、支出和结转结余。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2024年财政拨款“三公”经费预算3,200.00元，支出决算3,140.00元，与2024年预算相比减少60.00元，完成预算的98.125%；支出决算较上年增加3,140.00元，增长100.000%。决算数小于预算数的主要原因是</w:t>
      </w:r>
      <w:r>
        <w:rPr>
          <w:rFonts w:hint="eastAsia" w:ascii="Times New Roman" w:eastAsia="仿宋_GB2312"/>
          <w:b w:val="0"/>
          <w:sz w:val="30"/>
          <w:szCs w:val="30"/>
          <w:lang w:eastAsia="zh-CN"/>
        </w:rPr>
        <w:t>按照实际公务招待费</w:t>
      </w:r>
      <w:r>
        <w:rPr>
          <w:rFonts w:hint="eastAsia" w:ascii="Times New Roman" w:eastAsia="仿宋_GB2312"/>
          <w:b w:val="0"/>
          <w:sz w:val="30"/>
          <w:szCs w:val="30"/>
          <w:lang w:val="en-US" w:eastAsia="zh-CN"/>
        </w:rPr>
        <w:t>发生费用</w:t>
      </w:r>
      <w:r>
        <w:rPr>
          <w:rFonts w:hint="eastAsia" w:ascii="Times New Roman" w:eastAsia="仿宋_GB2312"/>
          <w:b w:val="0"/>
          <w:sz w:val="30"/>
          <w:szCs w:val="30"/>
          <w:lang w:eastAsia="zh-CN"/>
        </w:rPr>
        <w:t>列支</w:t>
      </w:r>
      <w:r>
        <w:rPr>
          <w:rFonts w:ascii="Times New Roman" w:eastAsia="仿宋_GB2312"/>
          <w:b w:val="0"/>
          <w:sz w:val="30"/>
          <w:szCs w:val="30"/>
        </w:rPr>
        <w:t>；决算数较上年增加的主要原因是</w:t>
      </w:r>
      <w:r>
        <w:rPr>
          <w:rFonts w:hint="eastAsia" w:ascii="Times New Roman" w:eastAsia="仿宋_GB2312"/>
          <w:b w:val="0"/>
          <w:sz w:val="30"/>
          <w:szCs w:val="30"/>
          <w:lang w:eastAsia="zh-CN"/>
        </w:rPr>
        <w:t>招商任务增加，公务接待支出增加</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1.因公出国（境）费预算0.00元，支出决算0.00元，与预算相比持平；支出决算较上年持平；决算数与预算数持平的主要原因是本年未用财政拨款</w:t>
      </w:r>
      <w:r>
        <w:rPr>
          <w:rFonts w:hint="eastAsia" w:ascii="Times New Roman" w:hAnsi="Times New Roman" w:eastAsia="仿宋_GB2312" w:cs="仿宋_GB2312"/>
          <w:sz w:val="30"/>
          <w:szCs w:val="30"/>
          <w:highlight w:val="none"/>
          <w:lang w:eastAsia="zh-CN"/>
        </w:rPr>
        <w:t>经费</w:t>
      </w:r>
      <w:r>
        <w:rPr>
          <w:rFonts w:ascii="Times New Roman" w:eastAsia="仿宋_GB2312"/>
          <w:b w:val="0"/>
          <w:sz w:val="30"/>
          <w:szCs w:val="30"/>
        </w:rPr>
        <w:t>列支因公出国（境）费；决算数较上年持平的主要原因是本年未用财政拨款</w:t>
      </w:r>
      <w:r>
        <w:rPr>
          <w:rFonts w:hint="eastAsia" w:ascii="Times New Roman" w:hAnsi="Times New Roman" w:eastAsia="仿宋_GB2312" w:cs="仿宋_GB2312"/>
          <w:sz w:val="30"/>
          <w:szCs w:val="30"/>
          <w:highlight w:val="none"/>
          <w:lang w:eastAsia="zh-CN"/>
        </w:rPr>
        <w:t>经费</w:t>
      </w:r>
      <w:r>
        <w:rPr>
          <w:rFonts w:ascii="Times New Roman" w:eastAsia="仿宋_GB2312"/>
          <w:b w:val="0"/>
          <w:sz w:val="30"/>
          <w:szCs w:val="30"/>
        </w:rPr>
        <w:t>列支因公出国（境）费。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2024年本单位组织的出国团组0个，出国0人次。</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2.公务用车购置及运行维护费预算0.00元，支出决算0.00元，与预算相比持平；支出决算较上年持平；决算数与预算数持平的主要原因是本年未用财政拨款</w:t>
      </w:r>
      <w:r>
        <w:rPr>
          <w:rFonts w:hint="eastAsia" w:ascii="Times New Roman" w:hAnsi="Times New Roman" w:eastAsia="仿宋_GB2312" w:cs="仿宋_GB2312"/>
          <w:sz w:val="30"/>
          <w:szCs w:val="30"/>
          <w:highlight w:val="none"/>
          <w:lang w:eastAsia="zh-CN"/>
        </w:rPr>
        <w:t>经费</w:t>
      </w:r>
      <w:r>
        <w:rPr>
          <w:rFonts w:ascii="Times New Roman" w:eastAsia="仿宋_GB2312"/>
          <w:b w:val="0"/>
          <w:sz w:val="30"/>
          <w:szCs w:val="30"/>
        </w:rPr>
        <w:t>列支公务用车购置及运行维护费；决算数较上年持平的主要原因是本年未用财政拨款</w:t>
      </w:r>
      <w:r>
        <w:rPr>
          <w:rFonts w:hint="eastAsia" w:ascii="Times New Roman" w:hAnsi="Times New Roman" w:eastAsia="仿宋_GB2312" w:cs="仿宋_GB2312"/>
          <w:sz w:val="30"/>
          <w:szCs w:val="30"/>
          <w:highlight w:val="none"/>
          <w:lang w:eastAsia="zh-CN"/>
        </w:rPr>
        <w:t>经费</w:t>
      </w:r>
      <w:r>
        <w:rPr>
          <w:rFonts w:ascii="Times New Roman" w:eastAsia="仿宋_GB2312"/>
          <w:b w:val="0"/>
          <w:sz w:val="30"/>
          <w:szCs w:val="30"/>
        </w:rPr>
        <w:t>列支公务用车购置及运行维护费。其中：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公务用车运行维护费预算0.00元，支出决算0.00元，与预算相比持平；支出决算较上年持平；决算数与预算数持平的主要原因是本年未用财政拨款</w:t>
      </w:r>
      <w:r>
        <w:rPr>
          <w:rFonts w:hint="eastAsia" w:ascii="Times New Roman" w:hAnsi="Times New Roman" w:eastAsia="仿宋_GB2312" w:cs="仿宋_GB2312"/>
          <w:sz w:val="30"/>
          <w:szCs w:val="30"/>
          <w:highlight w:val="none"/>
          <w:lang w:eastAsia="zh-CN"/>
        </w:rPr>
        <w:t>经费</w:t>
      </w:r>
      <w:r>
        <w:rPr>
          <w:rFonts w:ascii="Times New Roman" w:eastAsia="仿宋_GB2312"/>
          <w:b w:val="0"/>
          <w:sz w:val="30"/>
          <w:szCs w:val="30"/>
        </w:rPr>
        <w:t>列支公务用车运行维护费；决算数较上年持平的主要原因是本年未用财政拨款</w:t>
      </w:r>
      <w:r>
        <w:rPr>
          <w:rFonts w:hint="eastAsia" w:ascii="Times New Roman" w:hAnsi="Times New Roman" w:eastAsia="仿宋_GB2312" w:cs="仿宋_GB2312"/>
          <w:sz w:val="30"/>
          <w:szCs w:val="30"/>
          <w:highlight w:val="none"/>
          <w:lang w:eastAsia="zh-CN"/>
        </w:rPr>
        <w:t>经费</w:t>
      </w:r>
      <w:r>
        <w:rPr>
          <w:rFonts w:ascii="Times New Roman" w:eastAsia="仿宋_GB2312"/>
          <w:b w:val="0"/>
          <w:sz w:val="30"/>
          <w:szCs w:val="30"/>
        </w:rPr>
        <w:t>列支公务用车运行维护费。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截至2024年12月31日，使用财政拨款开支运行维护费的公务用车保有量为0辆。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公务用车购置费预算0.00元，支出决算0.00元，与预算相比持平；支出决算较上年持平；决算数与预算数持平的主要原因是本年未用财政拨款</w:t>
      </w:r>
      <w:r>
        <w:rPr>
          <w:rFonts w:hint="eastAsia" w:ascii="Times New Roman" w:hAnsi="Times New Roman" w:eastAsia="仿宋_GB2312" w:cs="仿宋_GB2312"/>
          <w:sz w:val="30"/>
          <w:szCs w:val="30"/>
          <w:highlight w:val="none"/>
          <w:lang w:eastAsia="zh-CN"/>
        </w:rPr>
        <w:t>经费</w:t>
      </w:r>
      <w:r>
        <w:rPr>
          <w:rFonts w:ascii="Times New Roman" w:eastAsia="仿宋_GB2312"/>
          <w:b w:val="0"/>
          <w:sz w:val="30"/>
          <w:szCs w:val="30"/>
        </w:rPr>
        <w:t>列支公务用车购置费；决算数较上年持平的主要原因是本年未用财政拨款</w:t>
      </w:r>
      <w:r>
        <w:rPr>
          <w:rFonts w:hint="eastAsia" w:ascii="Times New Roman" w:hAnsi="Times New Roman" w:eastAsia="仿宋_GB2312" w:cs="仿宋_GB2312"/>
          <w:sz w:val="30"/>
          <w:szCs w:val="30"/>
          <w:highlight w:val="none"/>
          <w:lang w:eastAsia="zh-CN"/>
        </w:rPr>
        <w:t>经费</w:t>
      </w:r>
      <w:bookmarkStart w:id="0" w:name="_GoBack"/>
      <w:bookmarkEnd w:id="0"/>
      <w:r>
        <w:rPr>
          <w:rFonts w:ascii="Times New Roman" w:eastAsia="仿宋_GB2312"/>
          <w:b w:val="0"/>
          <w:sz w:val="30"/>
          <w:szCs w:val="30"/>
        </w:rPr>
        <w:t>列支公务用车购置费。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2024年购置公务用车0辆。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3.公务接待费预算3,200.00元，支出决算3,140.00元，与预算相比减少60.00元，完成预算的98.125%；支出决算较上年增加3,140.00元，增长100.000%。决算数小于预算数的主要原因是</w:t>
      </w:r>
      <w:r>
        <w:rPr>
          <w:rFonts w:hint="eastAsia" w:ascii="Times New Roman" w:eastAsia="仿宋_GB2312"/>
          <w:b w:val="0"/>
          <w:sz w:val="30"/>
          <w:szCs w:val="30"/>
          <w:lang w:eastAsia="zh-CN"/>
        </w:rPr>
        <w:t>按照实际公务招待费</w:t>
      </w:r>
      <w:r>
        <w:rPr>
          <w:rFonts w:hint="eastAsia" w:ascii="Times New Roman" w:eastAsia="仿宋_GB2312"/>
          <w:b w:val="0"/>
          <w:sz w:val="30"/>
          <w:szCs w:val="30"/>
          <w:lang w:val="en-US" w:eastAsia="zh-CN"/>
        </w:rPr>
        <w:t>发生费用</w:t>
      </w:r>
      <w:r>
        <w:rPr>
          <w:rFonts w:hint="eastAsia" w:ascii="Times New Roman" w:eastAsia="仿宋_GB2312"/>
          <w:b w:val="0"/>
          <w:sz w:val="30"/>
          <w:szCs w:val="30"/>
          <w:lang w:eastAsia="zh-CN"/>
        </w:rPr>
        <w:t>列支</w:t>
      </w:r>
      <w:r>
        <w:rPr>
          <w:rFonts w:ascii="Times New Roman" w:eastAsia="仿宋_GB2312"/>
          <w:b w:val="0"/>
          <w:sz w:val="30"/>
          <w:szCs w:val="30"/>
        </w:rPr>
        <w:t>；决算数较上年增加的主要原因是</w:t>
      </w:r>
      <w:r>
        <w:rPr>
          <w:rFonts w:hint="eastAsia" w:ascii="Times New Roman" w:eastAsia="仿宋_GB2312"/>
          <w:b w:val="0"/>
          <w:sz w:val="30"/>
          <w:szCs w:val="30"/>
          <w:lang w:eastAsia="zh-CN"/>
        </w:rPr>
        <w:t>招商任务增加，本年度公务接待事项增多</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2024年本单位国内公务接待6批次，33人次；其中，外事接待0批次，0人次。</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机关运行经费是指行政单位和参照公务员法管理的事业单位使用财政拨款安排的基本支出中的日常公用经费支出，天津市南开区科学技术局（本级）2024年度机关运行经费年初预算435,614.63元，决算数411,828.17元，与年初预算相比减少23,786.46元，完成年初预算的94.540%；比2023年减少241,152.25元，下降36.931%。主要原因是：</w:t>
      </w:r>
      <w:r>
        <w:rPr>
          <w:rFonts w:hint="eastAsia" w:ascii="Times New Roman" w:eastAsia="仿宋_GB2312"/>
          <w:b w:val="0"/>
          <w:sz w:val="30"/>
          <w:szCs w:val="30"/>
          <w:lang w:val="en-US" w:eastAsia="zh-CN"/>
        </w:rPr>
        <w:t>厉行</w:t>
      </w:r>
      <w:r>
        <w:rPr>
          <w:rFonts w:hint="eastAsia" w:ascii="Times New Roman" w:eastAsia="仿宋_GB2312"/>
          <w:b w:val="0"/>
          <w:sz w:val="30"/>
          <w:szCs w:val="30"/>
          <w:lang w:eastAsia="zh-CN"/>
        </w:rPr>
        <w:t>节约，减少公用支出</w:t>
      </w:r>
      <w:r>
        <w:rPr>
          <w:rFonts w:ascii="Times New Roman" w:eastAsia="仿宋_GB2312"/>
          <w:b w:val="0"/>
          <w:sz w:val="30"/>
          <w:szCs w:val="30"/>
        </w:rPr>
        <w:t> 。</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天津市南开区科学技术局（本级）2024年政府采购支出总额3,880.00元，其中：政府采购货物支出3,880.00元。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授予中小企业合同金额3,880.00元，占政府采购支出总额的100.000%，其中：授予小微企业合同金额3,880.00元，占政府采购支出总额的100.000%；货物采购授予中小企业合同金额占货物支出金额的100.000%。</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天津市南开区科学技术局（本级）2024年度无国有资产占有使用情况。</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十三、预算绩效情况说明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根据预算绩效管理要求，天津市南开区科学技术局（本级）已对</w:t>
      </w:r>
      <w:r>
        <w:rPr>
          <w:rFonts w:hint="eastAsia" w:ascii="Times New Roman" w:eastAsia="仿宋_GB2312"/>
          <w:b w:val="0"/>
          <w:sz w:val="30"/>
          <w:szCs w:val="30"/>
          <w:lang w:val="en-US" w:eastAsia="zh-CN"/>
        </w:rPr>
        <w:t>29</w:t>
      </w:r>
      <w:r>
        <w:rPr>
          <w:rFonts w:ascii="Times New Roman" w:eastAsia="仿宋_GB2312"/>
          <w:b w:val="0"/>
          <w:sz w:val="30"/>
          <w:szCs w:val="30"/>
        </w:rPr>
        <w:t>个2024年度项目开展绩效自评，涉及金额</w:t>
      </w:r>
      <w:r>
        <w:rPr>
          <w:rFonts w:hint="eastAsia" w:ascii="Times New Roman" w:eastAsia="仿宋_GB2312"/>
          <w:b w:val="0"/>
          <w:sz w:val="30"/>
          <w:szCs w:val="30"/>
          <w:highlight w:val="none"/>
          <w:lang w:val="en-US" w:eastAsia="zh-CN"/>
        </w:rPr>
        <w:t>184,927,949.20</w:t>
      </w:r>
      <w:r>
        <w:rPr>
          <w:rFonts w:ascii="Times New Roman" w:eastAsia="仿宋_GB2312"/>
          <w:b w:val="0"/>
          <w:sz w:val="30"/>
          <w:szCs w:val="30"/>
        </w:rPr>
        <w:t>元，自评结果已随部门决算一并公开。</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天津市南开区科学技术局（本级）不属于乡、镇、街级单位，不涉及公开2024年度教育、医疗卫生、社会保障和就业、住房保障、涉农补贴等民生支出情况。</w:t>
      </w:r>
    </w:p>
    <w:p>
      <w:pPr>
        <w:rPr>
          <w:rFonts w:ascii="黑体" w:eastAsia="黑体"/>
          <w:b w:val="0"/>
          <w:sz w:val="44"/>
          <w:szCs w:val="44"/>
        </w:rPr>
      </w:pPr>
      <w:r>
        <w:rPr>
          <w:rFonts w:ascii="黑体" w:eastAsia="黑体"/>
          <w:b w:val="0"/>
          <w:sz w:val="44"/>
          <w:szCs w:val="44"/>
        </w:rPr>
        <w:br w:type="page"/>
      </w: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第四部分 名词解释</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pPr>
        <w:widowControl/>
        <w:spacing w:before="0" w:beforeLines="0" w:beforeAutospacing="0" w:after="0" w:afterLines="0" w:afterAutospacing="0" w:line="360" w:lineRule="auto"/>
        <w:ind w:firstLine="640" w:firstLineChars="200"/>
        <w:jc w:val="left"/>
        <w:rPr>
          <w:rFonts w:ascii="Times New Roman" w:eastAsia="仿宋_GB2312"/>
          <w:sz w:val="32"/>
          <w:szCs w:val="32"/>
        </w:rPr>
      </w:pPr>
      <w:r>
        <w:rPr>
          <w:rFonts w:ascii="Times New Roman" w:eastAsia="仿宋_GB2312"/>
          <w:b w:val="0"/>
          <w:sz w:val="32"/>
          <w:szCs w:val="32"/>
        </w:rPr>
        <w:t>  </w:t>
      </w:r>
    </w:p>
    <w:p>
      <w:pPr>
        <w:rPr>
          <w:rFonts w:hint="default" w:asciiTheme="minorEastAsia" w:hAnsiTheme="minorEastAsia" w:cstheme="minorEastAsia"/>
          <w:b w:val="0"/>
          <w:bCs w:val="0"/>
          <w:i w:val="0"/>
          <w:iCs w:val="0"/>
          <w:caps w:val="0"/>
          <w:color w:val="333333"/>
          <w:spacing w:val="0"/>
          <w:sz w:val="22"/>
          <w:szCs w:val="22"/>
          <w:highlight w:val="none"/>
          <w:shd w:val="clear" w:fill="FFFFFF"/>
          <w:lang w:val="en-US" w:eastAsia="zh-CN"/>
        </w:rPr>
      </w:pPr>
    </w:p>
    <w:sectPr>
      <w:pgSz w:w="11906" w:h="16838"/>
      <w:pgMar w:top="2098" w:right="1417" w:bottom="1871" w:left="1417" w:header="851" w:footer="992" w:gutter="0"/>
      <w:pgBorders>
        <w:top w:val="none" w:sz="0" w:space="0"/>
        <w:left w:val="none" w:sz="0" w:space="0"/>
        <w:bottom w:val="none" w:sz="0" w:space="0"/>
        <w:right w:val="none" w:sz="0" w:space="0"/>
      </w:pgBorders>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1E0DAE5-1890-4C92-B617-10B14903B92B}"/>
  </w:font>
  <w:font w:name="黑体">
    <w:panose1 w:val="02010609060101010101"/>
    <w:charset w:val="86"/>
    <w:family w:val="auto"/>
    <w:pitch w:val="default"/>
    <w:sig w:usb0="800002BF" w:usb1="38CF7CFA" w:usb2="00000016" w:usb3="00000000" w:csb0="00040001" w:csb1="00000000"/>
    <w:embedRegular r:id="rId2" w:fontKey="{7CCD1A3B-772D-4760-BA39-99AF477B625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EAEBD02E-B559-4600-8A97-D64A41D826A3}"/>
  </w:font>
  <w:font w:name="仿宋">
    <w:panose1 w:val="02010609060101010101"/>
    <w:charset w:val="86"/>
    <w:family w:val="modern"/>
    <w:pitch w:val="default"/>
    <w:sig w:usb0="800002BF" w:usb1="38CF7CFA" w:usb2="00000016" w:usb3="00000000" w:csb0="00040001" w:csb1="00000000"/>
    <w:embedRegular r:id="rId4" w:fontKey="{940B7CBA-2024-4218-80FA-2A806F71885A}"/>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helvetica">
    <w:altName w:val="Courier New"/>
    <w:panose1 w:val="00000000000000000000"/>
    <w:charset w:val="00"/>
    <w:family w:val="auto"/>
    <w:pitch w:val="default"/>
    <w:sig w:usb0="00000000" w:usb1="00000000" w:usb2="00000000" w:usb3="00000000" w:csb0="2000019F" w:csb1="4F010000"/>
  </w:font>
  <w:font w:name="Fz_S_BiaoSong_Jt">
    <w:altName w:val="Courier New"/>
    <w:panose1 w:val="00000000000000000000"/>
    <w:charset w:val="00"/>
    <w:family w:val="auto"/>
    <w:pitch w:val="default"/>
    <w:sig w:usb0="00000000" w:usb1="00000000" w:usb2="00000000" w:usb3="00000000" w:csb0="00000000" w:csb1="00000000"/>
    <w:embedRegular r:id="rId5" w:fontKey="{558ACDD3-687E-491B-95A0-5510CC1C891F}"/>
  </w:font>
  <w:font w:name="仿宋_GB2312">
    <w:panose1 w:val="02010609030101010101"/>
    <w:charset w:val="86"/>
    <w:family w:val="auto"/>
    <w:pitch w:val="default"/>
    <w:sig w:usb0="00000001" w:usb1="080E0000" w:usb2="00000000" w:usb3="00000000" w:csb0="00040000" w:csb1="00000000"/>
    <w:embedRegular r:id="rId6" w:fontKey="{C163FC2E-2F40-4B11-B857-A93C275497BF}"/>
  </w:font>
  <w:font w:name="宋体-简">
    <w:altName w:val="宋体"/>
    <w:panose1 w:val="02010800040101010101"/>
    <w:charset w:val="86"/>
    <w:family w:val="auto"/>
    <w:pitch w:val="default"/>
    <w:sig w:usb0="00000000" w:usb1="00000000" w:usb2="00000000" w:usb3="00000000" w:csb0="00040000" w:csb1="00000000"/>
    <w:embedRegular r:id="rId7" w:fontKey="{988F1FA4-776C-42D5-94B2-C8E2EB147A86}"/>
  </w:font>
  <w:font w:name="楷体">
    <w:panose1 w:val="02010609060101010101"/>
    <w:charset w:val="86"/>
    <w:family w:val="auto"/>
    <w:pitch w:val="default"/>
    <w:sig w:usb0="800002BF" w:usb1="38CF7CFA" w:usb2="00000016" w:usb3="00000000" w:csb0="00040001" w:csb1="00000000"/>
    <w:embedRegular r:id="rId8" w:fontKey="{E98E9BD0-4FE1-476D-B9CC-D8678FF1A68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1D044"/>
    <w:multiLevelType w:val="singleLevel"/>
    <w:tmpl w:val="EBF1D044"/>
    <w:lvl w:ilvl="0" w:tentative="0">
      <w:start w:val="6"/>
      <w:numFmt w:val="chineseCounting"/>
      <w:suff w:val="nothing"/>
      <w:lvlText w:val="%1、"/>
      <w:lvlJc w:val="left"/>
      <w:rPr>
        <w:rFonts w:hint="eastAsia"/>
      </w:rPr>
    </w:lvl>
  </w:abstractNum>
  <w:abstractNum w:abstractNumId="1">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documentProtection w:enforcement="0"/>
  <w:defaultTabStop w:val="420"/>
  <w:drawingGridVerticalSpacing w:val="16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zAsImhkaWQiOiIwOWZmNGM5NWI3N2I3ZjBhMDgxMmUxZjg3YjY1Y2NmNSIsInVzZXJDb3VudCI6MX0="/>
  </w:docVars>
  <w:rsids>
    <w:rsidRoot w:val="00000000"/>
    <w:rsid w:val="00086151"/>
    <w:rsid w:val="00236F8C"/>
    <w:rsid w:val="00822154"/>
    <w:rsid w:val="00C65689"/>
    <w:rsid w:val="00CC2C8E"/>
    <w:rsid w:val="016646EA"/>
    <w:rsid w:val="01A03C5A"/>
    <w:rsid w:val="01A5267D"/>
    <w:rsid w:val="01AF6A8D"/>
    <w:rsid w:val="024808A2"/>
    <w:rsid w:val="025C3821"/>
    <w:rsid w:val="02DA3B1B"/>
    <w:rsid w:val="02E57B4D"/>
    <w:rsid w:val="03450B90"/>
    <w:rsid w:val="037B12D4"/>
    <w:rsid w:val="03804D63"/>
    <w:rsid w:val="03FB73B0"/>
    <w:rsid w:val="04806B11"/>
    <w:rsid w:val="049C1B9D"/>
    <w:rsid w:val="04BD008C"/>
    <w:rsid w:val="04C55939"/>
    <w:rsid w:val="04DA28BB"/>
    <w:rsid w:val="04F528BE"/>
    <w:rsid w:val="050E10CE"/>
    <w:rsid w:val="054F2DFB"/>
    <w:rsid w:val="05991C82"/>
    <w:rsid w:val="05CD1EC8"/>
    <w:rsid w:val="061416A9"/>
    <w:rsid w:val="061D60A6"/>
    <w:rsid w:val="06236884"/>
    <w:rsid w:val="06B07006"/>
    <w:rsid w:val="06FC7C2A"/>
    <w:rsid w:val="07533AFE"/>
    <w:rsid w:val="07AC18F2"/>
    <w:rsid w:val="07B3657A"/>
    <w:rsid w:val="07C857D0"/>
    <w:rsid w:val="083F3A0A"/>
    <w:rsid w:val="08AB5AAF"/>
    <w:rsid w:val="09012C64"/>
    <w:rsid w:val="093B2E99"/>
    <w:rsid w:val="095D7943"/>
    <w:rsid w:val="09C006C6"/>
    <w:rsid w:val="0A10621F"/>
    <w:rsid w:val="0A464C4F"/>
    <w:rsid w:val="0A6729A3"/>
    <w:rsid w:val="0A694877"/>
    <w:rsid w:val="0AA954BE"/>
    <w:rsid w:val="0AE70639"/>
    <w:rsid w:val="0B4F5E6D"/>
    <w:rsid w:val="0B54502F"/>
    <w:rsid w:val="0B753AE2"/>
    <w:rsid w:val="0BB67D0A"/>
    <w:rsid w:val="0BC56230"/>
    <w:rsid w:val="0BCF21BD"/>
    <w:rsid w:val="0C4E53E8"/>
    <w:rsid w:val="0C6712D6"/>
    <w:rsid w:val="0C9F7900"/>
    <w:rsid w:val="0CB23317"/>
    <w:rsid w:val="0D101068"/>
    <w:rsid w:val="0D4E13BE"/>
    <w:rsid w:val="0D7557DF"/>
    <w:rsid w:val="0D853E34"/>
    <w:rsid w:val="0D9C2A57"/>
    <w:rsid w:val="0DC3019B"/>
    <w:rsid w:val="0DFA5D82"/>
    <w:rsid w:val="0E1E52CE"/>
    <w:rsid w:val="0E722011"/>
    <w:rsid w:val="0E866524"/>
    <w:rsid w:val="0E9268D3"/>
    <w:rsid w:val="0E957F1F"/>
    <w:rsid w:val="0F0E7284"/>
    <w:rsid w:val="0F28110F"/>
    <w:rsid w:val="0F37083F"/>
    <w:rsid w:val="0F7470AF"/>
    <w:rsid w:val="0F891DB8"/>
    <w:rsid w:val="0F8D3287"/>
    <w:rsid w:val="0FAA3B86"/>
    <w:rsid w:val="0FEE3DA3"/>
    <w:rsid w:val="10191346"/>
    <w:rsid w:val="102A01A6"/>
    <w:rsid w:val="103D1A60"/>
    <w:rsid w:val="105A290D"/>
    <w:rsid w:val="10754A6C"/>
    <w:rsid w:val="108B537D"/>
    <w:rsid w:val="10B11DB1"/>
    <w:rsid w:val="10E649D4"/>
    <w:rsid w:val="11177F57"/>
    <w:rsid w:val="11217C97"/>
    <w:rsid w:val="11464C20"/>
    <w:rsid w:val="115E4926"/>
    <w:rsid w:val="118A1FFA"/>
    <w:rsid w:val="11E35B5A"/>
    <w:rsid w:val="11E42DD6"/>
    <w:rsid w:val="125F5A1B"/>
    <w:rsid w:val="126979D6"/>
    <w:rsid w:val="128E05D9"/>
    <w:rsid w:val="129E45A7"/>
    <w:rsid w:val="13074404"/>
    <w:rsid w:val="136A5C00"/>
    <w:rsid w:val="13B97B08"/>
    <w:rsid w:val="13C527AC"/>
    <w:rsid w:val="143C61AE"/>
    <w:rsid w:val="14711797"/>
    <w:rsid w:val="147B6F17"/>
    <w:rsid w:val="14D42061"/>
    <w:rsid w:val="15081C8B"/>
    <w:rsid w:val="15090D5C"/>
    <w:rsid w:val="15CF053D"/>
    <w:rsid w:val="15E0131A"/>
    <w:rsid w:val="15E11DC0"/>
    <w:rsid w:val="16457D9F"/>
    <w:rsid w:val="17223EFF"/>
    <w:rsid w:val="17AA5F28"/>
    <w:rsid w:val="17B713F6"/>
    <w:rsid w:val="184350A0"/>
    <w:rsid w:val="18935485"/>
    <w:rsid w:val="18A34206"/>
    <w:rsid w:val="18DE3B2C"/>
    <w:rsid w:val="1906685D"/>
    <w:rsid w:val="19111683"/>
    <w:rsid w:val="19353916"/>
    <w:rsid w:val="193E101D"/>
    <w:rsid w:val="19C10AF1"/>
    <w:rsid w:val="1A017CDA"/>
    <w:rsid w:val="1A2672DE"/>
    <w:rsid w:val="1AA81D42"/>
    <w:rsid w:val="1AB433D9"/>
    <w:rsid w:val="1AFB6D7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E74AD7"/>
    <w:rsid w:val="1DF60A19"/>
    <w:rsid w:val="1DFA6713"/>
    <w:rsid w:val="1E050843"/>
    <w:rsid w:val="1E2D3FB0"/>
    <w:rsid w:val="1E2E50F1"/>
    <w:rsid w:val="1E3B4E26"/>
    <w:rsid w:val="1E72196F"/>
    <w:rsid w:val="1EDF707D"/>
    <w:rsid w:val="1F394761"/>
    <w:rsid w:val="1F65664C"/>
    <w:rsid w:val="1F7C149A"/>
    <w:rsid w:val="1F84140D"/>
    <w:rsid w:val="1F9B7FFD"/>
    <w:rsid w:val="1F9C7614"/>
    <w:rsid w:val="1FBE1971"/>
    <w:rsid w:val="2008768D"/>
    <w:rsid w:val="204B327F"/>
    <w:rsid w:val="204C2B10"/>
    <w:rsid w:val="207D30AD"/>
    <w:rsid w:val="209064B9"/>
    <w:rsid w:val="20970D81"/>
    <w:rsid w:val="20D165D5"/>
    <w:rsid w:val="210878E6"/>
    <w:rsid w:val="210E1408"/>
    <w:rsid w:val="211069AD"/>
    <w:rsid w:val="21573FAB"/>
    <w:rsid w:val="2172069C"/>
    <w:rsid w:val="21987BC4"/>
    <w:rsid w:val="21BE314A"/>
    <w:rsid w:val="220451AB"/>
    <w:rsid w:val="2237486E"/>
    <w:rsid w:val="223D1378"/>
    <w:rsid w:val="22451BC7"/>
    <w:rsid w:val="22940650"/>
    <w:rsid w:val="22AD4B1E"/>
    <w:rsid w:val="22B96264"/>
    <w:rsid w:val="22C43743"/>
    <w:rsid w:val="22D31DF3"/>
    <w:rsid w:val="22FD3CF7"/>
    <w:rsid w:val="232C221B"/>
    <w:rsid w:val="2356249E"/>
    <w:rsid w:val="236E713A"/>
    <w:rsid w:val="23700968"/>
    <w:rsid w:val="238761A6"/>
    <w:rsid w:val="23920578"/>
    <w:rsid w:val="23BB6F9A"/>
    <w:rsid w:val="23FC3864"/>
    <w:rsid w:val="24857B00"/>
    <w:rsid w:val="24F25212"/>
    <w:rsid w:val="251B0465"/>
    <w:rsid w:val="254B0AC6"/>
    <w:rsid w:val="25571AB6"/>
    <w:rsid w:val="25B40AD6"/>
    <w:rsid w:val="25BE7872"/>
    <w:rsid w:val="25BF702A"/>
    <w:rsid w:val="26390459"/>
    <w:rsid w:val="264D2D17"/>
    <w:rsid w:val="26D50E55"/>
    <w:rsid w:val="271A539C"/>
    <w:rsid w:val="273823FA"/>
    <w:rsid w:val="274972D4"/>
    <w:rsid w:val="27AA3D97"/>
    <w:rsid w:val="280A3758"/>
    <w:rsid w:val="28292E99"/>
    <w:rsid w:val="289057C5"/>
    <w:rsid w:val="28A67C7A"/>
    <w:rsid w:val="28EA3248"/>
    <w:rsid w:val="28F879DA"/>
    <w:rsid w:val="294B7731"/>
    <w:rsid w:val="29514455"/>
    <w:rsid w:val="29530A33"/>
    <w:rsid w:val="29D21FF2"/>
    <w:rsid w:val="2A611B0F"/>
    <w:rsid w:val="2AC1762B"/>
    <w:rsid w:val="2AE845D0"/>
    <w:rsid w:val="2B113E3F"/>
    <w:rsid w:val="2B4975FB"/>
    <w:rsid w:val="2B695031"/>
    <w:rsid w:val="2B735A8F"/>
    <w:rsid w:val="2BA7478D"/>
    <w:rsid w:val="2BB038DB"/>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746475"/>
    <w:rsid w:val="308E59B0"/>
    <w:rsid w:val="30B10568"/>
    <w:rsid w:val="30E55DD3"/>
    <w:rsid w:val="30E60399"/>
    <w:rsid w:val="30FF2E6A"/>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5277FF8"/>
    <w:rsid w:val="35763460"/>
    <w:rsid w:val="35776F72"/>
    <w:rsid w:val="35997371"/>
    <w:rsid w:val="35DD4D47"/>
    <w:rsid w:val="35FDAB06"/>
    <w:rsid w:val="360134DF"/>
    <w:rsid w:val="360B1E2F"/>
    <w:rsid w:val="360D500F"/>
    <w:rsid w:val="36330424"/>
    <w:rsid w:val="36FE3ABA"/>
    <w:rsid w:val="37072BDE"/>
    <w:rsid w:val="37455334"/>
    <w:rsid w:val="37527C32"/>
    <w:rsid w:val="376F0A96"/>
    <w:rsid w:val="37731921"/>
    <w:rsid w:val="37E509C0"/>
    <w:rsid w:val="37E96FB8"/>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446B0E"/>
    <w:rsid w:val="3D745844"/>
    <w:rsid w:val="3D953A6B"/>
    <w:rsid w:val="3DBB5979"/>
    <w:rsid w:val="3DD56F21"/>
    <w:rsid w:val="3DEF6699"/>
    <w:rsid w:val="3DFD4677"/>
    <w:rsid w:val="3E1057AF"/>
    <w:rsid w:val="3E6C0DFA"/>
    <w:rsid w:val="3E740322"/>
    <w:rsid w:val="3E7F4380"/>
    <w:rsid w:val="3E8D171B"/>
    <w:rsid w:val="3EA5630D"/>
    <w:rsid w:val="3EBA731B"/>
    <w:rsid w:val="3EE33949"/>
    <w:rsid w:val="3EFB5800"/>
    <w:rsid w:val="3F3B4E59"/>
    <w:rsid w:val="3F6E677C"/>
    <w:rsid w:val="3F712F46"/>
    <w:rsid w:val="3FBC0EF7"/>
    <w:rsid w:val="3FCD2AB9"/>
    <w:rsid w:val="3FCFF788"/>
    <w:rsid w:val="3FD17600"/>
    <w:rsid w:val="402E7C36"/>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2575"/>
    <w:rsid w:val="43022EE1"/>
    <w:rsid w:val="431A5F8F"/>
    <w:rsid w:val="431F247A"/>
    <w:rsid w:val="43335E8F"/>
    <w:rsid w:val="433F2968"/>
    <w:rsid w:val="43655F7F"/>
    <w:rsid w:val="43676E20"/>
    <w:rsid w:val="43A31040"/>
    <w:rsid w:val="43BF774E"/>
    <w:rsid w:val="43CD062F"/>
    <w:rsid w:val="43E214F9"/>
    <w:rsid w:val="43F06264"/>
    <w:rsid w:val="43FE464B"/>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3C62ED"/>
    <w:rsid w:val="47617242"/>
    <w:rsid w:val="478C16C9"/>
    <w:rsid w:val="47BD246B"/>
    <w:rsid w:val="47CB2B0C"/>
    <w:rsid w:val="47E773CE"/>
    <w:rsid w:val="47EE2C9A"/>
    <w:rsid w:val="47EE71C5"/>
    <w:rsid w:val="47F00499"/>
    <w:rsid w:val="48015FF5"/>
    <w:rsid w:val="483820D2"/>
    <w:rsid w:val="48692CD0"/>
    <w:rsid w:val="48AE3D01"/>
    <w:rsid w:val="48B96318"/>
    <w:rsid w:val="49067B2F"/>
    <w:rsid w:val="49677E31"/>
    <w:rsid w:val="496C2225"/>
    <w:rsid w:val="49A35E02"/>
    <w:rsid w:val="49AE2880"/>
    <w:rsid w:val="49F42EAF"/>
    <w:rsid w:val="4A337323"/>
    <w:rsid w:val="4A5B28DC"/>
    <w:rsid w:val="4AA06B93"/>
    <w:rsid w:val="4ADB18EB"/>
    <w:rsid w:val="4B3A6FE7"/>
    <w:rsid w:val="4B96118E"/>
    <w:rsid w:val="4BAE1B66"/>
    <w:rsid w:val="4BC806E6"/>
    <w:rsid w:val="4BED4708"/>
    <w:rsid w:val="4BF133DC"/>
    <w:rsid w:val="4C2E4987"/>
    <w:rsid w:val="4C4117A4"/>
    <w:rsid w:val="4C507D4A"/>
    <w:rsid w:val="4CB65017"/>
    <w:rsid w:val="4CDF5563"/>
    <w:rsid w:val="4CFB2214"/>
    <w:rsid w:val="4D2C4D26"/>
    <w:rsid w:val="4D335E0E"/>
    <w:rsid w:val="4D4E4EA3"/>
    <w:rsid w:val="4D9A5B1B"/>
    <w:rsid w:val="4DA55D85"/>
    <w:rsid w:val="4DBB20DB"/>
    <w:rsid w:val="4DDC3F22"/>
    <w:rsid w:val="4DE66FB2"/>
    <w:rsid w:val="4DEC6CB8"/>
    <w:rsid w:val="4E1040C7"/>
    <w:rsid w:val="4E1760BF"/>
    <w:rsid w:val="4E30647F"/>
    <w:rsid w:val="4EBA03C3"/>
    <w:rsid w:val="4EBC5459"/>
    <w:rsid w:val="4ED94CB0"/>
    <w:rsid w:val="4EEC2ED3"/>
    <w:rsid w:val="4F0E56EA"/>
    <w:rsid w:val="4F2E11BC"/>
    <w:rsid w:val="4F326DA2"/>
    <w:rsid w:val="4F3C4343"/>
    <w:rsid w:val="4F416688"/>
    <w:rsid w:val="4F5620B0"/>
    <w:rsid w:val="4F616EB4"/>
    <w:rsid w:val="4F6654EE"/>
    <w:rsid w:val="4F7379C6"/>
    <w:rsid w:val="4F872BDB"/>
    <w:rsid w:val="4F934F18"/>
    <w:rsid w:val="4FA033E9"/>
    <w:rsid w:val="4FA743DA"/>
    <w:rsid w:val="4FB3565A"/>
    <w:rsid w:val="4FC4714D"/>
    <w:rsid w:val="503D1C79"/>
    <w:rsid w:val="5072771C"/>
    <w:rsid w:val="507A6406"/>
    <w:rsid w:val="50853863"/>
    <w:rsid w:val="508A4590"/>
    <w:rsid w:val="50F1461D"/>
    <w:rsid w:val="50FE5411"/>
    <w:rsid w:val="510B072E"/>
    <w:rsid w:val="511B0BF4"/>
    <w:rsid w:val="51264306"/>
    <w:rsid w:val="514E62C9"/>
    <w:rsid w:val="516123CE"/>
    <w:rsid w:val="51932FAD"/>
    <w:rsid w:val="51B177A9"/>
    <w:rsid w:val="51E066EB"/>
    <w:rsid w:val="52640E8B"/>
    <w:rsid w:val="5267570A"/>
    <w:rsid w:val="52707792"/>
    <w:rsid w:val="52A12CDC"/>
    <w:rsid w:val="52DF0C92"/>
    <w:rsid w:val="52E1159C"/>
    <w:rsid w:val="52E34D6A"/>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65CE3"/>
    <w:rsid w:val="559D47CE"/>
    <w:rsid w:val="55BE1959"/>
    <w:rsid w:val="55C0134C"/>
    <w:rsid w:val="56232437"/>
    <w:rsid w:val="562D39F0"/>
    <w:rsid w:val="56541A75"/>
    <w:rsid w:val="568832FC"/>
    <w:rsid w:val="568C4181"/>
    <w:rsid w:val="570725A9"/>
    <w:rsid w:val="5714693E"/>
    <w:rsid w:val="571D0C9C"/>
    <w:rsid w:val="573A16CE"/>
    <w:rsid w:val="579C7F80"/>
    <w:rsid w:val="57B30D7C"/>
    <w:rsid w:val="57F9AC10"/>
    <w:rsid w:val="58166B03"/>
    <w:rsid w:val="583E3C94"/>
    <w:rsid w:val="58721734"/>
    <w:rsid w:val="58900246"/>
    <w:rsid w:val="58977358"/>
    <w:rsid w:val="58D53944"/>
    <w:rsid w:val="58D65478"/>
    <w:rsid w:val="58F52487"/>
    <w:rsid w:val="590422E6"/>
    <w:rsid w:val="592257E5"/>
    <w:rsid w:val="59655E33"/>
    <w:rsid w:val="59CF5BD9"/>
    <w:rsid w:val="59E20C3C"/>
    <w:rsid w:val="5A1D5B0A"/>
    <w:rsid w:val="5A3B4B4E"/>
    <w:rsid w:val="5A4804CA"/>
    <w:rsid w:val="5A594C85"/>
    <w:rsid w:val="5A8842AA"/>
    <w:rsid w:val="5AEB1E3C"/>
    <w:rsid w:val="5B2507CA"/>
    <w:rsid w:val="5B2A474A"/>
    <w:rsid w:val="5B2D237E"/>
    <w:rsid w:val="5B830730"/>
    <w:rsid w:val="5BBB2DD6"/>
    <w:rsid w:val="5BE263B6"/>
    <w:rsid w:val="5C8E5C5A"/>
    <w:rsid w:val="5C965E61"/>
    <w:rsid w:val="5CF0089C"/>
    <w:rsid w:val="5CF5796F"/>
    <w:rsid w:val="5D242A11"/>
    <w:rsid w:val="5D9217C2"/>
    <w:rsid w:val="5DAD06BF"/>
    <w:rsid w:val="5DC92CE9"/>
    <w:rsid w:val="5DE23CB3"/>
    <w:rsid w:val="5DE97EEC"/>
    <w:rsid w:val="5DFA5EB0"/>
    <w:rsid w:val="5E000E4D"/>
    <w:rsid w:val="5E0B583E"/>
    <w:rsid w:val="5E201A7B"/>
    <w:rsid w:val="5EA45884"/>
    <w:rsid w:val="5EBD0484"/>
    <w:rsid w:val="5F2C5C7C"/>
    <w:rsid w:val="5F36141C"/>
    <w:rsid w:val="5FC5273F"/>
    <w:rsid w:val="604F6C39"/>
    <w:rsid w:val="60806DF2"/>
    <w:rsid w:val="61072DA5"/>
    <w:rsid w:val="611C0817"/>
    <w:rsid w:val="61224A52"/>
    <w:rsid w:val="61520CCB"/>
    <w:rsid w:val="61851A29"/>
    <w:rsid w:val="622D1522"/>
    <w:rsid w:val="622E0574"/>
    <w:rsid w:val="62683B6B"/>
    <w:rsid w:val="6275761C"/>
    <w:rsid w:val="62816E52"/>
    <w:rsid w:val="62AB7BE6"/>
    <w:rsid w:val="62AC5944"/>
    <w:rsid w:val="632F3F8A"/>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63E1DBA"/>
    <w:rsid w:val="665D0213"/>
    <w:rsid w:val="668506C7"/>
    <w:rsid w:val="669E59F1"/>
    <w:rsid w:val="66A2024B"/>
    <w:rsid w:val="6704732B"/>
    <w:rsid w:val="670F6731"/>
    <w:rsid w:val="67585CB0"/>
    <w:rsid w:val="67770F0C"/>
    <w:rsid w:val="67B03535"/>
    <w:rsid w:val="68174F69"/>
    <w:rsid w:val="682C436A"/>
    <w:rsid w:val="68382778"/>
    <w:rsid w:val="68391F41"/>
    <w:rsid w:val="68436B8C"/>
    <w:rsid w:val="68797358"/>
    <w:rsid w:val="6884624F"/>
    <w:rsid w:val="68A519DF"/>
    <w:rsid w:val="68C4160B"/>
    <w:rsid w:val="68C41C30"/>
    <w:rsid w:val="68CF3BA4"/>
    <w:rsid w:val="69257FA7"/>
    <w:rsid w:val="693F26C7"/>
    <w:rsid w:val="697E12B2"/>
    <w:rsid w:val="69C8706D"/>
    <w:rsid w:val="6A0E3FB4"/>
    <w:rsid w:val="6A292754"/>
    <w:rsid w:val="6A5E3B28"/>
    <w:rsid w:val="6A6B1EBE"/>
    <w:rsid w:val="6A8F43F7"/>
    <w:rsid w:val="6AD625F3"/>
    <w:rsid w:val="6B7218BE"/>
    <w:rsid w:val="6B750BA9"/>
    <w:rsid w:val="6BB93285"/>
    <w:rsid w:val="6BEDF527"/>
    <w:rsid w:val="6C0C698C"/>
    <w:rsid w:val="6C222401"/>
    <w:rsid w:val="6C56267F"/>
    <w:rsid w:val="6C826EF9"/>
    <w:rsid w:val="6CAE4C93"/>
    <w:rsid w:val="6CB14F16"/>
    <w:rsid w:val="6CEC2069"/>
    <w:rsid w:val="6D003A84"/>
    <w:rsid w:val="6D0B1869"/>
    <w:rsid w:val="6D65402D"/>
    <w:rsid w:val="6D683822"/>
    <w:rsid w:val="6D8D136C"/>
    <w:rsid w:val="6DBF2759"/>
    <w:rsid w:val="6DC96F36"/>
    <w:rsid w:val="6DFA3EBF"/>
    <w:rsid w:val="6E3E63D2"/>
    <w:rsid w:val="6E5F7BE6"/>
    <w:rsid w:val="6E6918C6"/>
    <w:rsid w:val="6EEB4AC4"/>
    <w:rsid w:val="6F212DD6"/>
    <w:rsid w:val="6F3B5912"/>
    <w:rsid w:val="6FA14A81"/>
    <w:rsid w:val="6FA3261F"/>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29C0443"/>
    <w:rsid w:val="73177841"/>
    <w:rsid w:val="733774FE"/>
    <w:rsid w:val="73617E1B"/>
    <w:rsid w:val="736D7653"/>
    <w:rsid w:val="738035CB"/>
    <w:rsid w:val="73852C46"/>
    <w:rsid w:val="7396335C"/>
    <w:rsid w:val="73F46595"/>
    <w:rsid w:val="74283FA2"/>
    <w:rsid w:val="742C135B"/>
    <w:rsid w:val="74463733"/>
    <w:rsid w:val="748A2F40"/>
    <w:rsid w:val="74D84FF7"/>
    <w:rsid w:val="74F85778"/>
    <w:rsid w:val="75272439"/>
    <w:rsid w:val="758F1E9B"/>
    <w:rsid w:val="75CE266B"/>
    <w:rsid w:val="75DD86E9"/>
    <w:rsid w:val="76120141"/>
    <w:rsid w:val="768216BE"/>
    <w:rsid w:val="76924256"/>
    <w:rsid w:val="76C23B43"/>
    <w:rsid w:val="76FD6F97"/>
    <w:rsid w:val="770218E8"/>
    <w:rsid w:val="779469CE"/>
    <w:rsid w:val="77C875A5"/>
    <w:rsid w:val="78A27DF6"/>
    <w:rsid w:val="78C15C65"/>
    <w:rsid w:val="79285B3A"/>
    <w:rsid w:val="79490B03"/>
    <w:rsid w:val="79625CA9"/>
    <w:rsid w:val="79A91196"/>
    <w:rsid w:val="7A0B32D3"/>
    <w:rsid w:val="7AC13CD3"/>
    <w:rsid w:val="7ADF1B43"/>
    <w:rsid w:val="7AE10264"/>
    <w:rsid w:val="7AE4248E"/>
    <w:rsid w:val="7AF47613"/>
    <w:rsid w:val="7B4A207F"/>
    <w:rsid w:val="7B550C59"/>
    <w:rsid w:val="7B936F45"/>
    <w:rsid w:val="7BA47419"/>
    <w:rsid w:val="7BB10D45"/>
    <w:rsid w:val="7BB44151"/>
    <w:rsid w:val="7C656A39"/>
    <w:rsid w:val="7CB93996"/>
    <w:rsid w:val="7CBE0F99"/>
    <w:rsid w:val="7D093576"/>
    <w:rsid w:val="7D115EA6"/>
    <w:rsid w:val="7D4E45F1"/>
    <w:rsid w:val="7DFB6D82"/>
    <w:rsid w:val="7DFED4AA"/>
    <w:rsid w:val="7E1D71D1"/>
    <w:rsid w:val="7E246254"/>
    <w:rsid w:val="7E553215"/>
    <w:rsid w:val="7E6D090F"/>
    <w:rsid w:val="7ECC66B2"/>
    <w:rsid w:val="7F2914C3"/>
    <w:rsid w:val="7F5F2ED6"/>
    <w:rsid w:val="7F7BD542"/>
    <w:rsid w:val="7FA837EF"/>
    <w:rsid w:val="7FBC9352"/>
    <w:rsid w:val="7FC36955"/>
    <w:rsid w:val="7FE903A0"/>
    <w:rsid w:val="7FF07065"/>
    <w:rsid w:val="7FF97946"/>
    <w:rsid w:val="7FFE7888"/>
    <w:rsid w:val="7FFFB5DB"/>
    <w:rsid w:val="8E7B9B6B"/>
    <w:rsid w:val="9FFBFF3B"/>
    <w:rsid w:val="A3BFD1C8"/>
    <w:rsid w:val="AFFFAB52"/>
    <w:rsid w:val="B73F34E5"/>
    <w:rsid w:val="B8E28D64"/>
    <w:rsid w:val="BFA54E51"/>
    <w:rsid w:val="CDFC0DEF"/>
    <w:rsid w:val="D3E60E83"/>
    <w:rsid w:val="DB4FE050"/>
    <w:rsid w:val="DBFEF0D2"/>
    <w:rsid w:val="DFBD6FEF"/>
    <w:rsid w:val="E2DE949D"/>
    <w:rsid w:val="E4C8A119"/>
    <w:rsid w:val="E7F4D2DA"/>
    <w:rsid w:val="E9EF6F43"/>
    <w:rsid w:val="EBF02B0F"/>
    <w:rsid w:val="EEE74D43"/>
    <w:rsid w:val="EF7BA4A3"/>
    <w:rsid w:val="EFEFA57D"/>
    <w:rsid w:val="F65F61B1"/>
    <w:rsid w:val="F997E54E"/>
    <w:rsid w:val="FA7BD81E"/>
    <w:rsid w:val="FAF7E9AA"/>
    <w:rsid w:val="FB4C53D1"/>
    <w:rsid w:val="FBEF8F85"/>
    <w:rsid w:val="FCF3508D"/>
    <w:rsid w:val="FCFD37B6"/>
    <w:rsid w:val="FD6FC958"/>
    <w:rsid w:val="FDF7B17C"/>
    <w:rsid w:val="FEF7C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0"/>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50" w:afterLines="50" w:line="578" w:lineRule="auto"/>
      <w:ind w:left="425" w:hanging="425"/>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widowControl w:val="0"/>
      <w:numPr>
        <w:ilvl w:val="1"/>
        <w:numId w:val="1"/>
      </w:numPr>
      <w:spacing w:line="416" w:lineRule="auto"/>
      <w:ind w:left="567" w:hanging="567"/>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50" w:beforeLines="50" w:after="50" w:afterLines="50" w:line="416" w:lineRule="auto"/>
      <w:outlineLvl w:val="2"/>
    </w:pPr>
    <w:rPr>
      <w:rFonts w:ascii="宋体" w:hAnsi="宋体" w:eastAsia="宋体" w:cs="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spacing w:before="0" w:beforeAutospacing="0" w:after="0" w:afterAutospacing="0"/>
      <w:ind w:left="0" w:right="0"/>
      <w:jc w:val="left"/>
    </w:pPr>
    <w:rPr>
      <w:rFonts w:ascii="helvetica" w:hAnsi="helvetica" w:eastAsia="helvetica" w:cs="helvetica"/>
      <w:color w:val="000000"/>
      <w:kern w:val="0"/>
      <w:sz w:val="30"/>
      <w:szCs w:val="3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24</Pages>
  <Words>77</Words>
  <Characters>911</Characters>
  <Lines>86</Lines>
  <Paragraphs>24</Paragraphs>
  <TotalTime>19</TotalTime>
  <ScaleCrop>false</ScaleCrop>
  <LinksUpToDate>false</LinksUpToDate>
  <CharactersWithSpaces>913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2023-08-06T23:55:00Z</dcterms:created>
  <dc:creator>王明新TIAD</dc:creator>
  <cp:lastModifiedBy>Administrator</cp:lastModifiedBy>
  <cp:lastPrinted>2023-08-06T17:00:00Z</cp:lastPrinted>
  <dcterms:modified xsi:type="dcterms:W3CDTF">2025-09-28T08:42:59Z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eyJoZGlkIjoiODczM2M4Y2Y4MWZjZmRiODkyNDdiNmU1ZGM2NGRkOWEiLCJ1c2VySWQiOiI1OTM0MzU5MTkifQ==</vt:lpwstr>
  </property>
</Properties>
</file>