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黑体"/>
          <w:w w:val="95"/>
          <w:sz w:val="44"/>
          <w:szCs w:val="44"/>
          <w:u w:val="none"/>
        </w:rPr>
      </w:pPr>
      <w:r>
        <w:rPr>
          <w:rFonts w:hint="eastAsia" w:eastAsia="黑体"/>
          <w:w w:val="95"/>
          <w:sz w:val="44"/>
          <w:szCs w:val="44"/>
          <w:u w:val="none"/>
          <w:lang w:eastAsia="zh-CN"/>
        </w:rPr>
        <w:t>天津市南开区科学技术局</w:t>
      </w:r>
      <w:r>
        <w:rPr>
          <w:rFonts w:hint="eastAsia" w:eastAsia="黑体"/>
          <w:w w:val="95"/>
          <w:sz w:val="44"/>
          <w:szCs w:val="44"/>
          <w:u w:val="none"/>
          <w:lang w:val="en-US" w:eastAsia="zh-CN"/>
        </w:rPr>
        <w:t>(本级)</w:t>
      </w:r>
      <w:r>
        <w:rPr>
          <w:rFonts w:eastAsia="黑体"/>
          <w:w w:val="95"/>
          <w:sz w:val="44"/>
          <w:szCs w:val="44"/>
          <w:u w:val="none"/>
        </w:rPr>
        <w:t>20</w:t>
      </w:r>
      <w:r>
        <w:rPr>
          <w:rFonts w:hint="eastAsia" w:eastAsia="黑体"/>
          <w:w w:val="95"/>
          <w:sz w:val="44"/>
          <w:szCs w:val="44"/>
          <w:u w:val="none"/>
        </w:rPr>
        <w:t>22</w:t>
      </w:r>
      <w:r>
        <w:rPr>
          <w:rFonts w:eastAsia="黑体"/>
          <w:w w:val="95"/>
          <w:sz w:val="44"/>
          <w:szCs w:val="44"/>
          <w:u w:val="none"/>
        </w:rPr>
        <w:t>年部门预算编制说明</w:t>
      </w:r>
    </w:p>
    <w:p>
      <w:pPr>
        <w:spacing w:line="600" w:lineRule="exact"/>
        <w:jc w:val="center"/>
        <w:rPr>
          <w:rFonts w:eastAsia="仿宋_GB2312"/>
          <w:sz w:val="32"/>
          <w:szCs w:val="32"/>
          <w:u w:val="none"/>
        </w:rPr>
      </w:pPr>
      <w:r>
        <w:rPr>
          <w:rFonts w:hint="eastAsia" w:eastAsia="仿宋_GB2312"/>
          <w:sz w:val="32"/>
          <w:szCs w:val="32"/>
          <w:u w:val="none"/>
        </w:rPr>
        <w:t xml:space="preserve"> </w:t>
      </w:r>
    </w:p>
    <w:p>
      <w:pPr>
        <w:spacing w:line="600" w:lineRule="exact"/>
        <w:ind w:firstLine="600" w:firstLineChars="200"/>
        <w:rPr>
          <w:rFonts w:eastAsia="黑体"/>
          <w:sz w:val="30"/>
          <w:szCs w:val="30"/>
          <w:u w:val="none"/>
        </w:rPr>
      </w:pPr>
      <w:r>
        <w:rPr>
          <w:rFonts w:eastAsia="黑体"/>
          <w:sz w:val="30"/>
          <w:szCs w:val="30"/>
          <w:u w:val="none"/>
        </w:rPr>
        <w:t>一、部门主要职责</w:t>
      </w:r>
    </w:p>
    <w:p>
      <w:pPr>
        <w:spacing w:line="600" w:lineRule="exact"/>
        <w:ind w:firstLine="600" w:firstLineChars="200"/>
        <w:rPr>
          <w:rFonts w:hint="eastAsia" w:eastAsia="仿宋_GB2312"/>
          <w:sz w:val="30"/>
          <w:szCs w:val="30"/>
          <w:u w:val="none"/>
        </w:rPr>
      </w:pPr>
      <w:r>
        <w:rPr>
          <w:rFonts w:hint="eastAsia" w:eastAsia="仿宋_GB2312"/>
          <w:sz w:val="30"/>
          <w:szCs w:val="30"/>
          <w:u w:val="none"/>
        </w:rPr>
        <w:t>（一）贯彻执行有关科技创新工作的法律、法规和相关政策。（二）坚持创新驱动发展战略方针，拟订科技发展规划和科技创新政策并组织实施。研究确定科技发展布局和优先发展领域，促进区域发展。（三）统筹推进创新体系建设和科技体制改革，会同有关部门健全技术创新激励机制。优化科研体系建设，推动企业科技创新能力建设。落实重大科技决策咨询制度。（四）会同有关部门提出优化配置科技资源的政策措施建议。推动多元化科技投入体系建设，负责相关科技经费预决算及使用的管理，协调管理区级财政科技计划（专项、基金等）并监督实施。推动科技型企业发展。会同有关部门推进科技金融投融资体系建设，推动科技型企业融资工作。（五）组织实施基础研究规划、政策和标准。推动科研保障建设和科技资源共享。（六）组织实施重大科技项目规划，支持关键共性技术、前沿引领技术、现代工程技术、颠覆性技术研发和创新，组织重大技术攻关和成果应用示范。（七）组织拟订高新技术发展及产业化、科技促进社会发展的规划、政策和措施。促进以改善民生为重点的社会建设。组织开展重点领域技术发展需求分析，提出重大任务并监督实施。（八）牵头技术转移体系建设，会同有关部门拟订科技成果转移转化和促进产学研结合的相关政策措施并组织实施。推动科技服务业、技术市场和科技中介组织发展。（九）统筹科技创新体系建设，配合有关部门推动区域创新发展、科技资源合理布局和协同创新能力建设。（十）负责科技监督评价体系建设和相关科技评估管理，指导科技评价机制改革，统筹科研诚信建设。负责科技统计工作。组织实施创新调查和科技报告制度。负责科技保密制度。（十一）落实有关科技对外交往与创新能力开放合作的规划、政策和措施。指导相关部门对外科技合作与科技人才交流工作。（十二）负责引进国外智力工作。做好高端人才集聚和重点专家联系服务工作。（十三）会同有关部门拟订科技人才队伍建设规划和政策，建立健全科技人才评价和激励机制，组织实施科技人才计划，推动高端科技创新人才队伍建设。组织实施科学普及和科学传播规划、政策。（十四）负责组织国家、市级科学技术奖励推荐申报工作。（十五）做好中央及市在区科研机构有关业务工作的协调、服务。（十六）承担本领域安全生产管理责任。（十七）组织推动科技领域招商引资工作。（十八）完成区委、区政府交办的其他事项。（十九）职能转变。围绕贯彻实施科教兴国战略、人才强国战略、创新驱动发展战略，加强、优化、转变政府科技管理和服务职能，完善科技创新制度和组织体系，加强宏观管理和统筹协调，减少微观管理和具体审批事项，加强事中事后监督和科研诚信建设。从研发管理向创新服务转变，深入推进科技计划管理改革。政府部门不直接管理具体科研项目，委托项目管理专业机构开展项目受理、评审、立项、过程管理、验收等具体工作。进一步改进科技人才评价机制，建立健全以创新能力、质量、贡献、绩效为导向的科技人才评价体系和激励政策，统筹科技人才队伍建设和引进国外智力工作。</w:t>
      </w:r>
    </w:p>
    <w:p>
      <w:pPr>
        <w:spacing w:line="600" w:lineRule="exact"/>
        <w:ind w:firstLine="600" w:firstLineChars="200"/>
        <w:rPr>
          <w:rFonts w:eastAsia="黑体"/>
          <w:sz w:val="30"/>
          <w:szCs w:val="30"/>
          <w:u w:val="none"/>
        </w:rPr>
      </w:pPr>
      <w:r>
        <w:rPr>
          <w:rFonts w:eastAsia="黑体"/>
          <w:sz w:val="30"/>
          <w:szCs w:val="30"/>
          <w:u w:val="none"/>
        </w:rPr>
        <w:t>二、部门机构设置情况</w:t>
      </w:r>
    </w:p>
    <w:p>
      <w:pPr>
        <w:spacing w:line="600" w:lineRule="exact"/>
        <w:ind w:firstLine="600" w:firstLineChars="200"/>
        <w:rPr>
          <w:rFonts w:eastAsia="仿宋_GB2312"/>
          <w:sz w:val="30"/>
          <w:szCs w:val="30"/>
          <w:u w:val="none"/>
        </w:rPr>
      </w:pPr>
      <w:r>
        <w:rPr>
          <w:rFonts w:hint="eastAsia" w:eastAsia="仿宋_GB2312"/>
          <w:sz w:val="30"/>
          <w:szCs w:val="30"/>
          <w:u w:val="none"/>
          <w:lang w:eastAsia="zh-CN"/>
        </w:rPr>
        <w:t>南开区科技局（本级）</w:t>
      </w:r>
      <w:r>
        <w:rPr>
          <w:rFonts w:eastAsia="仿宋_GB2312"/>
          <w:sz w:val="30"/>
          <w:szCs w:val="30"/>
          <w:u w:val="none"/>
        </w:rPr>
        <w:t>内设</w:t>
      </w:r>
      <w:r>
        <w:rPr>
          <w:rFonts w:hint="eastAsia" w:eastAsia="仿宋_GB2312"/>
          <w:sz w:val="30"/>
          <w:szCs w:val="30"/>
          <w:u w:val="none"/>
          <w:lang w:val="en-US" w:eastAsia="zh-CN"/>
        </w:rPr>
        <w:t>3</w:t>
      </w:r>
      <w:r>
        <w:rPr>
          <w:rFonts w:eastAsia="仿宋_GB2312"/>
          <w:sz w:val="30"/>
          <w:szCs w:val="30"/>
          <w:u w:val="none"/>
        </w:rPr>
        <w:t>个职能</w:t>
      </w:r>
      <w:r>
        <w:rPr>
          <w:rFonts w:hint="eastAsia" w:eastAsia="仿宋_GB2312"/>
          <w:sz w:val="30"/>
          <w:szCs w:val="30"/>
          <w:u w:val="none"/>
        </w:rPr>
        <w:t>科</w:t>
      </w:r>
      <w:r>
        <w:rPr>
          <w:rFonts w:eastAsia="仿宋_GB2312"/>
          <w:sz w:val="30"/>
          <w:szCs w:val="30"/>
          <w:u w:val="none"/>
        </w:rPr>
        <w:t>室；下辖</w:t>
      </w:r>
      <w:r>
        <w:rPr>
          <w:rFonts w:hint="eastAsia" w:eastAsia="仿宋_GB2312"/>
          <w:sz w:val="30"/>
          <w:szCs w:val="30"/>
          <w:u w:val="none"/>
          <w:lang w:val="en-US" w:eastAsia="zh-CN"/>
        </w:rPr>
        <w:t>0</w:t>
      </w:r>
      <w:r>
        <w:rPr>
          <w:rFonts w:eastAsia="仿宋_GB2312"/>
          <w:sz w:val="30"/>
          <w:szCs w:val="30"/>
          <w:u w:val="none"/>
        </w:rPr>
        <w:t>个预算单位</w:t>
      </w:r>
      <w:r>
        <w:rPr>
          <w:rFonts w:hint="eastAsia" w:eastAsia="仿宋_GB2312"/>
          <w:sz w:val="30"/>
          <w:szCs w:val="30"/>
          <w:u w:val="none"/>
        </w:rPr>
        <w:t>。本部门实有人员</w:t>
      </w:r>
      <w:r>
        <w:rPr>
          <w:rFonts w:hint="eastAsia" w:eastAsia="仿宋_GB2312"/>
          <w:sz w:val="30"/>
          <w:szCs w:val="30"/>
          <w:u w:val="none"/>
          <w:lang w:val="en-US" w:eastAsia="zh-CN"/>
        </w:rPr>
        <w:t>24</w:t>
      </w:r>
      <w:r>
        <w:rPr>
          <w:rFonts w:hint="eastAsia" w:eastAsia="仿宋_GB2312"/>
          <w:sz w:val="30"/>
          <w:szCs w:val="30"/>
          <w:u w:val="none"/>
        </w:rPr>
        <w:t>人，其中在职人员</w:t>
      </w:r>
      <w:r>
        <w:rPr>
          <w:rFonts w:hint="eastAsia" w:eastAsia="仿宋_GB2312"/>
          <w:sz w:val="30"/>
          <w:szCs w:val="30"/>
          <w:u w:val="none"/>
          <w:lang w:val="en-US" w:eastAsia="zh-CN"/>
        </w:rPr>
        <w:t>12</w:t>
      </w:r>
      <w:r>
        <w:rPr>
          <w:rFonts w:hint="eastAsia" w:eastAsia="仿宋_GB2312"/>
          <w:sz w:val="30"/>
          <w:szCs w:val="30"/>
          <w:u w:val="none"/>
        </w:rPr>
        <w:t>人，离休人员</w:t>
      </w:r>
      <w:r>
        <w:rPr>
          <w:rFonts w:hint="eastAsia" w:eastAsia="仿宋_GB2312"/>
          <w:sz w:val="30"/>
          <w:szCs w:val="30"/>
          <w:u w:val="none"/>
          <w:lang w:val="en-US" w:eastAsia="zh-CN"/>
        </w:rPr>
        <w:t>1</w:t>
      </w:r>
      <w:r>
        <w:rPr>
          <w:rFonts w:hint="eastAsia" w:eastAsia="仿宋_GB2312"/>
          <w:sz w:val="30"/>
          <w:szCs w:val="30"/>
          <w:u w:val="none"/>
        </w:rPr>
        <w:t>人，退休人员</w:t>
      </w:r>
      <w:r>
        <w:rPr>
          <w:rFonts w:hint="eastAsia" w:eastAsia="仿宋_GB2312"/>
          <w:sz w:val="30"/>
          <w:szCs w:val="30"/>
          <w:u w:val="none"/>
          <w:lang w:val="en-US" w:eastAsia="zh-CN"/>
        </w:rPr>
        <w:t>11</w:t>
      </w:r>
      <w:r>
        <w:rPr>
          <w:rFonts w:hint="eastAsia" w:eastAsia="仿宋_GB2312"/>
          <w:sz w:val="30"/>
          <w:szCs w:val="30"/>
          <w:u w:val="none"/>
        </w:rPr>
        <w:t>人。</w:t>
      </w:r>
    </w:p>
    <w:p>
      <w:pPr>
        <w:spacing w:line="600" w:lineRule="exact"/>
        <w:ind w:firstLine="600" w:firstLineChars="200"/>
        <w:rPr>
          <w:rFonts w:eastAsia="黑体"/>
          <w:sz w:val="30"/>
          <w:szCs w:val="30"/>
          <w:u w:val="none"/>
        </w:rPr>
      </w:pPr>
      <w:r>
        <w:rPr>
          <w:rFonts w:eastAsia="黑体"/>
          <w:sz w:val="30"/>
          <w:szCs w:val="30"/>
          <w:u w:val="none"/>
        </w:rPr>
        <w:t>三、部门预算草案编制情况</w:t>
      </w:r>
    </w:p>
    <w:p>
      <w:pPr>
        <w:spacing w:line="600" w:lineRule="exact"/>
        <w:ind w:firstLine="602" w:firstLineChars="200"/>
        <w:rPr>
          <w:rFonts w:eastAsia="楷体_GB2312"/>
          <w:b/>
          <w:sz w:val="30"/>
          <w:szCs w:val="30"/>
          <w:u w:val="none"/>
        </w:rPr>
      </w:pPr>
      <w:r>
        <w:rPr>
          <w:rFonts w:eastAsia="楷体_GB2312"/>
          <w:b/>
          <w:sz w:val="30"/>
          <w:szCs w:val="30"/>
          <w:u w:val="none"/>
        </w:rPr>
        <w:t>（一）部门收入预算情况说明</w:t>
      </w:r>
    </w:p>
    <w:p>
      <w:pPr>
        <w:spacing w:line="600" w:lineRule="exact"/>
        <w:ind w:firstLine="600" w:firstLineChars="200"/>
        <w:rPr>
          <w:rFonts w:eastAsia="仿宋_GB2312"/>
          <w:sz w:val="30"/>
          <w:szCs w:val="30"/>
          <w:u w:val="none"/>
        </w:rPr>
      </w:pPr>
      <w:r>
        <w:rPr>
          <w:rFonts w:eastAsia="仿宋_GB2312"/>
          <w:sz w:val="30"/>
          <w:szCs w:val="30"/>
          <w:u w:val="none"/>
        </w:rPr>
        <w:t>部门收入预算</w:t>
      </w:r>
      <w:r>
        <w:rPr>
          <w:rFonts w:hint="eastAsia" w:eastAsia="仿宋_GB2312"/>
          <w:sz w:val="30"/>
          <w:szCs w:val="30"/>
          <w:u w:val="none"/>
          <w:lang w:val="en-US" w:eastAsia="zh-CN"/>
        </w:rPr>
        <w:t>666.91</w:t>
      </w:r>
      <w:r>
        <w:rPr>
          <w:rFonts w:eastAsia="仿宋_GB2312"/>
          <w:sz w:val="30"/>
          <w:szCs w:val="30"/>
          <w:u w:val="none"/>
        </w:rPr>
        <w:t>万元，与20</w:t>
      </w:r>
      <w:r>
        <w:rPr>
          <w:rFonts w:hint="eastAsia" w:eastAsia="仿宋_GB2312"/>
          <w:sz w:val="30"/>
          <w:szCs w:val="30"/>
          <w:u w:val="none"/>
        </w:rPr>
        <w:t>21</w:t>
      </w:r>
      <w:r>
        <w:rPr>
          <w:rFonts w:eastAsia="仿宋_GB2312"/>
          <w:sz w:val="30"/>
          <w:szCs w:val="30"/>
          <w:u w:val="none"/>
        </w:rPr>
        <w:t>年预算相比增加</w:t>
      </w:r>
      <w:r>
        <w:rPr>
          <w:rFonts w:hint="eastAsia" w:eastAsia="仿宋_GB2312"/>
          <w:sz w:val="30"/>
          <w:szCs w:val="30"/>
          <w:u w:val="none"/>
          <w:lang w:val="en-US" w:eastAsia="zh-CN"/>
        </w:rPr>
        <w:t>202.02</w:t>
      </w:r>
      <w:r>
        <w:rPr>
          <w:rFonts w:eastAsia="仿宋_GB2312"/>
          <w:sz w:val="30"/>
          <w:szCs w:val="30"/>
          <w:u w:val="none"/>
        </w:rPr>
        <w:t>万元</w:t>
      </w:r>
      <w:r>
        <w:rPr>
          <w:rFonts w:hint="eastAsia" w:eastAsia="仿宋_GB2312"/>
          <w:sz w:val="30"/>
          <w:szCs w:val="30"/>
          <w:u w:val="none"/>
          <w:lang w:val="en-US" w:eastAsia="zh-CN"/>
        </w:rPr>
        <w:t>,主要原因是项目预算经费增加</w:t>
      </w:r>
      <w:r>
        <w:rPr>
          <w:rFonts w:eastAsia="仿宋_GB2312"/>
          <w:sz w:val="30"/>
          <w:szCs w:val="30"/>
          <w:u w:val="none"/>
        </w:rPr>
        <w:t>。其中，本年收入合计</w:t>
      </w:r>
      <w:r>
        <w:rPr>
          <w:rFonts w:hint="eastAsia" w:eastAsia="仿宋_GB2312"/>
          <w:sz w:val="30"/>
          <w:szCs w:val="30"/>
          <w:u w:val="none"/>
          <w:lang w:val="en-US" w:eastAsia="zh-CN"/>
        </w:rPr>
        <w:t>666.91</w:t>
      </w:r>
      <w:r>
        <w:rPr>
          <w:rFonts w:eastAsia="仿宋_GB2312"/>
          <w:sz w:val="30"/>
          <w:szCs w:val="30"/>
          <w:u w:val="none"/>
        </w:rPr>
        <w:t>万元，与20</w:t>
      </w:r>
      <w:r>
        <w:rPr>
          <w:rFonts w:hint="eastAsia" w:eastAsia="仿宋_GB2312"/>
          <w:sz w:val="30"/>
          <w:szCs w:val="30"/>
          <w:u w:val="none"/>
        </w:rPr>
        <w:t>21</w:t>
      </w:r>
      <w:r>
        <w:rPr>
          <w:rFonts w:eastAsia="仿宋_GB2312"/>
          <w:sz w:val="30"/>
          <w:szCs w:val="30"/>
          <w:u w:val="none"/>
        </w:rPr>
        <w:t>年预算相比增加</w:t>
      </w:r>
      <w:r>
        <w:rPr>
          <w:rFonts w:hint="eastAsia" w:eastAsia="仿宋_GB2312"/>
          <w:sz w:val="30"/>
          <w:szCs w:val="30"/>
          <w:u w:val="none"/>
          <w:lang w:val="en-US" w:eastAsia="zh-CN"/>
        </w:rPr>
        <w:t>202.02</w:t>
      </w:r>
      <w:r>
        <w:rPr>
          <w:rFonts w:eastAsia="仿宋_GB2312"/>
          <w:sz w:val="30"/>
          <w:szCs w:val="30"/>
          <w:u w:val="none"/>
        </w:rPr>
        <w:t>万元，</w:t>
      </w:r>
      <w:r>
        <w:rPr>
          <w:rFonts w:hint="eastAsia" w:eastAsia="仿宋_GB2312"/>
          <w:sz w:val="30"/>
          <w:szCs w:val="30"/>
          <w:u w:val="none"/>
          <w:lang w:val="en-US" w:eastAsia="zh-CN"/>
        </w:rPr>
        <w:t>主要原因是项目预算经费增加,</w:t>
      </w:r>
      <w:r>
        <w:rPr>
          <w:rFonts w:eastAsia="仿宋_GB2312"/>
          <w:sz w:val="30"/>
          <w:szCs w:val="30"/>
          <w:u w:val="none"/>
        </w:rPr>
        <w:t>包括</w:t>
      </w:r>
      <w:r>
        <w:rPr>
          <w:rFonts w:hint="eastAsia" w:eastAsia="仿宋_GB2312"/>
          <w:sz w:val="30"/>
          <w:szCs w:val="30"/>
          <w:u w:val="none"/>
        </w:rPr>
        <w:t>一般公共预算拨款收入</w:t>
      </w:r>
      <w:r>
        <w:rPr>
          <w:rFonts w:hint="eastAsia" w:eastAsia="仿宋_GB2312"/>
          <w:sz w:val="30"/>
          <w:szCs w:val="30"/>
          <w:u w:val="none"/>
          <w:lang w:val="en-US" w:eastAsia="zh-CN"/>
        </w:rPr>
        <w:t>666.91</w:t>
      </w:r>
      <w:r>
        <w:rPr>
          <w:rFonts w:eastAsia="仿宋_GB2312"/>
          <w:sz w:val="30"/>
          <w:szCs w:val="30"/>
          <w:u w:val="none"/>
        </w:rPr>
        <w:t>万元、</w:t>
      </w:r>
      <w:r>
        <w:rPr>
          <w:rFonts w:hint="eastAsia" w:eastAsia="仿宋_GB2312"/>
          <w:sz w:val="30"/>
          <w:szCs w:val="30"/>
          <w:u w:val="none"/>
        </w:rPr>
        <w:t>政府性基金预算拨款收入</w:t>
      </w:r>
      <w:r>
        <w:rPr>
          <w:rFonts w:hint="eastAsia" w:eastAsia="仿宋_GB2312"/>
          <w:sz w:val="30"/>
          <w:szCs w:val="30"/>
          <w:u w:val="none"/>
          <w:lang w:val="en-US" w:eastAsia="zh-CN"/>
        </w:rPr>
        <w:t>0</w:t>
      </w:r>
      <w:r>
        <w:rPr>
          <w:rFonts w:eastAsia="仿宋_GB2312"/>
          <w:sz w:val="30"/>
          <w:szCs w:val="30"/>
          <w:u w:val="none"/>
        </w:rPr>
        <w:t>万元、</w:t>
      </w:r>
      <w:r>
        <w:rPr>
          <w:rFonts w:hint="eastAsia" w:eastAsia="仿宋_GB2312"/>
          <w:sz w:val="30"/>
          <w:szCs w:val="30"/>
          <w:u w:val="none"/>
        </w:rPr>
        <w:t>国有资本经营预算拨款收入</w:t>
      </w:r>
      <w:r>
        <w:rPr>
          <w:rFonts w:hint="eastAsia" w:eastAsia="仿宋_GB2312"/>
          <w:sz w:val="30"/>
          <w:szCs w:val="30"/>
          <w:u w:val="none"/>
          <w:lang w:val="en-US" w:eastAsia="zh-CN"/>
        </w:rPr>
        <w:t>0</w:t>
      </w:r>
      <w:r>
        <w:rPr>
          <w:rFonts w:eastAsia="仿宋_GB2312"/>
          <w:sz w:val="30"/>
          <w:szCs w:val="30"/>
          <w:u w:val="none"/>
        </w:rPr>
        <w:t>万元、</w:t>
      </w:r>
      <w:r>
        <w:rPr>
          <w:rFonts w:hint="eastAsia" w:eastAsia="仿宋_GB2312"/>
          <w:sz w:val="30"/>
          <w:szCs w:val="30"/>
          <w:u w:val="none"/>
        </w:rPr>
        <w:t>非同级财政拨款预算收入</w:t>
      </w:r>
      <w:r>
        <w:rPr>
          <w:rFonts w:hint="eastAsia" w:eastAsia="仿宋_GB2312"/>
          <w:sz w:val="30"/>
          <w:szCs w:val="30"/>
          <w:u w:val="none"/>
          <w:lang w:val="en-US" w:eastAsia="zh-CN"/>
        </w:rPr>
        <w:t>0</w:t>
      </w:r>
      <w:r>
        <w:rPr>
          <w:rFonts w:eastAsia="仿宋_GB2312"/>
          <w:sz w:val="30"/>
          <w:szCs w:val="30"/>
          <w:u w:val="none"/>
        </w:rPr>
        <w:t>万元</w:t>
      </w:r>
      <w:r>
        <w:rPr>
          <w:rFonts w:hint="eastAsia" w:eastAsia="仿宋_GB2312"/>
          <w:sz w:val="30"/>
          <w:szCs w:val="30"/>
          <w:u w:val="none"/>
        </w:rPr>
        <w:t>、财政专户管理资金收入</w:t>
      </w:r>
      <w:r>
        <w:rPr>
          <w:rFonts w:hint="eastAsia" w:eastAsia="仿宋_GB2312"/>
          <w:sz w:val="30"/>
          <w:szCs w:val="30"/>
          <w:u w:val="none"/>
          <w:lang w:val="en-US" w:eastAsia="zh-CN"/>
        </w:rPr>
        <w:t>0</w:t>
      </w:r>
      <w:r>
        <w:rPr>
          <w:rFonts w:eastAsia="仿宋_GB2312"/>
          <w:sz w:val="30"/>
          <w:szCs w:val="30"/>
          <w:u w:val="none"/>
        </w:rPr>
        <w:t>万元</w:t>
      </w:r>
      <w:r>
        <w:rPr>
          <w:rFonts w:hint="eastAsia" w:eastAsia="仿宋_GB2312"/>
          <w:sz w:val="30"/>
          <w:szCs w:val="30"/>
          <w:u w:val="none"/>
        </w:rPr>
        <w:t>、事业收入</w:t>
      </w:r>
      <w:r>
        <w:rPr>
          <w:rFonts w:hint="eastAsia" w:eastAsia="仿宋_GB2312"/>
          <w:sz w:val="30"/>
          <w:szCs w:val="30"/>
          <w:u w:val="none"/>
          <w:lang w:val="en-US" w:eastAsia="zh-CN"/>
        </w:rPr>
        <w:t>0</w:t>
      </w:r>
      <w:r>
        <w:rPr>
          <w:rFonts w:eastAsia="仿宋_GB2312"/>
          <w:sz w:val="30"/>
          <w:szCs w:val="30"/>
          <w:u w:val="none"/>
        </w:rPr>
        <w:t>万元、</w:t>
      </w:r>
      <w:r>
        <w:rPr>
          <w:rFonts w:hint="eastAsia" w:eastAsia="仿宋_GB2312"/>
          <w:sz w:val="30"/>
          <w:szCs w:val="30"/>
          <w:u w:val="none"/>
        </w:rPr>
        <w:t>事业单位经营收入</w:t>
      </w:r>
      <w:r>
        <w:rPr>
          <w:rFonts w:hint="eastAsia" w:eastAsia="仿宋_GB2312"/>
          <w:sz w:val="30"/>
          <w:szCs w:val="30"/>
          <w:u w:val="none"/>
          <w:lang w:val="en-US" w:eastAsia="zh-CN"/>
        </w:rPr>
        <w:t>0</w:t>
      </w:r>
      <w:r>
        <w:rPr>
          <w:rFonts w:eastAsia="仿宋_GB2312"/>
          <w:sz w:val="30"/>
          <w:szCs w:val="30"/>
          <w:u w:val="none"/>
        </w:rPr>
        <w:t>万元、</w:t>
      </w:r>
      <w:r>
        <w:rPr>
          <w:rFonts w:hint="eastAsia" w:eastAsia="仿宋_GB2312"/>
          <w:sz w:val="30"/>
          <w:szCs w:val="30"/>
          <w:u w:val="none"/>
        </w:rPr>
        <w:t>上级补助收入</w:t>
      </w:r>
      <w:r>
        <w:rPr>
          <w:rFonts w:hint="eastAsia" w:eastAsia="仿宋_GB2312"/>
          <w:sz w:val="30"/>
          <w:szCs w:val="30"/>
          <w:u w:val="none"/>
          <w:lang w:val="en-US" w:eastAsia="zh-CN"/>
        </w:rPr>
        <w:t>0</w:t>
      </w:r>
      <w:r>
        <w:rPr>
          <w:rFonts w:eastAsia="仿宋_GB2312"/>
          <w:sz w:val="30"/>
          <w:szCs w:val="30"/>
          <w:u w:val="none"/>
        </w:rPr>
        <w:t>万元、</w:t>
      </w:r>
      <w:r>
        <w:rPr>
          <w:rFonts w:hint="eastAsia" w:eastAsia="仿宋_GB2312"/>
          <w:sz w:val="30"/>
          <w:szCs w:val="30"/>
          <w:u w:val="none"/>
        </w:rPr>
        <w:t>附属单位上缴收入</w:t>
      </w:r>
      <w:r>
        <w:rPr>
          <w:rFonts w:hint="eastAsia" w:eastAsia="仿宋_GB2312"/>
          <w:sz w:val="30"/>
          <w:szCs w:val="30"/>
          <w:u w:val="none"/>
          <w:lang w:val="en-US" w:eastAsia="zh-CN"/>
        </w:rPr>
        <w:t>0</w:t>
      </w:r>
      <w:r>
        <w:rPr>
          <w:rFonts w:eastAsia="仿宋_GB2312"/>
          <w:sz w:val="30"/>
          <w:szCs w:val="30"/>
          <w:u w:val="none"/>
        </w:rPr>
        <w:t>万元</w:t>
      </w:r>
      <w:r>
        <w:rPr>
          <w:rFonts w:hint="eastAsia" w:eastAsia="仿宋_GB2312"/>
          <w:sz w:val="30"/>
          <w:szCs w:val="30"/>
          <w:u w:val="none"/>
        </w:rPr>
        <w:t>、其他收入</w:t>
      </w:r>
      <w:r>
        <w:rPr>
          <w:rFonts w:hint="eastAsia" w:eastAsia="仿宋_GB2312"/>
          <w:sz w:val="30"/>
          <w:szCs w:val="30"/>
          <w:u w:val="none"/>
          <w:lang w:val="en-US" w:eastAsia="zh-CN"/>
        </w:rPr>
        <w:t>0</w:t>
      </w:r>
      <w:r>
        <w:rPr>
          <w:rFonts w:eastAsia="仿宋_GB2312"/>
          <w:sz w:val="30"/>
          <w:szCs w:val="30"/>
          <w:u w:val="none"/>
        </w:rPr>
        <w:t>万元；上年结转结余</w:t>
      </w:r>
      <w:r>
        <w:rPr>
          <w:rFonts w:hint="eastAsia" w:eastAsia="仿宋_GB2312"/>
          <w:sz w:val="30"/>
          <w:szCs w:val="30"/>
          <w:u w:val="none"/>
          <w:lang w:val="en-US" w:eastAsia="zh-CN"/>
        </w:rPr>
        <w:t>0</w:t>
      </w:r>
      <w:r>
        <w:rPr>
          <w:rFonts w:eastAsia="仿宋_GB2312"/>
          <w:sz w:val="30"/>
          <w:szCs w:val="30"/>
          <w:u w:val="none"/>
        </w:rPr>
        <w:t>万元。</w:t>
      </w:r>
    </w:p>
    <w:p>
      <w:pPr>
        <w:spacing w:line="600" w:lineRule="exact"/>
        <w:ind w:firstLine="602" w:firstLineChars="200"/>
        <w:rPr>
          <w:rFonts w:eastAsia="楷体_GB2312"/>
          <w:b/>
          <w:sz w:val="30"/>
          <w:szCs w:val="30"/>
          <w:u w:val="none"/>
        </w:rPr>
      </w:pPr>
      <w:r>
        <w:rPr>
          <w:rFonts w:eastAsia="楷体_GB2312"/>
          <w:b/>
          <w:sz w:val="30"/>
          <w:szCs w:val="30"/>
          <w:u w:val="none"/>
        </w:rPr>
        <w:t>（二）部门支出预算情况说明</w:t>
      </w:r>
    </w:p>
    <w:p>
      <w:pPr>
        <w:spacing w:line="600" w:lineRule="exact"/>
        <w:ind w:firstLine="600" w:firstLineChars="200"/>
        <w:rPr>
          <w:rFonts w:eastAsia="仿宋_GB2312"/>
          <w:sz w:val="30"/>
          <w:szCs w:val="30"/>
          <w:u w:val="none"/>
        </w:rPr>
      </w:pPr>
      <w:r>
        <w:rPr>
          <w:rFonts w:eastAsia="仿宋_GB2312"/>
          <w:sz w:val="30"/>
          <w:szCs w:val="30"/>
          <w:u w:val="none"/>
        </w:rPr>
        <w:t>部门支出预算</w:t>
      </w:r>
      <w:r>
        <w:rPr>
          <w:rFonts w:hint="eastAsia" w:eastAsia="仿宋_GB2312"/>
          <w:sz w:val="30"/>
          <w:szCs w:val="30"/>
          <w:u w:val="none"/>
          <w:lang w:val="en-US" w:eastAsia="zh-CN"/>
        </w:rPr>
        <w:t>666.91</w:t>
      </w:r>
      <w:r>
        <w:rPr>
          <w:rFonts w:eastAsia="仿宋_GB2312"/>
          <w:sz w:val="30"/>
          <w:szCs w:val="30"/>
          <w:u w:val="none"/>
        </w:rPr>
        <w:t>万元，与20</w:t>
      </w:r>
      <w:r>
        <w:rPr>
          <w:rFonts w:hint="eastAsia" w:eastAsia="仿宋_GB2312"/>
          <w:sz w:val="30"/>
          <w:szCs w:val="30"/>
          <w:u w:val="none"/>
        </w:rPr>
        <w:t>21</w:t>
      </w:r>
      <w:r>
        <w:rPr>
          <w:rFonts w:eastAsia="仿宋_GB2312"/>
          <w:sz w:val="30"/>
          <w:szCs w:val="30"/>
          <w:u w:val="none"/>
        </w:rPr>
        <w:t>年预算相比增加</w:t>
      </w:r>
      <w:r>
        <w:rPr>
          <w:rFonts w:hint="eastAsia" w:eastAsia="仿宋_GB2312"/>
          <w:sz w:val="30"/>
          <w:szCs w:val="30"/>
          <w:u w:val="none"/>
          <w:lang w:val="en-US" w:eastAsia="zh-CN"/>
        </w:rPr>
        <w:t>202.02</w:t>
      </w:r>
      <w:r>
        <w:rPr>
          <w:rFonts w:eastAsia="仿宋_GB2312"/>
          <w:sz w:val="30"/>
          <w:szCs w:val="30"/>
          <w:u w:val="none"/>
        </w:rPr>
        <w:t>万元，</w:t>
      </w:r>
      <w:r>
        <w:rPr>
          <w:rFonts w:hint="eastAsia" w:eastAsia="仿宋_GB2312"/>
          <w:sz w:val="30"/>
          <w:szCs w:val="30"/>
          <w:u w:val="none"/>
          <w:lang w:val="en-US" w:eastAsia="zh-CN"/>
        </w:rPr>
        <w:t>主要原因是项目预算经费增加,</w:t>
      </w:r>
      <w:bookmarkStart w:id="0" w:name="_GoBack"/>
      <w:bookmarkEnd w:id="0"/>
      <w:r>
        <w:rPr>
          <w:rFonts w:eastAsia="仿宋_GB2312"/>
          <w:sz w:val="30"/>
          <w:szCs w:val="30"/>
          <w:u w:val="none"/>
        </w:rPr>
        <w:t>其中：</w:t>
      </w:r>
    </w:p>
    <w:p>
      <w:pPr>
        <w:spacing w:line="600" w:lineRule="exact"/>
        <w:ind w:firstLine="600" w:firstLineChars="200"/>
        <w:rPr>
          <w:rFonts w:hint="eastAsia" w:eastAsia="仿宋_GB2312"/>
          <w:sz w:val="30"/>
          <w:szCs w:val="30"/>
          <w:u w:val="none"/>
        </w:rPr>
      </w:pPr>
      <w:r>
        <w:rPr>
          <w:rFonts w:hint="eastAsia" w:eastAsia="仿宋_GB2312"/>
          <w:sz w:val="30"/>
          <w:szCs w:val="30"/>
          <w:u w:val="none"/>
        </w:rPr>
        <w:t>科学技术支出科目支出</w:t>
      </w:r>
      <w:r>
        <w:rPr>
          <w:rFonts w:hint="eastAsia" w:eastAsia="仿宋_GB2312"/>
          <w:sz w:val="30"/>
          <w:szCs w:val="30"/>
          <w:u w:val="none"/>
          <w:lang w:val="en-US" w:eastAsia="zh-CN"/>
        </w:rPr>
        <w:t>622.93</w:t>
      </w:r>
      <w:r>
        <w:rPr>
          <w:rFonts w:hint="eastAsia" w:eastAsia="仿宋_GB2312"/>
          <w:sz w:val="30"/>
          <w:szCs w:val="30"/>
          <w:u w:val="none"/>
        </w:rPr>
        <w:t>万元，主要用于基本支出和项目经费；</w:t>
      </w:r>
    </w:p>
    <w:p>
      <w:pPr>
        <w:spacing w:line="600" w:lineRule="exact"/>
        <w:ind w:firstLine="600" w:firstLineChars="200"/>
        <w:rPr>
          <w:rFonts w:hint="eastAsia" w:eastAsia="仿宋_GB2312"/>
          <w:sz w:val="30"/>
          <w:szCs w:val="30"/>
          <w:u w:val="none"/>
        </w:rPr>
      </w:pPr>
      <w:r>
        <w:rPr>
          <w:rFonts w:hint="eastAsia" w:eastAsia="仿宋_GB2312"/>
          <w:sz w:val="30"/>
          <w:szCs w:val="30"/>
          <w:u w:val="none"/>
        </w:rPr>
        <w:t>社会保障和就业支出科目支出</w:t>
      </w:r>
      <w:r>
        <w:rPr>
          <w:rFonts w:hint="eastAsia" w:eastAsia="仿宋_GB2312"/>
          <w:sz w:val="30"/>
          <w:szCs w:val="30"/>
          <w:u w:val="none"/>
          <w:lang w:val="en-US" w:eastAsia="zh-CN"/>
        </w:rPr>
        <w:t>27.42</w:t>
      </w:r>
      <w:r>
        <w:rPr>
          <w:rFonts w:hint="eastAsia" w:eastAsia="仿宋_GB2312"/>
          <w:sz w:val="30"/>
          <w:szCs w:val="30"/>
          <w:u w:val="none"/>
        </w:rPr>
        <w:t>万元，主要用于在职人员基本养老保险支出；</w:t>
      </w:r>
    </w:p>
    <w:p>
      <w:pPr>
        <w:spacing w:line="600" w:lineRule="exact"/>
        <w:ind w:firstLine="600" w:firstLineChars="200"/>
        <w:rPr>
          <w:rFonts w:hint="eastAsia" w:eastAsia="仿宋_GB2312"/>
          <w:sz w:val="30"/>
          <w:szCs w:val="30"/>
          <w:u w:val="none"/>
        </w:rPr>
      </w:pPr>
      <w:r>
        <w:rPr>
          <w:rFonts w:hint="eastAsia" w:eastAsia="仿宋_GB2312"/>
          <w:sz w:val="30"/>
          <w:szCs w:val="30"/>
          <w:u w:val="none"/>
        </w:rPr>
        <w:t>卫生健康科目支出</w:t>
      </w:r>
      <w:r>
        <w:rPr>
          <w:rFonts w:hint="eastAsia" w:eastAsia="仿宋_GB2312"/>
          <w:sz w:val="30"/>
          <w:szCs w:val="30"/>
          <w:u w:val="none"/>
          <w:lang w:val="en-US" w:eastAsia="zh-CN"/>
        </w:rPr>
        <w:t>16.56</w:t>
      </w:r>
      <w:r>
        <w:rPr>
          <w:rFonts w:hint="eastAsia" w:eastAsia="仿宋_GB2312"/>
          <w:sz w:val="30"/>
          <w:szCs w:val="30"/>
          <w:u w:val="none"/>
        </w:rPr>
        <w:t>万元，主要用于在行政单位医疗和公务员医疗补助支出。</w:t>
      </w:r>
    </w:p>
    <w:p>
      <w:pPr>
        <w:spacing w:line="600" w:lineRule="exact"/>
        <w:ind w:firstLine="600" w:firstLineChars="200"/>
        <w:rPr>
          <w:rFonts w:eastAsia="黑体"/>
          <w:sz w:val="30"/>
          <w:szCs w:val="30"/>
          <w:u w:val="none"/>
        </w:rPr>
      </w:pPr>
      <w:r>
        <w:rPr>
          <w:rFonts w:hint="eastAsia" w:eastAsia="黑体"/>
          <w:sz w:val="30"/>
          <w:szCs w:val="30"/>
          <w:u w:val="none"/>
        </w:rPr>
        <w:t>四</w:t>
      </w:r>
      <w:r>
        <w:rPr>
          <w:rFonts w:eastAsia="黑体"/>
          <w:sz w:val="30"/>
          <w:szCs w:val="30"/>
          <w:u w:val="none"/>
        </w:rPr>
        <w:t>、其他重要事项的情况说明</w:t>
      </w:r>
    </w:p>
    <w:p>
      <w:pPr>
        <w:spacing w:line="600" w:lineRule="exact"/>
        <w:ind w:firstLine="602" w:firstLineChars="200"/>
        <w:rPr>
          <w:rFonts w:eastAsia="楷体_GB2312"/>
          <w:b/>
          <w:sz w:val="30"/>
          <w:szCs w:val="30"/>
          <w:u w:val="none"/>
        </w:rPr>
      </w:pPr>
      <w:r>
        <w:rPr>
          <w:rFonts w:eastAsia="楷体_GB2312"/>
          <w:b/>
          <w:sz w:val="30"/>
          <w:szCs w:val="30"/>
          <w:u w:val="none"/>
        </w:rPr>
        <w:t>（一）机关运行经费</w:t>
      </w:r>
    </w:p>
    <w:p>
      <w:pPr>
        <w:spacing w:line="600" w:lineRule="exact"/>
        <w:ind w:firstLine="600" w:firstLineChars="200"/>
        <w:rPr>
          <w:rFonts w:eastAsia="仿宋_GB2312"/>
          <w:sz w:val="30"/>
          <w:szCs w:val="30"/>
          <w:u w:val="none"/>
        </w:rPr>
      </w:pPr>
      <w:r>
        <w:rPr>
          <w:rFonts w:eastAsia="仿宋_GB2312"/>
          <w:sz w:val="30"/>
          <w:szCs w:val="30"/>
          <w:u w:val="none"/>
        </w:rPr>
        <w:t>本部门20</w:t>
      </w:r>
      <w:r>
        <w:rPr>
          <w:rFonts w:hint="eastAsia" w:eastAsia="仿宋_GB2312"/>
          <w:sz w:val="30"/>
          <w:szCs w:val="30"/>
          <w:u w:val="none"/>
        </w:rPr>
        <w:t>22</w:t>
      </w:r>
      <w:r>
        <w:rPr>
          <w:rFonts w:eastAsia="仿宋_GB2312"/>
          <w:sz w:val="30"/>
          <w:szCs w:val="30"/>
          <w:u w:val="none"/>
        </w:rPr>
        <w:t>年安排机关运行经费预算</w:t>
      </w:r>
      <w:r>
        <w:rPr>
          <w:rFonts w:hint="eastAsia" w:eastAsia="仿宋_GB2312"/>
          <w:sz w:val="30"/>
          <w:szCs w:val="30"/>
          <w:u w:val="none"/>
          <w:lang w:val="en-US" w:eastAsia="zh-CN"/>
        </w:rPr>
        <w:t>62.34</w:t>
      </w:r>
      <w:r>
        <w:rPr>
          <w:rFonts w:eastAsia="仿宋_GB2312"/>
          <w:sz w:val="30"/>
          <w:szCs w:val="30"/>
          <w:u w:val="none"/>
        </w:rPr>
        <w:t>万元</w:t>
      </w:r>
      <w:r>
        <w:rPr>
          <w:rFonts w:hint="eastAsia" w:eastAsia="仿宋_GB2312"/>
          <w:sz w:val="30"/>
          <w:szCs w:val="30"/>
          <w:u w:val="none"/>
        </w:rPr>
        <w:t>，包括办公费</w:t>
      </w:r>
      <w:r>
        <w:rPr>
          <w:rFonts w:hint="eastAsia" w:eastAsia="仿宋_GB2312"/>
          <w:sz w:val="30"/>
          <w:szCs w:val="30"/>
          <w:u w:val="none"/>
          <w:lang w:val="en-US" w:eastAsia="zh-CN"/>
        </w:rPr>
        <w:t>7.40</w:t>
      </w:r>
      <w:r>
        <w:rPr>
          <w:rFonts w:hint="eastAsia" w:eastAsia="仿宋_GB2312"/>
          <w:sz w:val="30"/>
          <w:szCs w:val="30"/>
          <w:u w:val="none"/>
        </w:rPr>
        <w:t>万元、邮电费</w:t>
      </w:r>
      <w:r>
        <w:rPr>
          <w:rFonts w:hint="eastAsia" w:eastAsia="仿宋_GB2312"/>
          <w:sz w:val="30"/>
          <w:szCs w:val="30"/>
          <w:u w:val="none"/>
          <w:lang w:val="en-US" w:eastAsia="zh-CN"/>
        </w:rPr>
        <w:t>1.00</w:t>
      </w:r>
      <w:r>
        <w:rPr>
          <w:rFonts w:hint="eastAsia" w:eastAsia="仿宋_GB2312"/>
          <w:sz w:val="30"/>
          <w:szCs w:val="30"/>
          <w:u w:val="none"/>
        </w:rPr>
        <w:t>万元、</w:t>
      </w:r>
      <w:r>
        <w:rPr>
          <w:rFonts w:hint="eastAsia" w:eastAsia="仿宋_GB2312"/>
          <w:sz w:val="30"/>
          <w:szCs w:val="30"/>
          <w:u w:val="none"/>
          <w:lang w:eastAsia="zh-CN"/>
        </w:rPr>
        <w:t>取暖费</w:t>
      </w:r>
      <w:r>
        <w:rPr>
          <w:rFonts w:hint="eastAsia" w:eastAsia="仿宋_GB2312"/>
          <w:sz w:val="30"/>
          <w:szCs w:val="30"/>
          <w:u w:val="none"/>
          <w:lang w:val="en-US" w:eastAsia="zh-CN"/>
        </w:rPr>
        <w:t>8.00万元、物业管理费21.99万元、</w:t>
      </w:r>
      <w:r>
        <w:rPr>
          <w:rFonts w:hint="eastAsia" w:eastAsia="仿宋_GB2312"/>
          <w:sz w:val="30"/>
          <w:szCs w:val="30"/>
          <w:u w:val="none"/>
        </w:rPr>
        <w:t>公务接待费0.</w:t>
      </w:r>
      <w:r>
        <w:rPr>
          <w:rFonts w:hint="eastAsia" w:eastAsia="仿宋_GB2312"/>
          <w:sz w:val="30"/>
          <w:szCs w:val="30"/>
          <w:u w:val="none"/>
          <w:lang w:val="en-US" w:eastAsia="zh-CN"/>
        </w:rPr>
        <w:t>19</w:t>
      </w:r>
      <w:r>
        <w:rPr>
          <w:rFonts w:hint="eastAsia" w:eastAsia="仿宋_GB2312"/>
          <w:sz w:val="30"/>
          <w:szCs w:val="30"/>
          <w:u w:val="none"/>
        </w:rPr>
        <w:t>万元、工会经费</w:t>
      </w:r>
      <w:r>
        <w:rPr>
          <w:rFonts w:hint="eastAsia" w:eastAsia="仿宋_GB2312"/>
          <w:sz w:val="30"/>
          <w:szCs w:val="30"/>
          <w:u w:val="none"/>
          <w:lang w:val="en-US" w:eastAsia="zh-CN"/>
        </w:rPr>
        <w:t>1.37</w:t>
      </w:r>
      <w:r>
        <w:rPr>
          <w:rFonts w:hint="eastAsia" w:eastAsia="仿宋_GB2312"/>
          <w:sz w:val="30"/>
          <w:szCs w:val="30"/>
          <w:u w:val="none"/>
        </w:rPr>
        <w:t>万元、福利费</w:t>
      </w:r>
      <w:r>
        <w:rPr>
          <w:rFonts w:hint="eastAsia" w:eastAsia="仿宋_GB2312"/>
          <w:sz w:val="30"/>
          <w:szCs w:val="30"/>
          <w:u w:val="none"/>
          <w:lang w:val="en-US" w:eastAsia="zh-CN"/>
        </w:rPr>
        <w:t>5.02</w:t>
      </w:r>
      <w:r>
        <w:rPr>
          <w:rFonts w:hint="eastAsia" w:eastAsia="仿宋_GB2312"/>
          <w:sz w:val="30"/>
          <w:szCs w:val="30"/>
          <w:u w:val="none"/>
        </w:rPr>
        <w:t>万元、其他交通费用</w:t>
      </w:r>
      <w:r>
        <w:rPr>
          <w:rFonts w:hint="eastAsia" w:eastAsia="仿宋_GB2312"/>
          <w:sz w:val="30"/>
          <w:szCs w:val="30"/>
          <w:u w:val="none"/>
          <w:lang w:val="en-US" w:eastAsia="zh-CN"/>
        </w:rPr>
        <w:t>11.05</w:t>
      </w:r>
      <w:r>
        <w:rPr>
          <w:rFonts w:hint="eastAsia" w:eastAsia="仿宋_GB2312"/>
          <w:sz w:val="30"/>
          <w:szCs w:val="30"/>
          <w:u w:val="none"/>
        </w:rPr>
        <w:t>万元以及其他费用</w:t>
      </w:r>
      <w:r>
        <w:rPr>
          <w:rFonts w:hint="eastAsia" w:eastAsia="仿宋_GB2312"/>
          <w:sz w:val="30"/>
          <w:szCs w:val="30"/>
          <w:u w:val="none"/>
          <w:lang w:val="en-US" w:eastAsia="zh-CN"/>
        </w:rPr>
        <w:t>6.32</w:t>
      </w:r>
      <w:r>
        <w:rPr>
          <w:rFonts w:hint="eastAsia" w:eastAsia="仿宋_GB2312"/>
          <w:sz w:val="30"/>
          <w:szCs w:val="30"/>
          <w:u w:val="none"/>
        </w:rPr>
        <w:t>万元。</w:t>
      </w:r>
    </w:p>
    <w:p>
      <w:pPr>
        <w:spacing w:line="600" w:lineRule="exact"/>
        <w:ind w:firstLine="602" w:firstLineChars="200"/>
        <w:rPr>
          <w:rFonts w:eastAsia="楷体_GB2312"/>
          <w:b/>
          <w:sz w:val="30"/>
          <w:szCs w:val="30"/>
          <w:u w:val="none"/>
        </w:rPr>
      </w:pPr>
      <w:r>
        <w:rPr>
          <w:rFonts w:eastAsia="楷体_GB2312"/>
          <w:b/>
          <w:sz w:val="30"/>
          <w:szCs w:val="30"/>
          <w:u w:val="none"/>
        </w:rPr>
        <w:t>（二）政府采购情况</w:t>
      </w:r>
    </w:p>
    <w:p>
      <w:pPr>
        <w:spacing w:line="600" w:lineRule="exact"/>
        <w:ind w:firstLine="600" w:firstLineChars="200"/>
        <w:rPr>
          <w:rFonts w:hint="eastAsia" w:eastAsia="仿宋_GB2312"/>
          <w:sz w:val="30"/>
          <w:szCs w:val="30"/>
          <w:u w:val="none"/>
        </w:rPr>
      </w:pPr>
      <w:r>
        <w:rPr>
          <w:rFonts w:hint="eastAsia" w:eastAsia="仿宋_GB2312"/>
          <w:sz w:val="30"/>
          <w:szCs w:val="30"/>
          <w:u w:val="none"/>
        </w:rPr>
        <w:t>本部门2022年未安排政府采购预算。</w:t>
      </w:r>
    </w:p>
    <w:p>
      <w:pPr>
        <w:spacing w:line="580" w:lineRule="exact"/>
        <w:ind w:firstLine="602" w:firstLineChars="200"/>
        <w:rPr>
          <w:rFonts w:eastAsia="楷体_GB2312"/>
          <w:b/>
          <w:sz w:val="30"/>
          <w:szCs w:val="30"/>
          <w:u w:val="none"/>
        </w:rPr>
      </w:pPr>
      <w:r>
        <w:rPr>
          <w:rFonts w:eastAsia="楷体_GB2312"/>
          <w:b/>
          <w:sz w:val="30"/>
          <w:szCs w:val="30"/>
          <w:u w:val="none"/>
        </w:rPr>
        <w:t>（</w:t>
      </w:r>
      <w:r>
        <w:rPr>
          <w:rFonts w:hint="eastAsia" w:eastAsia="楷体_GB2312"/>
          <w:b/>
          <w:sz w:val="30"/>
          <w:szCs w:val="30"/>
          <w:u w:val="none"/>
        </w:rPr>
        <w:t>三</w:t>
      </w:r>
      <w:r>
        <w:rPr>
          <w:rFonts w:eastAsia="楷体_GB2312"/>
          <w:b/>
          <w:sz w:val="30"/>
          <w:szCs w:val="30"/>
          <w:u w:val="none"/>
        </w:rPr>
        <w:t>）</w:t>
      </w:r>
      <w:r>
        <w:rPr>
          <w:rFonts w:hint="eastAsia" w:eastAsia="楷体_GB2312"/>
          <w:b/>
          <w:sz w:val="30"/>
          <w:szCs w:val="30"/>
          <w:u w:val="none"/>
        </w:rPr>
        <w:t>国有资产占用情况</w:t>
      </w:r>
    </w:p>
    <w:p>
      <w:pPr>
        <w:spacing w:line="580" w:lineRule="exact"/>
        <w:ind w:firstLine="600" w:firstLineChars="200"/>
        <w:jc w:val="both"/>
        <w:rPr>
          <w:rFonts w:ascii="仿宋_GB2312" w:hAnsi="宋体" w:eastAsia="仿宋_GB2312" w:cs="仿宋_GB2312"/>
          <w:color w:val="000000"/>
          <w:sz w:val="30"/>
          <w:szCs w:val="30"/>
          <w:u w:val="none"/>
        </w:rPr>
      </w:pPr>
      <w:r>
        <w:rPr>
          <w:rFonts w:eastAsia="仿宋_GB2312"/>
          <w:color w:val="000000"/>
          <w:sz w:val="30"/>
          <w:szCs w:val="30"/>
          <w:u w:val="none"/>
        </w:rPr>
        <w:t>截至20</w:t>
      </w:r>
      <w:r>
        <w:rPr>
          <w:rFonts w:hint="eastAsia" w:eastAsia="仿宋_GB2312"/>
          <w:color w:val="000000"/>
          <w:sz w:val="30"/>
          <w:szCs w:val="30"/>
          <w:u w:val="none"/>
        </w:rPr>
        <w:t>21</w:t>
      </w:r>
      <w:r>
        <w:rPr>
          <w:rFonts w:eastAsia="仿宋_GB2312"/>
          <w:color w:val="000000"/>
          <w:sz w:val="30"/>
          <w:szCs w:val="30"/>
          <w:u w:val="none"/>
        </w:rPr>
        <w:t>年</w:t>
      </w:r>
      <w:r>
        <w:rPr>
          <w:rFonts w:hint="eastAsia" w:eastAsia="仿宋_GB2312"/>
          <w:color w:val="000000"/>
          <w:sz w:val="30"/>
          <w:szCs w:val="30"/>
          <w:u w:val="none"/>
        </w:rPr>
        <w:t>7月底</w:t>
      </w:r>
      <w:r>
        <w:rPr>
          <w:rFonts w:eastAsia="仿宋_GB2312"/>
          <w:color w:val="000000"/>
          <w:sz w:val="30"/>
          <w:szCs w:val="30"/>
          <w:u w:val="none"/>
        </w:rPr>
        <w:t>，</w:t>
      </w:r>
      <w:r>
        <w:rPr>
          <w:rFonts w:hint="eastAsia" w:eastAsia="仿宋_GB2312"/>
          <w:sz w:val="30"/>
          <w:szCs w:val="30"/>
          <w:u w:val="none"/>
        </w:rPr>
        <w:t>本</w:t>
      </w:r>
      <w:r>
        <w:rPr>
          <w:rFonts w:eastAsia="仿宋_GB2312"/>
          <w:sz w:val="30"/>
          <w:szCs w:val="30"/>
          <w:u w:val="none"/>
        </w:rPr>
        <w:t>部门</w:t>
      </w:r>
      <w:r>
        <w:rPr>
          <w:rFonts w:eastAsia="仿宋_GB2312"/>
          <w:color w:val="000000"/>
          <w:sz w:val="30"/>
          <w:szCs w:val="30"/>
          <w:u w:val="none"/>
        </w:rPr>
        <w:t>各单位共有车辆</w:t>
      </w:r>
      <w:r>
        <w:rPr>
          <w:rFonts w:hint="eastAsia" w:eastAsia="仿宋_GB2312"/>
          <w:sz w:val="30"/>
          <w:szCs w:val="30"/>
          <w:u w:val="none"/>
          <w:lang w:val="en-US" w:eastAsia="zh-CN"/>
        </w:rPr>
        <w:t>0</w:t>
      </w:r>
      <w:r>
        <w:rPr>
          <w:rFonts w:eastAsia="仿宋_GB2312"/>
          <w:color w:val="000000"/>
          <w:sz w:val="30"/>
          <w:szCs w:val="30"/>
          <w:u w:val="none"/>
        </w:rPr>
        <w:t>辆，</w:t>
      </w:r>
      <w:r>
        <w:rPr>
          <w:rFonts w:hint="eastAsia" w:ascii="仿宋_GB2312" w:hAnsi="宋体" w:eastAsia="仿宋_GB2312" w:cs="仿宋_GB2312"/>
          <w:color w:val="000000"/>
          <w:sz w:val="30"/>
          <w:szCs w:val="30"/>
          <w:u w:val="none"/>
        </w:rPr>
        <w:t>其中：副部（省）级及以上领导用车</w:t>
      </w:r>
      <w:r>
        <w:rPr>
          <w:rFonts w:hint="eastAsia" w:ascii="仿宋_GB2312" w:eastAsia="仿宋_GB2312"/>
          <w:sz w:val="30"/>
          <w:szCs w:val="30"/>
          <w:u w:val="none"/>
          <w:lang w:val="en-US" w:eastAsia="zh-CN"/>
        </w:rPr>
        <w:t>0</w:t>
      </w:r>
      <w:r>
        <w:rPr>
          <w:rFonts w:hint="eastAsia" w:ascii="仿宋_GB2312" w:hAnsi="宋体" w:eastAsia="仿宋_GB2312" w:cs="仿宋_GB2312"/>
          <w:color w:val="000000"/>
          <w:sz w:val="30"/>
          <w:szCs w:val="30"/>
          <w:u w:val="none"/>
        </w:rPr>
        <w:t>辆、主要领导干部用车</w:t>
      </w:r>
      <w:r>
        <w:rPr>
          <w:rFonts w:hint="eastAsia" w:ascii="仿宋_GB2312" w:eastAsia="仿宋_GB2312"/>
          <w:sz w:val="30"/>
          <w:szCs w:val="30"/>
          <w:u w:val="none"/>
          <w:lang w:val="en-US" w:eastAsia="zh-CN"/>
        </w:rPr>
        <w:t>0</w:t>
      </w:r>
      <w:r>
        <w:rPr>
          <w:rFonts w:hint="eastAsia" w:ascii="仿宋_GB2312" w:hAnsi="宋体" w:eastAsia="仿宋_GB2312" w:cs="仿宋_GB2312"/>
          <w:color w:val="000000"/>
          <w:sz w:val="30"/>
          <w:szCs w:val="30"/>
          <w:u w:val="none"/>
        </w:rPr>
        <w:t>辆、机要通信用车</w:t>
      </w:r>
      <w:r>
        <w:rPr>
          <w:rFonts w:hint="eastAsia" w:ascii="仿宋_GB2312" w:eastAsia="仿宋_GB2312"/>
          <w:sz w:val="30"/>
          <w:szCs w:val="30"/>
          <w:u w:val="none"/>
          <w:lang w:val="en-US" w:eastAsia="zh-CN"/>
        </w:rPr>
        <w:t>0</w:t>
      </w:r>
      <w:r>
        <w:rPr>
          <w:rFonts w:hint="eastAsia" w:ascii="仿宋_GB2312" w:eastAsia="仿宋_GB2312"/>
          <w:sz w:val="30"/>
          <w:szCs w:val="30"/>
          <w:u w:val="none"/>
        </w:rPr>
        <w:t>辆、应急保障用车</w:t>
      </w:r>
      <w:r>
        <w:rPr>
          <w:rFonts w:hint="eastAsia" w:ascii="仿宋_GB2312" w:eastAsia="仿宋_GB2312"/>
          <w:sz w:val="30"/>
          <w:szCs w:val="30"/>
          <w:u w:val="none"/>
          <w:lang w:val="en-US" w:eastAsia="zh-CN"/>
        </w:rPr>
        <w:t>0</w:t>
      </w:r>
      <w:r>
        <w:rPr>
          <w:rFonts w:hint="eastAsia" w:ascii="仿宋_GB2312" w:eastAsia="仿宋_GB2312"/>
          <w:sz w:val="30"/>
          <w:szCs w:val="30"/>
          <w:u w:val="none"/>
        </w:rPr>
        <w:t>辆、执法执勤用车</w:t>
      </w:r>
      <w:r>
        <w:rPr>
          <w:rFonts w:hint="eastAsia" w:ascii="仿宋_GB2312" w:eastAsia="仿宋_GB2312"/>
          <w:sz w:val="30"/>
          <w:szCs w:val="30"/>
          <w:u w:val="none"/>
          <w:lang w:val="en-US" w:eastAsia="zh-CN"/>
        </w:rPr>
        <w:t>0</w:t>
      </w:r>
      <w:r>
        <w:rPr>
          <w:rFonts w:hint="eastAsia" w:ascii="仿宋_GB2312" w:eastAsia="仿宋_GB2312"/>
          <w:sz w:val="30"/>
          <w:szCs w:val="30"/>
          <w:u w:val="none"/>
        </w:rPr>
        <w:t>辆、特种专业技术用车</w:t>
      </w:r>
      <w:r>
        <w:rPr>
          <w:rFonts w:hint="eastAsia" w:ascii="仿宋_GB2312" w:eastAsia="仿宋_GB2312"/>
          <w:sz w:val="30"/>
          <w:szCs w:val="30"/>
          <w:u w:val="none"/>
          <w:lang w:val="en-US" w:eastAsia="zh-CN"/>
        </w:rPr>
        <w:t>0</w:t>
      </w:r>
      <w:r>
        <w:rPr>
          <w:rFonts w:hint="eastAsia" w:ascii="仿宋_GB2312" w:eastAsia="仿宋_GB2312"/>
          <w:sz w:val="30"/>
          <w:szCs w:val="30"/>
          <w:u w:val="none"/>
        </w:rPr>
        <w:t>辆、离退休干部用车</w:t>
      </w:r>
      <w:r>
        <w:rPr>
          <w:rFonts w:hint="eastAsia" w:ascii="仿宋_GB2312" w:eastAsia="仿宋_GB2312"/>
          <w:sz w:val="30"/>
          <w:szCs w:val="30"/>
          <w:u w:val="none"/>
          <w:lang w:val="en-US" w:eastAsia="zh-CN"/>
        </w:rPr>
        <w:t>0</w:t>
      </w:r>
      <w:r>
        <w:rPr>
          <w:rFonts w:hint="eastAsia" w:ascii="仿宋_GB2312" w:eastAsia="仿宋_GB2312"/>
          <w:sz w:val="30"/>
          <w:szCs w:val="30"/>
          <w:u w:val="none"/>
        </w:rPr>
        <w:t>辆、</w:t>
      </w:r>
      <w:r>
        <w:rPr>
          <w:rFonts w:hint="eastAsia" w:ascii="仿宋_GB2312" w:hAnsi="宋体" w:eastAsia="仿宋_GB2312" w:cs="仿宋_GB2312"/>
          <w:color w:val="000000"/>
          <w:sz w:val="30"/>
          <w:szCs w:val="30"/>
          <w:u w:val="none"/>
        </w:rPr>
        <w:t>其他用车</w:t>
      </w:r>
      <w:r>
        <w:rPr>
          <w:rFonts w:hint="eastAsia" w:ascii="仿宋_GB2312" w:hAnsi="宋体" w:eastAsia="仿宋_GB2312" w:cs="仿宋_GB2312"/>
          <w:color w:val="000000"/>
          <w:sz w:val="30"/>
          <w:szCs w:val="30"/>
          <w:u w:val="none"/>
          <w:lang w:val="en-US" w:eastAsia="zh-CN"/>
        </w:rPr>
        <w:t>0</w:t>
      </w:r>
      <w:r>
        <w:rPr>
          <w:rFonts w:hint="eastAsia" w:ascii="仿宋_GB2312" w:hAnsi="宋体" w:eastAsia="仿宋_GB2312" w:cs="仿宋_GB2312"/>
          <w:color w:val="000000"/>
          <w:sz w:val="30"/>
          <w:szCs w:val="30"/>
          <w:u w:val="none"/>
        </w:rPr>
        <w:t>辆，</w:t>
      </w:r>
      <w:r>
        <w:rPr>
          <w:rFonts w:ascii="仿宋_GB2312" w:eastAsia="仿宋_GB2312"/>
          <w:sz w:val="30"/>
          <w:szCs w:val="30"/>
          <w:u w:val="none"/>
        </w:rPr>
        <w:t>其他用车主要包括</w:t>
      </w:r>
      <w:r>
        <w:rPr>
          <w:rFonts w:hint="eastAsia" w:ascii="仿宋_GB2312" w:eastAsia="仿宋_GB2312"/>
          <w:sz w:val="30"/>
          <w:szCs w:val="30"/>
          <w:u w:val="none"/>
          <w:lang w:eastAsia="zh-CN"/>
        </w:rPr>
        <w:t>无</w:t>
      </w:r>
      <w:r>
        <w:rPr>
          <w:rFonts w:hint="eastAsia" w:ascii="仿宋_GB2312" w:hAnsi="宋体" w:eastAsia="仿宋_GB2312" w:cs="仿宋_GB2312"/>
          <w:color w:val="000000"/>
          <w:sz w:val="30"/>
          <w:szCs w:val="30"/>
          <w:u w:val="none"/>
        </w:rPr>
        <w:t>。单价50万元以上的通用设备</w:t>
      </w:r>
      <w:r>
        <w:rPr>
          <w:rFonts w:hint="eastAsia" w:ascii="仿宋_GB2312" w:eastAsia="仿宋_GB2312"/>
          <w:sz w:val="30"/>
          <w:szCs w:val="30"/>
          <w:u w:val="none"/>
          <w:lang w:val="en-US" w:eastAsia="zh-CN"/>
        </w:rPr>
        <w:t>0</w:t>
      </w:r>
      <w:r>
        <w:rPr>
          <w:rFonts w:hint="eastAsia" w:ascii="仿宋_GB2312" w:hAnsi="宋体" w:eastAsia="仿宋_GB2312" w:cs="仿宋_GB2312"/>
          <w:color w:val="000000"/>
          <w:sz w:val="30"/>
          <w:szCs w:val="30"/>
          <w:u w:val="none"/>
        </w:rPr>
        <w:t>台（套），单价100万元以上的专用设备</w:t>
      </w:r>
      <w:r>
        <w:rPr>
          <w:rFonts w:hint="eastAsia" w:ascii="仿宋_GB2312" w:eastAsia="仿宋_GB2312"/>
          <w:sz w:val="30"/>
          <w:szCs w:val="30"/>
          <w:u w:val="none"/>
          <w:lang w:val="en-US" w:eastAsia="zh-CN"/>
        </w:rPr>
        <w:t>0</w:t>
      </w:r>
      <w:r>
        <w:rPr>
          <w:rFonts w:hint="eastAsia" w:ascii="仿宋_GB2312" w:hAnsi="宋体" w:eastAsia="仿宋_GB2312" w:cs="仿宋_GB2312"/>
          <w:color w:val="000000"/>
          <w:sz w:val="30"/>
          <w:szCs w:val="30"/>
          <w:u w:val="none"/>
        </w:rPr>
        <w:t>台（套）。</w:t>
      </w:r>
    </w:p>
    <w:p>
      <w:pPr>
        <w:spacing w:line="600" w:lineRule="exact"/>
        <w:ind w:firstLine="602" w:firstLineChars="200"/>
        <w:rPr>
          <w:rFonts w:eastAsia="楷体_GB2312"/>
          <w:b/>
          <w:sz w:val="30"/>
          <w:szCs w:val="30"/>
          <w:u w:val="none"/>
        </w:rPr>
      </w:pPr>
      <w:r>
        <w:rPr>
          <w:rFonts w:eastAsia="楷体_GB2312"/>
          <w:b/>
          <w:sz w:val="30"/>
          <w:szCs w:val="30"/>
          <w:u w:val="none"/>
        </w:rPr>
        <w:t>（</w:t>
      </w:r>
      <w:r>
        <w:rPr>
          <w:rFonts w:hint="eastAsia" w:eastAsia="楷体_GB2312"/>
          <w:b/>
          <w:sz w:val="30"/>
          <w:szCs w:val="30"/>
          <w:u w:val="none"/>
        </w:rPr>
        <w:t>四</w:t>
      </w:r>
      <w:r>
        <w:rPr>
          <w:rFonts w:eastAsia="楷体_GB2312"/>
          <w:b/>
          <w:sz w:val="30"/>
          <w:szCs w:val="30"/>
          <w:u w:val="none"/>
        </w:rPr>
        <w:t>）</w:t>
      </w:r>
      <w:r>
        <w:rPr>
          <w:rFonts w:hint="eastAsia" w:eastAsia="楷体_GB2312"/>
          <w:b/>
          <w:sz w:val="30"/>
          <w:szCs w:val="30"/>
          <w:u w:val="none"/>
        </w:rPr>
        <w:t>绩效目标设置情况</w:t>
      </w:r>
    </w:p>
    <w:p>
      <w:pPr>
        <w:spacing w:line="580" w:lineRule="exact"/>
        <w:ind w:firstLine="600" w:firstLineChars="200"/>
        <w:jc w:val="both"/>
        <w:rPr>
          <w:rFonts w:eastAsia="仿宋_GB2312"/>
          <w:color w:val="000000"/>
          <w:sz w:val="30"/>
          <w:szCs w:val="30"/>
          <w:u w:val="none"/>
        </w:rPr>
      </w:pPr>
      <w:r>
        <w:rPr>
          <w:rFonts w:eastAsia="仿宋_GB2312"/>
          <w:color w:val="000000"/>
          <w:sz w:val="30"/>
          <w:szCs w:val="30"/>
          <w:u w:val="none"/>
        </w:rPr>
        <w:t>20</w:t>
      </w:r>
      <w:r>
        <w:rPr>
          <w:rFonts w:hint="eastAsia" w:eastAsia="仿宋_GB2312"/>
          <w:color w:val="000000"/>
          <w:sz w:val="30"/>
          <w:szCs w:val="30"/>
          <w:u w:val="none"/>
        </w:rPr>
        <w:t>22</w:t>
      </w:r>
      <w:r>
        <w:rPr>
          <w:rFonts w:eastAsia="仿宋_GB2312"/>
          <w:color w:val="000000"/>
          <w:sz w:val="30"/>
          <w:szCs w:val="30"/>
          <w:u w:val="none"/>
        </w:rPr>
        <w:t>年，本部门实行绩效目标管理的项目</w:t>
      </w:r>
      <w:r>
        <w:rPr>
          <w:rFonts w:hint="eastAsia" w:eastAsia="仿宋_GB2312"/>
          <w:sz w:val="30"/>
          <w:szCs w:val="30"/>
          <w:u w:val="none"/>
          <w:lang w:val="en-US" w:eastAsia="zh-CN"/>
        </w:rPr>
        <w:t>2</w:t>
      </w:r>
      <w:r>
        <w:rPr>
          <w:rFonts w:eastAsia="仿宋_GB2312"/>
          <w:color w:val="000000"/>
          <w:sz w:val="30"/>
          <w:szCs w:val="30"/>
          <w:u w:val="none"/>
        </w:rPr>
        <w:t>个，涉及预算金额</w:t>
      </w:r>
      <w:r>
        <w:rPr>
          <w:rFonts w:hint="eastAsia" w:eastAsia="仿宋_GB2312"/>
          <w:sz w:val="30"/>
          <w:szCs w:val="30"/>
          <w:u w:val="none"/>
          <w:lang w:val="en-US" w:eastAsia="zh-CN"/>
        </w:rPr>
        <w:t>306.6</w:t>
      </w:r>
      <w:r>
        <w:rPr>
          <w:rFonts w:eastAsia="仿宋_GB2312"/>
          <w:color w:val="000000"/>
          <w:sz w:val="30"/>
          <w:szCs w:val="30"/>
          <w:u w:val="none"/>
        </w:rPr>
        <w:t>万元</w:t>
      </w:r>
      <w:r>
        <w:rPr>
          <w:rFonts w:hint="eastAsia" w:eastAsia="仿宋_GB2312"/>
          <w:color w:val="000000"/>
          <w:sz w:val="30"/>
          <w:szCs w:val="30"/>
          <w:u w:val="none"/>
        </w:rPr>
        <w:t>。</w:t>
      </w:r>
    </w:p>
    <w:p>
      <w:pPr>
        <w:spacing w:line="600" w:lineRule="exact"/>
        <w:ind w:firstLine="602" w:firstLineChars="200"/>
        <w:rPr>
          <w:rFonts w:eastAsia="楷体_GB2312"/>
          <w:b/>
          <w:sz w:val="30"/>
          <w:szCs w:val="30"/>
          <w:u w:val="none"/>
        </w:rPr>
      </w:pPr>
      <w:r>
        <w:rPr>
          <w:rFonts w:eastAsia="楷体_GB2312"/>
          <w:b/>
          <w:sz w:val="30"/>
          <w:szCs w:val="30"/>
          <w:u w:val="none"/>
        </w:rPr>
        <w:t>（</w:t>
      </w:r>
      <w:r>
        <w:rPr>
          <w:rFonts w:hint="eastAsia" w:eastAsia="楷体_GB2312"/>
          <w:b/>
          <w:sz w:val="30"/>
          <w:szCs w:val="30"/>
          <w:u w:val="none"/>
        </w:rPr>
        <w:t>五</w:t>
      </w:r>
      <w:r>
        <w:rPr>
          <w:rFonts w:eastAsia="楷体_GB2312"/>
          <w:b/>
          <w:sz w:val="30"/>
          <w:szCs w:val="30"/>
          <w:u w:val="none"/>
        </w:rPr>
        <w:t>）专业性名词解释</w:t>
      </w:r>
    </w:p>
    <w:p>
      <w:pPr>
        <w:spacing w:line="580" w:lineRule="exact"/>
        <w:ind w:firstLine="600" w:firstLineChars="200"/>
        <w:rPr>
          <w:rFonts w:eastAsia="仿宋_GB2312"/>
          <w:sz w:val="30"/>
          <w:szCs w:val="30"/>
          <w:u w:val="none"/>
        </w:rPr>
      </w:pPr>
      <w:r>
        <w:rPr>
          <w:rFonts w:eastAsia="仿宋_GB2312"/>
          <w:sz w:val="30"/>
          <w:szCs w:val="30"/>
          <w:u w:val="none"/>
        </w:rPr>
        <w:t>1.</w:t>
      </w:r>
      <w:r>
        <w:rPr>
          <w:rFonts w:hint="eastAsia" w:eastAsia="仿宋_GB2312"/>
          <w:sz w:val="30"/>
          <w:szCs w:val="30"/>
          <w:u w:val="none"/>
        </w:rPr>
        <w:t>部门预算。是指主管预算部门依据相关法律、法规和政策规定及其行使职能需要，组织所属预算单位编制并逐级上报、审核、汇总，经财政部门审核后按程序依法批准的部门综合收支计划。</w:t>
      </w:r>
    </w:p>
    <w:p>
      <w:pPr>
        <w:spacing w:line="600" w:lineRule="exact"/>
        <w:ind w:firstLine="602" w:firstLineChars="200"/>
        <w:rPr>
          <w:rFonts w:eastAsia="楷体_GB2312"/>
          <w:b/>
          <w:sz w:val="30"/>
          <w:szCs w:val="30"/>
          <w:u w:val="none"/>
        </w:rPr>
      </w:pPr>
      <w:r>
        <w:rPr>
          <w:rFonts w:eastAsia="楷体_GB2312"/>
          <w:b/>
          <w:sz w:val="30"/>
          <w:szCs w:val="30"/>
          <w:u w:val="none"/>
        </w:rPr>
        <w:t>（</w:t>
      </w:r>
      <w:r>
        <w:rPr>
          <w:rFonts w:hint="eastAsia" w:eastAsia="楷体_GB2312"/>
          <w:b/>
          <w:sz w:val="30"/>
          <w:szCs w:val="30"/>
          <w:u w:val="none"/>
        </w:rPr>
        <w:t>六</w:t>
      </w:r>
      <w:r>
        <w:rPr>
          <w:rFonts w:eastAsia="楷体_GB2312"/>
          <w:b/>
          <w:sz w:val="30"/>
          <w:szCs w:val="30"/>
          <w:u w:val="none"/>
        </w:rPr>
        <w:t>）</w:t>
      </w:r>
      <w:r>
        <w:rPr>
          <w:rFonts w:hint="eastAsia" w:eastAsia="楷体_GB2312"/>
          <w:b/>
          <w:sz w:val="30"/>
          <w:szCs w:val="30"/>
          <w:u w:val="none"/>
        </w:rPr>
        <w:t>关于空表的说明</w:t>
      </w:r>
    </w:p>
    <w:p>
      <w:pPr>
        <w:spacing w:line="580" w:lineRule="exact"/>
        <w:ind w:firstLine="600" w:firstLineChars="200"/>
        <w:rPr>
          <w:rFonts w:hint="eastAsia" w:eastAsia="仿宋_GB2312"/>
          <w:sz w:val="30"/>
          <w:szCs w:val="30"/>
          <w:u w:val="none"/>
        </w:rPr>
      </w:pPr>
      <w:r>
        <w:rPr>
          <w:rFonts w:hint="eastAsia" w:eastAsia="仿宋_GB2312"/>
          <w:sz w:val="30"/>
          <w:szCs w:val="30"/>
          <w:u w:val="none"/>
        </w:rPr>
        <w:t>1.本部门2022年政府性基金预算支出情况表为空表。</w:t>
      </w:r>
    </w:p>
    <w:p>
      <w:pPr>
        <w:spacing w:line="580" w:lineRule="exact"/>
        <w:ind w:firstLine="600" w:firstLineChars="200"/>
        <w:rPr>
          <w:rFonts w:eastAsia="仿宋_GB2312"/>
          <w:sz w:val="30"/>
          <w:szCs w:val="30"/>
        </w:rPr>
      </w:pPr>
    </w:p>
    <w:p>
      <w:pPr>
        <w:spacing w:line="580" w:lineRule="exact"/>
        <w:ind w:firstLine="1800" w:firstLineChars="500"/>
        <w:rPr>
          <w:rFonts w:eastAsia="黑体"/>
          <w:sz w:val="36"/>
          <w:szCs w:val="36"/>
        </w:rPr>
      </w:pPr>
    </w:p>
    <w:p>
      <w:pPr>
        <w:spacing w:line="580" w:lineRule="exact"/>
        <w:rPr>
          <w:rFonts w:eastAsia="黑体"/>
          <w:sz w:val="36"/>
          <w:szCs w:val="36"/>
        </w:rPr>
      </w:pPr>
    </w:p>
    <w:p>
      <w:pPr>
        <w:spacing w:line="580" w:lineRule="exact"/>
        <w:rPr>
          <w:rFonts w:eastAsia="黑体"/>
          <w:sz w:val="36"/>
          <w:szCs w:val="36"/>
        </w:rPr>
      </w:pPr>
    </w:p>
    <w:p>
      <w:pPr>
        <w:spacing w:line="580" w:lineRule="exact"/>
        <w:rPr>
          <w:rFonts w:eastAsia="黑体"/>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S Serif">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11966"/>
    <w:rsid w:val="000E0C14"/>
    <w:rsid w:val="001E52BC"/>
    <w:rsid w:val="004717ED"/>
    <w:rsid w:val="00511966"/>
    <w:rsid w:val="00967103"/>
    <w:rsid w:val="00E01FB7"/>
    <w:rsid w:val="028B50D5"/>
    <w:rsid w:val="059875E3"/>
    <w:rsid w:val="27BB6D05"/>
    <w:rsid w:val="34371773"/>
    <w:rsid w:val="3E5626D6"/>
    <w:rsid w:val="482F1015"/>
    <w:rsid w:val="51346C17"/>
    <w:rsid w:val="65C015C6"/>
    <w:rsid w:val="7AD52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MS Serif" w:hAnsi="MS Serif" w:eastAsia="宋体" w:cs="Times New Roman"/>
      <w:kern w:val="0"/>
      <w:sz w:val="24"/>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adjustRightInd/>
      <w:snapToGrid w:val="0"/>
      <w:spacing w:line="240" w:lineRule="auto"/>
      <w:textAlignment w:val="auto"/>
    </w:pPr>
    <w:rPr>
      <w:rFonts w:asciiTheme="minorHAnsi" w:hAnsiTheme="minorHAnsi" w:eastAsiaTheme="minorEastAsia" w:cstheme="minorBidi"/>
      <w:kern w:val="2"/>
      <w:sz w:val="18"/>
      <w:szCs w:val="18"/>
    </w:rPr>
  </w:style>
  <w:style w:type="paragraph" w:styleId="3">
    <w:name w:val="header"/>
    <w:basedOn w:val="1"/>
    <w:link w:val="6"/>
    <w:unhideWhenUsed/>
    <w:qFormat/>
    <w:uiPriority w:val="99"/>
    <w:pPr>
      <w:pBdr>
        <w:bottom w:val="single" w:color="auto" w:sz="6" w:space="1"/>
      </w:pBdr>
      <w:tabs>
        <w:tab w:val="center" w:pos="4153"/>
        <w:tab w:val="right" w:pos="8306"/>
      </w:tabs>
      <w:adjustRightInd/>
      <w:snapToGrid w:val="0"/>
      <w:spacing w:line="240" w:lineRule="auto"/>
      <w:jc w:val="center"/>
      <w:textAlignment w:val="auto"/>
    </w:pPr>
    <w:rPr>
      <w:rFonts w:asciiTheme="minorHAnsi" w:hAnsiTheme="minorHAnsi" w:eastAsiaTheme="minorEastAsia" w:cstheme="minorBidi"/>
      <w:kern w:val="2"/>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QPGOS.COM</Company>
  <Pages>4</Pages>
  <Words>244</Words>
  <Characters>1391</Characters>
  <Lines>11</Lines>
  <Paragraphs>3</Paragraphs>
  <TotalTime>0</TotalTime>
  <ScaleCrop>false</ScaleCrop>
  <LinksUpToDate>false</LinksUpToDate>
  <CharactersWithSpaces>1632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2021-01-28T09:02:00Z</dcterms:created>
  <dc:creator>Administrator</dc:creator>
  <cp:lastModifiedBy>周拉美</cp:lastModifiedBy>
  <dcterms:modified xsi:type="dcterms:W3CDTF">2023-09-25T01:36:48Z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