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天津市南开区科技创新发展中心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减少预算</w:t>
      </w:r>
      <w:r>
        <w:rPr>
          <w:rFonts w:hint="eastAsia" w:eastAsia="仿宋_GB2312"/>
          <w:sz w:val="30"/>
          <w:szCs w:val="30"/>
          <w:u w:val="single"/>
        </w:rPr>
        <w:t>，节约开支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</w:t>
      </w:r>
      <w:bookmarkStart w:id="0" w:name="_GoBack"/>
      <w:bookmarkEnd w:id="0"/>
      <w:r>
        <w:rPr>
          <w:rFonts w:eastAsia="仿宋_GB2312"/>
          <w:sz w:val="30"/>
          <w:szCs w:val="30"/>
        </w:rPr>
        <w:t>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557C42"/>
    <w:rsid w:val="009E6F3D"/>
    <w:rsid w:val="00F83782"/>
    <w:rsid w:val="00FB546E"/>
    <w:rsid w:val="1465116E"/>
    <w:rsid w:val="1FA213EE"/>
    <w:rsid w:val="25117DD7"/>
    <w:rsid w:val="53B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周拉美</cp:lastModifiedBy>
  <dcterms:modified xsi:type="dcterms:W3CDTF">2022-08-29T03:03:13Z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