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ind w:firstLine="0" w:firstLineChars="0"/>
        <w:jc w:val="left"/>
        <w:outlineLvl w:val="1"/>
        <w:rPr>
          <w:rFonts w:eastAsia="黑体"/>
          <w:lang w:bidi="zh-CN"/>
        </w:rPr>
      </w:pPr>
      <w:r>
        <w:rPr>
          <w:rFonts w:eastAsia="黑体"/>
        </w:rPr>
        <w:t>津工信</w:t>
      </w:r>
      <w:r>
        <w:rPr>
          <w:rFonts w:hint="eastAsia" w:eastAsia="黑体"/>
        </w:rPr>
        <w:t>财</w:t>
      </w:r>
      <w:r>
        <w:rPr>
          <w:rFonts w:eastAsia="黑体"/>
        </w:rPr>
        <w:t>〔20</w:t>
      </w:r>
      <w:r>
        <w:rPr>
          <w:rFonts w:hint="eastAsia" w:eastAsia="黑体"/>
        </w:rPr>
        <w:t>21</w:t>
      </w:r>
      <w:r>
        <w:rPr>
          <w:rFonts w:eastAsia="黑体"/>
        </w:rPr>
        <w:t>〕13号附件15</w:t>
      </w:r>
    </w:p>
    <w:p>
      <w:pPr>
        <w:pStyle w:val="20"/>
        <w:ind w:firstLine="0" w:firstLineChars="0"/>
        <w:rPr>
          <w:rFonts w:hint="eastAsia" w:eastAsia="方正小标宋简体"/>
          <w:sz w:val="44"/>
          <w:szCs w:val="44"/>
          <w:lang w:bidi="zh-CN"/>
        </w:rPr>
      </w:pPr>
    </w:p>
    <w:p>
      <w:pPr>
        <w:pStyle w:val="20"/>
        <w:ind w:firstLine="0" w:firstLineChars="0"/>
        <w:jc w:val="center"/>
        <w:outlineLvl w:val="2"/>
        <w:rPr>
          <w:rFonts w:hint="eastAsia" w:eastAsia="方正小标宋简体"/>
          <w:sz w:val="44"/>
          <w:szCs w:val="44"/>
          <w:lang w:bidi="zh-CN"/>
        </w:rPr>
      </w:pPr>
      <w:r>
        <w:rPr>
          <w:rFonts w:eastAsia="方正小标宋简体"/>
          <w:sz w:val="44"/>
          <w:szCs w:val="44"/>
          <w:lang w:bidi="zh-CN"/>
        </w:rPr>
        <w:t>202</w:t>
      </w:r>
      <w:r>
        <w:rPr>
          <w:rFonts w:hint="eastAsia" w:eastAsia="方正小标宋简体"/>
          <w:sz w:val="44"/>
          <w:szCs w:val="44"/>
          <w:lang w:bidi="zh-CN"/>
        </w:rPr>
        <w:t>1</w:t>
      </w:r>
      <w:r>
        <w:rPr>
          <w:rFonts w:eastAsia="方正小标宋简体"/>
          <w:sz w:val="44"/>
          <w:szCs w:val="44"/>
          <w:lang w:bidi="zh-CN"/>
        </w:rPr>
        <w:t>年</w:t>
      </w:r>
      <w:r>
        <w:rPr>
          <w:rFonts w:hint="eastAsia" w:eastAsia="方正小标宋简体"/>
          <w:sz w:val="44"/>
          <w:szCs w:val="44"/>
          <w:lang w:bidi="zh-CN"/>
        </w:rPr>
        <w:t>第二批</w:t>
      </w:r>
      <w:r>
        <w:rPr>
          <w:rFonts w:eastAsia="方正小标宋简体"/>
          <w:sz w:val="44"/>
          <w:szCs w:val="44"/>
          <w:lang w:bidi="zh-CN"/>
        </w:rPr>
        <w:t>天津市智能制造专项</w:t>
      </w:r>
    </w:p>
    <w:p>
      <w:pPr>
        <w:pStyle w:val="20"/>
        <w:ind w:firstLine="0" w:firstLineChars="0"/>
        <w:jc w:val="center"/>
        <w:outlineLvl w:val="2"/>
        <w:rPr>
          <w:rFonts w:ascii="方正小标宋简体" w:eastAsia="方正小标宋简体"/>
          <w:sz w:val="44"/>
          <w:szCs w:val="44"/>
          <w:lang w:bidi="zh-CN"/>
        </w:rPr>
      </w:pPr>
      <w:r>
        <w:rPr>
          <w:rFonts w:hint="eastAsia" w:ascii="方正小标宋简体" w:eastAsia="方正小标宋简体"/>
          <w:sz w:val="44"/>
          <w:szCs w:val="44"/>
          <w:lang w:bidi="zh-CN"/>
        </w:rPr>
        <w:t>市级领航企业项目申报指南</w:t>
      </w:r>
    </w:p>
    <w:p>
      <w:pPr>
        <w:pStyle w:val="20"/>
        <w:ind w:firstLine="0" w:firstLineChars="0"/>
        <w:jc w:val="center"/>
        <w:outlineLvl w:val="2"/>
        <w:rPr>
          <w:rFonts w:ascii="方正小标宋简体" w:eastAsia="方正小标宋简体"/>
          <w:sz w:val="44"/>
          <w:szCs w:val="44"/>
          <w:lang w:bidi="zh-CN"/>
        </w:rPr>
      </w:pPr>
    </w:p>
    <w:p>
      <w:pPr>
        <w:pStyle w:val="26"/>
        <w:spacing w:line="560" w:lineRule="exact"/>
        <w:ind w:left="0" w:firstLine="622" w:firstLineChars="200"/>
        <w:jc w:val="left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bookmarkStart w:id="0" w:name="_Hlk71118722"/>
      <w:r>
        <w:rPr>
          <w:rFonts w:eastAsia="仿宋_GB2312"/>
          <w:sz w:val="32"/>
          <w:szCs w:val="32"/>
        </w:rPr>
        <w:t>为推进落实</w:t>
      </w:r>
      <w:r>
        <w:rPr>
          <w:rFonts w:hint="eastAsia" w:eastAsia="仿宋_GB2312"/>
          <w:sz w:val="32"/>
          <w:szCs w:val="32"/>
        </w:rPr>
        <w:t>《天津市关于进一步支持发展智能制造的政策措施》（津政办规〔</w:t>
      </w:r>
      <w:r>
        <w:rPr>
          <w:rFonts w:ascii="Times New Roman" w:hAnsi="Times New Roman" w:eastAsia="仿宋_GB2312" w:cs="Times New Roman"/>
          <w:sz w:val="32"/>
          <w:szCs w:val="32"/>
        </w:rPr>
        <w:t>2020〕16</w:t>
      </w:r>
      <w:r>
        <w:rPr>
          <w:rFonts w:hint="eastAsia" w:eastAsia="仿宋_GB2312"/>
          <w:sz w:val="32"/>
          <w:szCs w:val="32"/>
        </w:rPr>
        <w:t>号）文件精神</w:t>
      </w:r>
      <w:r>
        <w:rPr>
          <w:rFonts w:eastAsia="仿宋_GB2312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特制定本指南。现将项目申报有关事项通知如下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bidi="ar-SA"/>
        </w:rPr>
        <w:t>：</w:t>
      </w:r>
    </w:p>
    <w:bookmarkEnd w:id="0"/>
    <w:p>
      <w:pPr>
        <w:adjustRightInd w:val="0"/>
        <w:snapToGrid w:val="0"/>
        <w:spacing w:line="560" w:lineRule="exact"/>
        <w:ind w:firstLine="622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一、支持方向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遴选在国际国内资源配置中占据主导地位，在技术、标准、市场等方面具有较强话语权和影响力，综合实力强的大企业集团，对列为市级领航培育的企业，给予200万元资金奖励；主营业务年销售收入每增长10%，每年再给200万元奖励，累计最高600万元。</w:t>
      </w:r>
    </w:p>
    <w:p>
      <w:pPr>
        <w:adjustRightInd w:val="0"/>
        <w:snapToGrid w:val="0"/>
        <w:spacing w:line="560" w:lineRule="exact"/>
        <w:ind w:firstLine="622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二、申报条件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（一）符合项目申报指南通知中“申报条件”所有要求；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（二）企业在制造业产业生态体系中占据优势</w:t>
      </w:r>
      <w:r>
        <w:rPr>
          <w:rFonts w:eastAsia="仿宋_GB2312"/>
          <w:sz w:val="32"/>
          <w:szCs w:val="32"/>
        </w:rPr>
        <w:t>地位，</w:t>
      </w:r>
      <w:r>
        <w:rPr>
          <w:rFonts w:hint="eastAsia" w:eastAsia="仿宋_GB2312"/>
          <w:sz w:val="32"/>
          <w:szCs w:val="32"/>
        </w:rPr>
        <w:t>有望成为全国行业内具备生态主导力和国际竞争力、引领产业链创新发展方向的大企业或企业集团。符合我市信创、高端装备、集成电路、新能源、汽车和新能源汽车、航空航天、车联网、新材料、生物医药、中医药、绿色石化、轻工等重点产业链支持方向</w:t>
      </w:r>
      <w:r>
        <w:rPr>
          <w:rFonts w:eastAsia="仿宋_GB2312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三）企业长期专注于制造业领域，主要业务在国内处于优势地位，在国际上具有较大影响力。十四五期间列入或有望列入中企联“中国企业500强”“中国制造业企业500强”或全国工商联“中国民营企业500强”、“中国制造业民营企业500强”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已列入的优先推荐</w:t>
      </w:r>
      <w:r>
        <w:rPr>
          <w:rFonts w:hint="eastAsia" w:eastAsia="仿宋_GB2312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（四）</w:t>
      </w:r>
      <w:bookmarkStart w:id="1" w:name="_GoBack"/>
      <w:bookmarkEnd w:id="1"/>
      <w:r>
        <w:rPr>
          <w:rFonts w:hint="eastAsia" w:eastAsia="仿宋_GB2312"/>
          <w:sz w:val="32"/>
          <w:szCs w:val="32"/>
        </w:rPr>
        <w:t>具有一定的经济规模和较强盈利能力的潜力，主营业务收入不低于50亿元。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（五）具有完善的法人治理结构、企业管理制度，有较强的创新精神和发展机制，在企业管理方面能够发挥示范作用，全面履行社会责任。</w:t>
      </w:r>
    </w:p>
    <w:p>
      <w:pPr>
        <w:pStyle w:val="2"/>
        <w:ind w:firstLine="622" w:firstLineChars="200"/>
        <w:jc w:val="both"/>
      </w:pPr>
      <w:r>
        <w:rPr>
          <w:rFonts w:hint="eastAsia"/>
          <w:sz w:val="32"/>
          <w:szCs w:val="32"/>
        </w:rPr>
        <w:t>（六）</w:t>
      </w:r>
      <w:r>
        <w:rPr>
          <w:rFonts w:hint="eastAsia" w:ascii="Times New Roman" w:hAnsi="Times New Roman"/>
          <w:sz w:val="32"/>
          <w:szCs w:val="32"/>
        </w:rPr>
        <w:t>已列入国家级和市级培育制造业单项冠军企业优先推荐。</w:t>
      </w:r>
    </w:p>
    <w:p>
      <w:pPr>
        <w:adjustRightInd w:val="0"/>
        <w:snapToGrid w:val="0"/>
        <w:spacing w:line="560" w:lineRule="exact"/>
        <w:ind w:firstLine="622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三、申报材料</w:t>
      </w:r>
    </w:p>
    <w:p>
      <w:pPr>
        <w:adjustRightInd w:val="0"/>
        <w:snapToGrid w:val="0"/>
        <w:spacing w:line="560" w:lineRule="exact"/>
        <w:ind w:firstLine="622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根据项目申报指南通知要求，申请材料按照以下顺序装订：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（一）通知正文中要求的申报材料（申报方向选择奖补类）；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天津市领航培育企业申请表（附</w:t>
      </w:r>
      <w:r>
        <w:rPr>
          <w:rFonts w:eastAsia="仿宋_GB2312"/>
          <w:sz w:val="32"/>
          <w:szCs w:val="32"/>
        </w:rPr>
        <w:t>件15</w:t>
      </w:r>
      <w:r>
        <w:rPr>
          <w:rFonts w:hint="eastAsia" w:eastAsia="仿宋_GB2312"/>
          <w:sz w:val="32"/>
          <w:szCs w:val="32"/>
        </w:rPr>
        <w:t>—</w:t>
      </w:r>
      <w:r>
        <w:rPr>
          <w:rFonts w:eastAsia="仿宋_GB2312"/>
          <w:sz w:val="32"/>
          <w:szCs w:val="32"/>
        </w:rPr>
        <w:t>1）</w:t>
      </w:r>
      <w:r>
        <w:rPr>
          <w:rFonts w:hint="eastAsia" w:eastAsia="仿宋_GB2312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（三）企业信用信息报告（“信用中国”网站和天津市市场主体信用信息公示系统查询）；</w:t>
      </w:r>
    </w:p>
    <w:p>
      <w:pPr>
        <w:adjustRightInd w:val="0"/>
        <w:snapToGrid w:val="0"/>
        <w:spacing w:line="600" w:lineRule="exact"/>
        <w:ind w:firstLine="622" w:firstLineChars="200"/>
        <w:rPr>
          <w:rFonts w:eastAsia="仿宋_GB2312"/>
        </w:rPr>
      </w:pPr>
      <w:r>
        <w:rPr>
          <w:rFonts w:hint="eastAsia" w:eastAsia="仿宋_GB2312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企业申请表所列情况佐证材料，包括但不限于</w:t>
      </w:r>
      <w:r>
        <w:rPr>
          <w:rFonts w:hint="eastAsia" w:eastAsia="仿宋_GB2312"/>
          <w:sz w:val="32"/>
          <w:szCs w:val="32"/>
        </w:rPr>
        <w:t>近3年审计报告和企业行业影响力证明材料（如制造业单项冠军、500强、国家级行业组织的入选文件复印件、截图、证书等）；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（五）近3年获得的有效专利、核心自主知识产权目录；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（六）人才队伍、质量认证、质量荣誉、品牌荣誉等相关材料及目录；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（七）企业认为须提供的其他材料。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</w:rPr>
      </w:pPr>
      <w:r>
        <w:rPr>
          <w:rFonts w:hint="eastAsia" w:eastAsia="仿宋_GB2312"/>
          <w:sz w:val="32"/>
          <w:szCs w:val="32"/>
        </w:rPr>
        <w:t>已列入市级领航培育企业申请后续奖励的，需提供上述材料前3项和年销售增长超10%的说明，并附近3年审计报告。</w:t>
      </w:r>
    </w:p>
    <w:p>
      <w:pPr>
        <w:adjustRightInd w:val="0"/>
        <w:snapToGrid w:val="0"/>
        <w:spacing w:line="560" w:lineRule="exact"/>
        <w:ind w:firstLine="622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四、申报流程</w:t>
      </w: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各项目申报单位按照文件要求准备申报材料，及时将申报材料报送至所在区的工业和信息化主管部门。纸质申报材料一式三份，及申报材料汇总电子文档光盘两张（word格式）。</w:t>
      </w:r>
    </w:p>
    <w:p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（联系人：市工业和信息化局产业政策与法规处  柯于灿；</w:t>
      </w:r>
    </w:p>
    <w:p>
      <w:pPr>
        <w:adjustRightInd w:val="0"/>
        <w:snapToGrid w:val="0"/>
        <w:spacing w:line="560" w:lineRule="exact"/>
        <w:ind w:firstLine="2177" w:firstLineChars="7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联系电话：83607736）</w:t>
      </w:r>
    </w:p>
    <w:p>
      <w:pPr>
        <w:pStyle w:val="2"/>
        <w:rPr>
          <w:rFonts w:ascii="Times New Roman" w:hAnsi="Times New Roman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黑体"/>
          <w:sz w:val="32"/>
          <w:szCs w:val="32"/>
        </w:rPr>
      </w:pPr>
    </w:p>
    <w:p>
      <w:pPr>
        <w:widowControl/>
        <w:jc w:val="left"/>
        <w:outlineLvl w:val="2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</w:rPr>
        <w:t>件</w:t>
      </w:r>
      <w:r>
        <w:rPr>
          <w:rFonts w:eastAsia="黑体"/>
          <w:sz w:val="32"/>
          <w:szCs w:val="32"/>
        </w:rPr>
        <w:t>15</w:t>
      </w:r>
      <w:r>
        <w:rPr>
          <w:rFonts w:hint="eastAsia" w:eastAsia="黑体"/>
          <w:sz w:val="32"/>
          <w:szCs w:val="32"/>
        </w:rPr>
        <w:t>—1</w:t>
      </w:r>
    </w:p>
    <w:p>
      <w:pPr>
        <w:widowControl/>
        <w:spacing w:line="44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ascii="方正小标宋简体" w:hAnsi="宋体" w:eastAsia="方正小标宋简体"/>
          <w:sz w:val="44"/>
          <w:szCs w:val="44"/>
        </w:rPr>
        <w:t>天津</w:t>
      </w:r>
      <w:r>
        <w:rPr>
          <w:rFonts w:hint="eastAsia" w:ascii="方正小标宋简体" w:hAnsi="宋体" w:eastAsia="方正小标宋简体"/>
          <w:sz w:val="44"/>
          <w:szCs w:val="44"/>
        </w:rPr>
        <w:t>市领航培育企业</w:t>
      </w:r>
      <w:r>
        <w:rPr>
          <w:rFonts w:ascii="方正小标宋简体" w:hAnsi="宋体" w:eastAsia="方正小标宋简体"/>
          <w:sz w:val="44"/>
          <w:szCs w:val="44"/>
        </w:rPr>
        <w:t>申请表</w:t>
      </w:r>
    </w:p>
    <w:tbl>
      <w:tblPr>
        <w:tblStyle w:val="1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345"/>
        <w:gridCol w:w="1185"/>
        <w:gridCol w:w="19"/>
        <w:gridCol w:w="1768"/>
        <w:gridCol w:w="1003"/>
        <w:gridCol w:w="450"/>
        <w:gridCol w:w="197"/>
        <w:gridCol w:w="523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1" w:type="dxa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t>企业基本情况</w:t>
            </w:r>
            <w:r>
              <w:rPr>
                <w:rStyle w:val="15"/>
                <w:szCs w:val="21"/>
              </w:rPr>
              <w:footnoteReference w:id="0"/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注册时间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注册资本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所属行业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eastAsia="仿宋_GB2312"/>
                <w:sz w:val="15"/>
                <w:szCs w:val="15"/>
              </w:rPr>
              <w:t>例如：C26化学原料和化学制品制造业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资产总额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职工人数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资产负债率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t>企业类型</w:t>
            </w:r>
          </w:p>
        </w:tc>
        <w:tc>
          <w:tcPr>
            <w:tcW w:w="4861" w:type="dxa"/>
            <w:gridSpan w:val="7"/>
            <w:vAlign w:val="center"/>
          </w:tcPr>
          <w:p>
            <w:pPr>
              <w:spacing w:line="240" w:lineRule="exact"/>
            </w:pPr>
            <w:r>
              <w:rPr>
                <w:rFonts w:eastAsia="楷体_GB2312"/>
                <w:szCs w:val="21"/>
              </w:rPr>
              <w:t xml:space="preserve">  □ </w:t>
            </w:r>
            <w:r>
              <w:rPr>
                <w:szCs w:val="21"/>
              </w:rPr>
              <w:t xml:space="preserve">国有      </w:t>
            </w:r>
            <w:r>
              <w:rPr>
                <w:rFonts w:eastAsia="楷体_GB2312"/>
                <w:szCs w:val="21"/>
              </w:rPr>
              <w:t xml:space="preserve">□ </w:t>
            </w:r>
            <w:r>
              <w:rPr>
                <w:szCs w:val="21"/>
              </w:rPr>
              <w:t xml:space="preserve">合资      </w:t>
            </w:r>
            <w:r>
              <w:rPr>
                <w:rFonts w:eastAsia="楷体_GB2312"/>
                <w:szCs w:val="21"/>
              </w:rPr>
              <w:t xml:space="preserve">□ </w:t>
            </w:r>
            <w:r>
              <w:rPr>
                <w:szCs w:val="21"/>
              </w:rPr>
              <w:t xml:space="preserve">民营      </w:t>
            </w:r>
            <w:r>
              <w:rPr>
                <w:rFonts w:eastAsia="楷体_GB2312"/>
                <w:szCs w:val="21"/>
              </w:rPr>
              <w:t xml:space="preserve">□ </w:t>
            </w:r>
            <w:r>
              <w:rPr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1" w:type="dxa"/>
            <w:vMerge w:val="restart"/>
            <w:vAlign w:val="center"/>
          </w:tcPr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  <w:r>
              <w:t>产业链</w:t>
            </w:r>
          </w:p>
          <w:p>
            <w:pPr>
              <w:spacing w:line="240" w:lineRule="exact"/>
              <w:jc w:val="center"/>
            </w:pPr>
            <w:r>
              <w:t>地位</w:t>
            </w:r>
            <w:r>
              <w:rPr>
                <w:rFonts w:hint="eastAsia"/>
              </w:rPr>
              <w:t>及行业影响力</w:t>
            </w:r>
          </w:p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主营</w:t>
            </w:r>
            <w:r>
              <w:rPr>
                <w:szCs w:val="21"/>
              </w:rPr>
              <w:t>产品名称</w:t>
            </w:r>
            <w:r>
              <w:rPr>
                <w:rStyle w:val="15"/>
              </w:rPr>
              <w:footnoteReference w:id="1"/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产品类别</w:t>
            </w:r>
            <w:r>
              <w:rPr>
                <w:rStyle w:val="15"/>
              </w:rPr>
              <w:footnoteReference w:id="2"/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所属产业链</w:t>
            </w:r>
            <w:r>
              <w:rPr>
                <w:rStyle w:val="15"/>
                <w:szCs w:val="21"/>
              </w:rPr>
              <w:footnoteReference w:id="3"/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eastAsia="仿宋_GB2312"/>
                <w:sz w:val="15"/>
                <w:szCs w:val="15"/>
              </w:rPr>
              <w:t>如不属于12条重点产业链，请按照行业惯例填写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从事该产品相关领域时间（年）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eastAsia="仿宋_GB2312"/>
                <w:sz w:val="15"/>
                <w:szCs w:val="15"/>
              </w:rPr>
              <w:t>例如：19年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重要指标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2018年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rPr>
                <w:szCs w:val="21"/>
              </w:rPr>
              <w:t>2019年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szCs w:val="21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产品销售收入（万元）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t>产品销售数量（单位：  ）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szCs w:val="21"/>
              </w:rPr>
              <w:t>销售收入占主营业务收入比重（%）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t>在产业链中的地位</w:t>
            </w:r>
          </w:p>
        </w:tc>
        <w:tc>
          <w:tcPr>
            <w:tcW w:w="4861" w:type="dxa"/>
            <w:gridSpan w:val="7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eastAsia="仿宋_GB2312"/>
                <w:sz w:val="15"/>
                <w:szCs w:val="15"/>
              </w:rPr>
              <w:t>简述即可。如链主企业、龙头企业、补齐XX领域XX短板等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t>是否500强企业</w:t>
            </w:r>
          </w:p>
        </w:tc>
        <w:tc>
          <w:tcPr>
            <w:tcW w:w="4861" w:type="dxa"/>
            <w:gridSpan w:val="7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eastAsia="仿宋_GB2312"/>
                <w:sz w:val="15"/>
                <w:szCs w:val="15"/>
              </w:rPr>
              <w:t>如是，请填写具体榜单名单及排名；例如：中企联2020中国企业500强XX名。如未入选但有望入选，请填写有望入选XX年XX500强。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t>是否加入国家级行业组织</w:t>
            </w:r>
          </w:p>
        </w:tc>
        <w:tc>
          <w:tcPr>
            <w:tcW w:w="486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如是，请填写具体组织名称及职务。例如：中国XXX协会常务理事单位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113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是否主办全国性有较大影响力的活动</w:t>
            </w:r>
          </w:p>
        </w:tc>
        <w:tc>
          <w:tcPr>
            <w:tcW w:w="486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hint="eastAsia" w:eastAsia="仿宋_GB2312"/>
                <w:sz w:val="15"/>
                <w:szCs w:val="15"/>
              </w:rPr>
              <w:t>如是，请填写具体活动名称及时间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31" w:type="dxa"/>
            <w:vMerge w:val="restart"/>
            <w:vAlign w:val="center"/>
          </w:tcPr>
          <w:p>
            <w:pPr>
              <w:spacing w:before="50" w:after="50" w:line="240" w:lineRule="exact"/>
              <w:jc w:val="center"/>
            </w:pPr>
            <w:r>
              <w:t>持续研发能力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t>企业研发经费支出（万元）及占主营业务收入比重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t xml:space="preserve">    ，    %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t xml:space="preserve">      ，  %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40" w:lineRule="exact"/>
            </w:pPr>
            <w:r>
              <w:t xml:space="preserve">      ，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31" w:type="dxa"/>
            <w:vMerge w:val="continue"/>
            <w:vAlign w:val="center"/>
          </w:tcPr>
          <w:p>
            <w:pPr>
              <w:spacing w:before="50" w:after="50" w:line="240" w:lineRule="exact"/>
              <w:jc w:val="center"/>
            </w:pPr>
          </w:p>
        </w:tc>
        <w:tc>
          <w:tcPr>
            <w:tcW w:w="4317" w:type="dxa"/>
            <w:gridSpan w:val="4"/>
            <w:vAlign w:val="center"/>
          </w:tcPr>
          <w:p>
            <w:pPr>
              <w:spacing w:line="240" w:lineRule="exact"/>
              <w:jc w:val="center"/>
            </w:pPr>
            <w:r>
              <w:t>截至上年末研发人员占企业全部职工比重</w:t>
            </w:r>
          </w:p>
        </w:tc>
        <w:tc>
          <w:tcPr>
            <w:tcW w:w="3074" w:type="dxa"/>
            <w:gridSpan w:val="5"/>
            <w:vAlign w:val="center"/>
          </w:tcPr>
          <w:p>
            <w:pPr>
              <w:spacing w:line="240" w:lineRule="exact"/>
            </w:pPr>
            <w:r>
              <w:t xml:space="preserve">          人，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131" w:type="dxa"/>
            <w:vMerge w:val="continue"/>
            <w:vAlign w:val="center"/>
          </w:tcPr>
          <w:p>
            <w:pPr>
              <w:spacing w:before="50" w:after="50" w:line="240" w:lineRule="exact"/>
              <w:jc w:val="center"/>
            </w:pPr>
          </w:p>
        </w:tc>
        <w:tc>
          <w:tcPr>
            <w:tcW w:w="4317" w:type="dxa"/>
            <w:gridSpan w:val="4"/>
            <w:vAlign w:val="center"/>
          </w:tcPr>
          <w:p>
            <w:pPr>
              <w:spacing w:line="240" w:lineRule="exact"/>
              <w:jc w:val="center"/>
            </w:pPr>
            <w:r>
              <w:t>拥有有效专利数量</w:t>
            </w:r>
          </w:p>
        </w:tc>
        <w:tc>
          <w:tcPr>
            <w:tcW w:w="3074" w:type="dxa"/>
            <w:gridSpan w:val="5"/>
            <w:vAlign w:val="center"/>
          </w:tcPr>
          <w:p>
            <w:pPr>
              <w:spacing w:line="240" w:lineRule="exact"/>
            </w:pPr>
            <w:r>
              <w:t xml:space="preserve">共计：     个，其中发明：   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131" w:type="dxa"/>
            <w:vMerge w:val="continue"/>
            <w:vAlign w:val="center"/>
          </w:tcPr>
          <w:p>
            <w:pPr>
              <w:spacing w:before="50" w:after="50" w:line="240" w:lineRule="exact"/>
              <w:jc w:val="center"/>
            </w:pPr>
          </w:p>
        </w:tc>
        <w:tc>
          <w:tcPr>
            <w:tcW w:w="4317" w:type="dxa"/>
            <w:gridSpan w:val="4"/>
            <w:vAlign w:val="center"/>
          </w:tcPr>
          <w:p>
            <w:pPr>
              <w:spacing w:line="240" w:lineRule="exact"/>
              <w:jc w:val="center"/>
            </w:pPr>
            <w:r>
              <w:t>国际标准、国家标准、</w:t>
            </w:r>
          </w:p>
          <w:p>
            <w:pPr>
              <w:spacing w:line="240" w:lineRule="exact"/>
              <w:jc w:val="center"/>
            </w:pPr>
            <w:r>
              <w:t>行业标准</w:t>
            </w:r>
            <w:r>
              <w:rPr>
                <w:rFonts w:hint="eastAsia"/>
              </w:rPr>
              <w:t>、团体标准制定情况</w:t>
            </w:r>
          </w:p>
        </w:tc>
        <w:tc>
          <w:tcPr>
            <w:tcW w:w="3074" w:type="dxa"/>
            <w:gridSpan w:val="5"/>
            <w:vAlign w:val="center"/>
          </w:tcPr>
          <w:p>
            <w:pPr>
              <w:spacing w:line="240" w:lineRule="exact"/>
            </w:pPr>
            <w:r>
              <w:t xml:space="preserve"> </w:t>
            </w:r>
            <w:r>
              <w:rPr>
                <w:rFonts w:hint="eastAsia" w:eastAsia="仿宋_GB2312"/>
                <w:sz w:val="15"/>
                <w:szCs w:val="15"/>
              </w:rPr>
              <w:t>如有，请分别写明各类标准牵头和参与制定多少项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131" w:type="dxa"/>
            <w:vMerge w:val="continue"/>
            <w:vAlign w:val="center"/>
          </w:tcPr>
          <w:p>
            <w:pPr>
              <w:spacing w:before="50" w:after="50" w:line="240" w:lineRule="exact"/>
              <w:jc w:val="center"/>
            </w:pPr>
          </w:p>
        </w:tc>
        <w:tc>
          <w:tcPr>
            <w:tcW w:w="4317" w:type="dxa"/>
            <w:gridSpan w:val="4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是否是国家级技术中心</w:t>
            </w:r>
          </w:p>
        </w:tc>
        <w:tc>
          <w:tcPr>
            <w:tcW w:w="3074" w:type="dxa"/>
            <w:gridSpan w:val="5"/>
            <w:vAlign w:val="center"/>
          </w:tcPr>
          <w:p>
            <w:pPr>
              <w:spacing w:line="240" w:lineRule="exact"/>
            </w:pPr>
            <w:r>
              <w:rPr>
                <w:rFonts w:hint="eastAsia" w:eastAsia="仿宋_GB2312"/>
                <w:sz w:val="15"/>
                <w:szCs w:val="15"/>
              </w:rPr>
              <w:t>如是，请明确国家级企业技术中心具体认定年份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31" w:type="dxa"/>
            <w:vAlign w:val="center"/>
          </w:tcPr>
          <w:p>
            <w:pPr>
              <w:spacing w:before="50" w:after="50" w:line="240" w:lineRule="exact"/>
              <w:jc w:val="center"/>
            </w:pPr>
            <w:r>
              <w:t xml:space="preserve">产品质量    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spacing w:before="50" w:after="50" w:line="240" w:lineRule="exact"/>
              <w:jc w:val="center"/>
              <w:rPr>
                <w:szCs w:val="21"/>
              </w:rPr>
            </w:pPr>
            <w:r>
              <w:t>是否通过质量管理体系认证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3074" w:type="dxa"/>
            <w:gridSpan w:val="5"/>
            <w:vAlign w:val="center"/>
          </w:tcPr>
          <w:p>
            <w:pPr>
              <w:spacing w:before="50" w:after="50" w:line="240" w:lineRule="exact"/>
              <w:jc w:val="center"/>
            </w:pPr>
            <w: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31" w:type="dxa"/>
            <w:vMerge w:val="restart"/>
            <w:vAlign w:val="center"/>
          </w:tcPr>
          <w:p>
            <w:pPr>
              <w:spacing w:before="50" w:after="50" w:line="240" w:lineRule="exact"/>
              <w:jc w:val="center"/>
            </w:pPr>
            <w:r>
              <w:t>经济</w:t>
            </w:r>
          </w:p>
          <w:p>
            <w:pPr>
              <w:spacing w:before="50" w:after="50" w:line="240" w:lineRule="exact"/>
              <w:jc w:val="center"/>
            </w:pPr>
            <w:r>
              <w:t>效益</w:t>
            </w:r>
          </w:p>
        </w:tc>
        <w:tc>
          <w:tcPr>
            <w:tcW w:w="1345" w:type="dxa"/>
            <w:vAlign w:val="center"/>
          </w:tcPr>
          <w:p>
            <w:pPr>
              <w:spacing w:line="240" w:lineRule="exact"/>
              <w:jc w:val="center"/>
            </w:pPr>
            <w:r>
              <w:t>上年利润</w:t>
            </w:r>
          </w:p>
          <w:p>
            <w:pPr>
              <w:spacing w:line="240" w:lineRule="exact"/>
              <w:jc w:val="center"/>
            </w:pPr>
            <w:r>
              <w:t>（万元）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spacing w:line="240" w:lineRule="exact"/>
            </w:pPr>
            <w:r>
              <w:t xml:space="preserve">                     </w:t>
            </w:r>
          </w:p>
        </w:tc>
        <w:tc>
          <w:tcPr>
            <w:tcW w:w="1768" w:type="dxa"/>
            <w:vAlign w:val="center"/>
          </w:tcPr>
          <w:p>
            <w:pPr>
              <w:spacing w:line="240" w:lineRule="exact"/>
              <w:jc w:val="center"/>
            </w:pPr>
            <w:r>
              <w:t>上缴所得税</w:t>
            </w:r>
          </w:p>
          <w:p>
            <w:pPr>
              <w:spacing w:line="240" w:lineRule="exact"/>
              <w:jc w:val="center"/>
            </w:pPr>
            <w:r>
              <w:t>（万元）</w:t>
            </w:r>
          </w:p>
        </w:tc>
        <w:tc>
          <w:tcPr>
            <w:tcW w:w="1003" w:type="dxa"/>
            <w:vAlign w:val="center"/>
          </w:tcPr>
          <w:p>
            <w:pPr>
              <w:spacing w:before="50" w:after="50" w:line="240" w:lineRule="exact"/>
            </w:pPr>
            <w:r>
              <w:t xml:space="preserve"> 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t>上年销售</w:t>
            </w:r>
          </w:p>
          <w:p>
            <w:pPr>
              <w:spacing w:line="240" w:lineRule="exact"/>
              <w:jc w:val="center"/>
            </w:pPr>
            <w:r>
              <w:t>利润率</w:t>
            </w:r>
          </w:p>
        </w:tc>
        <w:tc>
          <w:tcPr>
            <w:tcW w:w="901" w:type="dxa"/>
            <w:vAlign w:val="center"/>
          </w:tcPr>
          <w:p>
            <w:pPr>
              <w:spacing w:before="50" w:after="50" w:line="240" w:lineRule="exact"/>
              <w:jc w:val="right"/>
            </w:pPr>
            <w:r>
              <w:t>　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31" w:type="dxa"/>
            <w:vMerge w:val="continue"/>
          </w:tcPr>
          <w:p>
            <w:pPr>
              <w:spacing w:before="50" w:after="50" w:line="240" w:lineRule="exact"/>
            </w:pPr>
          </w:p>
        </w:tc>
        <w:tc>
          <w:tcPr>
            <w:tcW w:w="2549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t>近３年效益指标</w:t>
            </w:r>
          </w:p>
        </w:tc>
        <w:tc>
          <w:tcPr>
            <w:tcW w:w="1768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2018年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szCs w:val="21"/>
              </w:rPr>
              <w:t>2019年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rPr>
                <w:szCs w:val="21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31" w:type="dxa"/>
            <w:vMerge w:val="continue"/>
          </w:tcPr>
          <w:p>
            <w:pPr>
              <w:spacing w:before="50" w:after="50" w:line="240" w:lineRule="exact"/>
            </w:pPr>
          </w:p>
        </w:tc>
        <w:tc>
          <w:tcPr>
            <w:tcW w:w="2549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t>主营业务收入</w:t>
            </w:r>
          </w:p>
        </w:tc>
        <w:tc>
          <w:tcPr>
            <w:tcW w:w="1768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31" w:type="dxa"/>
            <w:vMerge w:val="continue"/>
          </w:tcPr>
          <w:p>
            <w:pPr>
              <w:spacing w:before="50" w:after="50" w:line="240" w:lineRule="exact"/>
            </w:pPr>
          </w:p>
        </w:tc>
        <w:tc>
          <w:tcPr>
            <w:tcW w:w="2549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t>主营业务收入增长率</w:t>
            </w:r>
          </w:p>
        </w:tc>
        <w:tc>
          <w:tcPr>
            <w:tcW w:w="176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  </w:t>
            </w:r>
            <w:r>
              <w:t>%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  </w:t>
            </w:r>
            <w:r>
              <w:t>%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  </w:t>
            </w:r>
            <w: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131" w:type="dxa"/>
            <w:vAlign w:val="center"/>
          </w:tcPr>
          <w:p>
            <w:pPr>
              <w:spacing w:before="50" w:after="50" w:line="240" w:lineRule="exact"/>
              <w:jc w:val="center"/>
            </w:pPr>
            <w:r>
              <w:rPr>
                <w:rFonts w:hint="eastAsia"/>
              </w:rPr>
              <w:t>工信系统其它项目参与情况</w:t>
            </w:r>
          </w:p>
        </w:tc>
        <w:tc>
          <w:tcPr>
            <w:tcW w:w="7391" w:type="dxa"/>
            <w:gridSpan w:val="9"/>
            <w:vAlign w:val="center"/>
          </w:tcPr>
          <w:p>
            <w:pPr>
              <w:spacing w:line="240" w:lineRule="exact"/>
            </w:pPr>
            <w:r>
              <w:rPr>
                <w:rFonts w:hint="eastAsia"/>
              </w:rPr>
              <w:t>如服务型制造、工业设计中心、企业社会责任报告、绿色工厂、首台套等，包括国家级和市级，简要写明，例如：2019年入选工信部第四批国家级工业设计中心。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2" w:hRule="atLeast"/>
        </w:trPr>
        <w:tc>
          <w:tcPr>
            <w:tcW w:w="1131" w:type="dxa"/>
            <w:vAlign w:val="center"/>
          </w:tcPr>
          <w:p>
            <w:pPr>
              <w:spacing w:line="240" w:lineRule="exact"/>
              <w:jc w:val="center"/>
            </w:pPr>
            <w:r>
              <w:t>企业详细情况介绍</w:t>
            </w:r>
          </w:p>
        </w:tc>
        <w:tc>
          <w:tcPr>
            <w:tcW w:w="7391" w:type="dxa"/>
            <w:gridSpan w:val="9"/>
            <w:vAlign w:val="center"/>
          </w:tcPr>
          <w:p>
            <w:pPr>
              <w:spacing w:line="240" w:lineRule="exact"/>
            </w:pPr>
            <w:r>
              <w:t xml:space="preserve">    包括但不限于以下内容:（此项可另附页）</w:t>
            </w:r>
          </w:p>
          <w:p>
            <w:pPr>
              <w:spacing w:line="240" w:lineRule="exact"/>
            </w:pPr>
            <w:r>
              <w:t xml:space="preserve">    一、企业经营管理概况：涵盖企业所从事的细分领域和在细分领域中的地位，企业经营战略，法人治理结构，管理团队等。</w:t>
            </w:r>
          </w:p>
          <w:p>
            <w:pPr>
              <w:spacing w:line="240" w:lineRule="exact"/>
            </w:pPr>
            <w:r>
              <w:t xml:space="preserve">    二、企业主营产品情况：产品主要用途、在产业链中的位置及地位，近3年产品销售情况及效益，主要客户群及销售地，企业主要竞争对手及与之对比情况，产品国际化实施情况；产品关键性能指标、能耗指标及与国际国内领先水平的对比情况，产品主要加工工艺、技术及与国际国内领先水平的对比情况。</w:t>
            </w:r>
          </w:p>
          <w:p>
            <w:pPr>
              <w:spacing w:line="240" w:lineRule="exact"/>
            </w:pPr>
            <w:r>
              <w:t xml:space="preserve">    三、企业研发创新基本情况：企业技术研发机构建设、研发经费保障及激励机制，研发创新带头人、创新团队、创新人才培养情况；知识产权积累和运用情况，主导或参与相关产品领域国际国内相关技术、工艺标准制定情况；重要技术或质量奖项情况。是否属于关键领域补短板及具体情况。</w:t>
            </w:r>
          </w:p>
          <w:p>
            <w:pPr>
              <w:spacing w:line="240" w:lineRule="exact"/>
            </w:pPr>
            <w:r>
              <w:t xml:space="preserve">    四、企业制度建设基本情况：企业品牌培育相关制度、产品质量保障相关制度，知识产权保障制度，应对各类风险机制等。</w:t>
            </w:r>
          </w:p>
        </w:tc>
      </w:tr>
    </w:tbl>
    <w:p>
      <w:pPr>
        <w:pStyle w:val="2"/>
        <w:jc w:val="both"/>
        <w:rPr>
          <w:rFonts w:ascii="Times New Roman" w:hAnsi="Times New Roman"/>
          <w:sz w:val="32"/>
          <w:szCs w:val="32"/>
        </w:rPr>
      </w:pPr>
    </w:p>
    <w:sectPr>
      <w:footerReference r:id="rId4" w:type="default"/>
      <w:pgSz w:w="11906" w:h="16838"/>
      <w:pgMar w:top="2098" w:right="1474" w:bottom="1985" w:left="1588" w:header="851" w:footer="1077" w:gutter="0"/>
      <w:pgNumType w:fmt="numberInDash"/>
      <w:cols w:space="720" w:num="1"/>
      <w:docGrid w:type="linesAndChars" w:linePitch="579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Noto Sans CJK JP Regular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1310" w:h="567" w:hRule="exact" w:wrap="around" w:vAnchor="page" w:hAnchor="margin" w:xAlign="outside" w:y="15140"/>
      <w:spacing w:line="280" w:lineRule="exact"/>
      <w:jc w:val="center"/>
      <w:rPr>
        <w:rStyle w:val="13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3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9"/>
      </w:pPr>
      <w:r>
        <w:rPr>
          <w:rStyle w:val="15"/>
        </w:rPr>
        <w:footnoteRef/>
      </w:r>
      <w:r>
        <w:t xml:space="preserve"> </w:t>
      </w:r>
      <w:r>
        <w:rPr>
          <w:rFonts w:hint="eastAsia"/>
        </w:rPr>
        <w:t>所属行业按照《国民经济行业分类(GB/T 4754-2011)》的大类行业填写，资产总额、职工人数、资产负债率按截至2020年末填写。</w:t>
      </w:r>
    </w:p>
  </w:footnote>
  <w:footnote w:id="1">
    <w:p>
      <w:pPr>
        <w:pStyle w:val="9"/>
      </w:pPr>
      <w:r>
        <w:rPr>
          <w:rStyle w:val="15"/>
        </w:rPr>
        <w:footnoteRef/>
      </w:r>
      <w:r>
        <w:t xml:space="preserve"> </w:t>
      </w:r>
      <w:r>
        <w:rPr>
          <w:rFonts w:hint="eastAsia"/>
        </w:rPr>
        <w:t>须填写产品准确名称。</w:t>
      </w:r>
    </w:p>
  </w:footnote>
  <w:footnote w:id="2">
    <w:p>
      <w:pPr>
        <w:pStyle w:val="9"/>
      </w:pPr>
      <w:r>
        <w:rPr>
          <w:rFonts w:hint="eastAsia"/>
        </w:rPr>
        <w:t>3对照《统计用产品分类目录》，填写产品对应的第四级或第五级产品类别名称，并填写对应的8位或10位数字代码。无法按该目录分类的，可按行业惯例分类。如企业认为是新产品则需标注新产品。</w:t>
      </w:r>
    </w:p>
  </w:footnote>
  <w:footnote w:id="3">
    <w:p>
      <w:pPr>
        <w:pStyle w:val="9"/>
      </w:pPr>
      <w:r>
        <w:rPr>
          <w:rStyle w:val="15"/>
          <w:sz w:val="20"/>
          <w:szCs w:val="20"/>
        </w:rPr>
        <w:footnoteRef/>
      </w:r>
      <w:r>
        <w:rPr>
          <w:szCs w:val="18"/>
        </w:rPr>
        <w:t xml:space="preserve"> </w:t>
      </w:r>
      <w:r>
        <w:rPr>
          <w:rFonts w:hint="eastAsia"/>
        </w:rPr>
        <w:t>主要指信创、高端装备、集成电路、新能源、汽车和新能源汽车、航空航天、车联网、新材料、生物医药、中医药、绿色石化、轻工等重点产业链，如不属于重点产业链，请按照行业惯例填写。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80431"/>
    <w:multiLevelType w:val="multilevel"/>
    <w:tmpl w:val="2D380431"/>
    <w:lvl w:ilvl="0" w:tentative="0">
      <w:start w:val="1"/>
      <w:numFmt w:val="decimal"/>
      <w:pStyle w:val="3"/>
      <w:lvlText w:val="%1"/>
      <w:lvlJc w:val="left"/>
      <w:pPr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201"/>
  <w:drawingGridVerticalSpacing w:val="57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81A"/>
    <w:rsid w:val="00002F68"/>
    <w:rsid w:val="000050FE"/>
    <w:rsid w:val="000144F3"/>
    <w:rsid w:val="00020C56"/>
    <w:rsid w:val="00023CF7"/>
    <w:rsid w:val="000300B1"/>
    <w:rsid w:val="00042724"/>
    <w:rsid w:val="00046F69"/>
    <w:rsid w:val="00047EED"/>
    <w:rsid w:val="0006656E"/>
    <w:rsid w:val="00072218"/>
    <w:rsid w:val="00083F8C"/>
    <w:rsid w:val="000A4124"/>
    <w:rsid w:val="000B6B4C"/>
    <w:rsid w:val="000C1BDF"/>
    <w:rsid w:val="000D5F7A"/>
    <w:rsid w:val="001006A8"/>
    <w:rsid w:val="00100C4E"/>
    <w:rsid w:val="00102824"/>
    <w:rsid w:val="00102A79"/>
    <w:rsid w:val="00102CBA"/>
    <w:rsid w:val="001032D1"/>
    <w:rsid w:val="00107027"/>
    <w:rsid w:val="00155AB4"/>
    <w:rsid w:val="00163844"/>
    <w:rsid w:val="00166523"/>
    <w:rsid w:val="0017190E"/>
    <w:rsid w:val="00194FE5"/>
    <w:rsid w:val="001A2DE2"/>
    <w:rsid w:val="001A6E73"/>
    <w:rsid w:val="001C4BA3"/>
    <w:rsid w:val="001D4F6B"/>
    <w:rsid w:val="001F2E84"/>
    <w:rsid w:val="001F2EED"/>
    <w:rsid w:val="001F4533"/>
    <w:rsid w:val="001F581A"/>
    <w:rsid w:val="002019FE"/>
    <w:rsid w:val="00212C15"/>
    <w:rsid w:val="0021602F"/>
    <w:rsid w:val="00220D0F"/>
    <w:rsid w:val="00223CC7"/>
    <w:rsid w:val="00224AC8"/>
    <w:rsid w:val="00224C9C"/>
    <w:rsid w:val="002305B4"/>
    <w:rsid w:val="00236910"/>
    <w:rsid w:val="00240AAF"/>
    <w:rsid w:val="00246B2A"/>
    <w:rsid w:val="00257820"/>
    <w:rsid w:val="00265288"/>
    <w:rsid w:val="00280618"/>
    <w:rsid w:val="00284EA7"/>
    <w:rsid w:val="002A0ACD"/>
    <w:rsid w:val="002A125B"/>
    <w:rsid w:val="002A56A6"/>
    <w:rsid w:val="002A7BE3"/>
    <w:rsid w:val="002C182A"/>
    <w:rsid w:val="002C284E"/>
    <w:rsid w:val="002C4980"/>
    <w:rsid w:val="002E404E"/>
    <w:rsid w:val="00302117"/>
    <w:rsid w:val="00306C92"/>
    <w:rsid w:val="00307012"/>
    <w:rsid w:val="0030788E"/>
    <w:rsid w:val="00317A00"/>
    <w:rsid w:val="00324738"/>
    <w:rsid w:val="00344FFC"/>
    <w:rsid w:val="003564B8"/>
    <w:rsid w:val="00383994"/>
    <w:rsid w:val="00393686"/>
    <w:rsid w:val="0039400E"/>
    <w:rsid w:val="003A0AC9"/>
    <w:rsid w:val="003A3DA5"/>
    <w:rsid w:val="003A4D68"/>
    <w:rsid w:val="003B38AB"/>
    <w:rsid w:val="003C7E64"/>
    <w:rsid w:val="003D38DC"/>
    <w:rsid w:val="003E2B17"/>
    <w:rsid w:val="003E2E59"/>
    <w:rsid w:val="003E737B"/>
    <w:rsid w:val="003E7A69"/>
    <w:rsid w:val="003F4947"/>
    <w:rsid w:val="00402A6E"/>
    <w:rsid w:val="00406A66"/>
    <w:rsid w:val="00411811"/>
    <w:rsid w:val="00430BE2"/>
    <w:rsid w:val="00432DCC"/>
    <w:rsid w:val="0043703C"/>
    <w:rsid w:val="00437AB0"/>
    <w:rsid w:val="004405C3"/>
    <w:rsid w:val="00442A6F"/>
    <w:rsid w:val="00451077"/>
    <w:rsid w:val="0045180F"/>
    <w:rsid w:val="00454417"/>
    <w:rsid w:val="004655FB"/>
    <w:rsid w:val="0047071B"/>
    <w:rsid w:val="00470A0A"/>
    <w:rsid w:val="0048675A"/>
    <w:rsid w:val="004A2739"/>
    <w:rsid w:val="004B0A1A"/>
    <w:rsid w:val="004B5B63"/>
    <w:rsid w:val="004C289E"/>
    <w:rsid w:val="004C3631"/>
    <w:rsid w:val="004C6787"/>
    <w:rsid w:val="004C734D"/>
    <w:rsid w:val="004D26C0"/>
    <w:rsid w:val="004E065E"/>
    <w:rsid w:val="004E3C4C"/>
    <w:rsid w:val="004F3D93"/>
    <w:rsid w:val="00506EAE"/>
    <w:rsid w:val="00507B24"/>
    <w:rsid w:val="0052303E"/>
    <w:rsid w:val="00534007"/>
    <w:rsid w:val="00544A54"/>
    <w:rsid w:val="0055024E"/>
    <w:rsid w:val="00560A51"/>
    <w:rsid w:val="00561059"/>
    <w:rsid w:val="0057569C"/>
    <w:rsid w:val="005813F5"/>
    <w:rsid w:val="00581C14"/>
    <w:rsid w:val="00584234"/>
    <w:rsid w:val="005844F8"/>
    <w:rsid w:val="005860B8"/>
    <w:rsid w:val="00593D74"/>
    <w:rsid w:val="005A1580"/>
    <w:rsid w:val="005A1E09"/>
    <w:rsid w:val="005A3311"/>
    <w:rsid w:val="005A332F"/>
    <w:rsid w:val="005A60B8"/>
    <w:rsid w:val="005B0BAC"/>
    <w:rsid w:val="005C7B51"/>
    <w:rsid w:val="005D549A"/>
    <w:rsid w:val="005E6A9B"/>
    <w:rsid w:val="005F0582"/>
    <w:rsid w:val="005F0A0C"/>
    <w:rsid w:val="005F2B76"/>
    <w:rsid w:val="006048F6"/>
    <w:rsid w:val="006050FD"/>
    <w:rsid w:val="00606809"/>
    <w:rsid w:val="00606F4D"/>
    <w:rsid w:val="00607A73"/>
    <w:rsid w:val="006222EE"/>
    <w:rsid w:val="006225AD"/>
    <w:rsid w:val="00627D66"/>
    <w:rsid w:val="0064073B"/>
    <w:rsid w:val="00643A09"/>
    <w:rsid w:val="00647C1A"/>
    <w:rsid w:val="00653696"/>
    <w:rsid w:val="00656B26"/>
    <w:rsid w:val="00657A41"/>
    <w:rsid w:val="00663A31"/>
    <w:rsid w:val="006674EF"/>
    <w:rsid w:val="0067276C"/>
    <w:rsid w:val="00673015"/>
    <w:rsid w:val="00677C1D"/>
    <w:rsid w:val="00677D79"/>
    <w:rsid w:val="006871A3"/>
    <w:rsid w:val="006A05AB"/>
    <w:rsid w:val="006A2FC7"/>
    <w:rsid w:val="006C5368"/>
    <w:rsid w:val="006D39AD"/>
    <w:rsid w:val="006E5173"/>
    <w:rsid w:val="00707A04"/>
    <w:rsid w:val="00710A82"/>
    <w:rsid w:val="00711092"/>
    <w:rsid w:val="00711FD0"/>
    <w:rsid w:val="00720686"/>
    <w:rsid w:val="00730792"/>
    <w:rsid w:val="00734B13"/>
    <w:rsid w:val="00735301"/>
    <w:rsid w:val="00736E68"/>
    <w:rsid w:val="00736EB7"/>
    <w:rsid w:val="00754CAD"/>
    <w:rsid w:val="00756732"/>
    <w:rsid w:val="007615B2"/>
    <w:rsid w:val="00763E8D"/>
    <w:rsid w:val="007640B0"/>
    <w:rsid w:val="00780B93"/>
    <w:rsid w:val="00785815"/>
    <w:rsid w:val="007B23D9"/>
    <w:rsid w:val="007B2CD3"/>
    <w:rsid w:val="007B2D83"/>
    <w:rsid w:val="007B7B7A"/>
    <w:rsid w:val="007D54E9"/>
    <w:rsid w:val="007E0ACD"/>
    <w:rsid w:val="007E114E"/>
    <w:rsid w:val="00801FC9"/>
    <w:rsid w:val="00803B03"/>
    <w:rsid w:val="00804211"/>
    <w:rsid w:val="0080438F"/>
    <w:rsid w:val="00810B61"/>
    <w:rsid w:val="0081210F"/>
    <w:rsid w:val="008301C4"/>
    <w:rsid w:val="00830F62"/>
    <w:rsid w:val="00836ABA"/>
    <w:rsid w:val="00840C66"/>
    <w:rsid w:val="00841072"/>
    <w:rsid w:val="008415DF"/>
    <w:rsid w:val="008512B8"/>
    <w:rsid w:val="00854F6B"/>
    <w:rsid w:val="00861F8F"/>
    <w:rsid w:val="00865D9A"/>
    <w:rsid w:val="00880AFD"/>
    <w:rsid w:val="0088379F"/>
    <w:rsid w:val="008C1364"/>
    <w:rsid w:val="008D28D9"/>
    <w:rsid w:val="008D303B"/>
    <w:rsid w:val="008D427D"/>
    <w:rsid w:val="00901F62"/>
    <w:rsid w:val="009210E4"/>
    <w:rsid w:val="0092133A"/>
    <w:rsid w:val="00934CBC"/>
    <w:rsid w:val="009412CD"/>
    <w:rsid w:val="00942CD3"/>
    <w:rsid w:val="009634C8"/>
    <w:rsid w:val="009709D5"/>
    <w:rsid w:val="0097316F"/>
    <w:rsid w:val="009760B6"/>
    <w:rsid w:val="0098720A"/>
    <w:rsid w:val="00997ACE"/>
    <w:rsid w:val="009A2F05"/>
    <w:rsid w:val="009A4F5F"/>
    <w:rsid w:val="009B117D"/>
    <w:rsid w:val="009B265E"/>
    <w:rsid w:val="009B273F"/>
    <w:rsid w:val="009B62F6"/>
    <w:rsid w:val="009C28DB"/>
    <w:rsid w:val="009C2C57"/>
    <w:rsid w:val="009C635A"/>
    <w:rsid w:val="009E2BC6"/>
    <w:rsid w:val="009E44F3"/>
    <w:rsid w:val="00A13AAB"/>
    <w:rsid w:val="00A17BB1"/>
    <w:rsid w:val="00A271FD"/>
    <w:rsid w:val="00A2746E"/>
    <w:rsid w:val="00A324DD"/>
    <w:rsid w:val="00A32528"/>
    <w:rsid w:val="00A32772"/>
    <w:rsid w:val="00A33705"/>
    <w:rsid w:val="00A441EB"/>
    <w:rsid w:val="00A51E02"/>
    <w:rsid w:val="00A52BE2"/>
    <w:rsid w:val="00A55425"/>
    <w:rsid w:val="00A640FE"/>
    <w:rsid w:val="00A77B75"/>
    <w:rsid w:val="00A85EB7"/>
    <w:rsid w:val="00A90B1D"/>
    <w:rsid w:val="00A9168F"/>
    <w:rsid w:val="00A95AAA"/>
    <w:rsid w:val="00AA5A4E"/>
    <w:rsid w:val="00AC60BF"/>
    <w:rsid w:val="00AC7B35"/>
    <w:rsid w:val="00AD0E30"/>
    <w:rsid w:val="00AE4E9E"/>
    <w:rsid w:val="00B04A5D"/>
    <w:rsid w:val="00B063DE"/>
    <w:rsid w:val="00B13A78"/>
    <w:rsid w:val="00B22939"/>
    <w:rsid w:val="00B2774B"/>
    <w:rsid w:val="00B3703C"/>
    <w:rsid w:val="00B47F31"/>
    <w:rsid w:val="00B50BC0"/>
    <w:rsid w:val="00B57628"/>
    <w:rsid w:val="00B7733D"/>
    <w:rsid w:val="00B87CD9"/>
    <w:rsid w:val="00B905BD"/>
    <w:rsid w:val="00B92693"/>
    <w:rsid w:val="00B957BC"/>
    <w:rsid w:val="00BA6E4F"/>
    <w:rsid w:val="00BD0DC3"/>
    <w:rsid w:val="00BD18D1"/>
    <w:rsid w:val="00BE08BB"/>
    <w:rsid w:val="00BE1878"/>
    <w:rsid w:val="00BE59E7"/>
    <w:rsid w:val="00C07644"/>
    <w:rsid w:val="00C11C8F"/>
    <w:rsid w:val="00C3260F"/>
    <w:rsid w:val="00C3642B"/>
    <w:rsid w:val="00C40D18"/>
    <w:rsid w:val="00C67352"/>
    <w:rsid w:val="00C72C97"/>
    <w:rsid w:val="00C75C54"/>
    <w:rsid w:val="00C8470A"/>
    <w:rsid w:val="00C92643"/>
    <w:rsid w:val="00C95D69"/>
    <w:rsid w:val="00CA2C33"/>
    <w:rsid w:val="00CB0CA7"/>
    <w:rsid w:val="00CB2F3E"/>
    <w:rsid w:val="00CC2766"/>
    <w:rsid w:val="00CC75D5"/>
    <w:rsid w:val="00CC78A6"/>
    <w:rsid w:val="00CD11C7"/>
    <w:rsid w:val="00CE4482"/>
    <w:rsid w:val="00CE6DAF"/>
    <w:rsid w:val="00CE70B8"/>
    <w:rsid w:val="00CE7C32"/>
    <w:rsid w:val="00CF3F70"/>
    <w:rsid w:val="00D040AC"/>
    <w:rsid w:val="00D20E7B"/>
    <w:rsid w:val="00D35541"/>
    <w:rsid w:val="00D5337E"/>
    <w:rsid w:val="00D543E3"/>
    <w:rsid w:val="00D8047C"/>
    <w:rsid w:val="00D83EAB"/>
    <w:rsid w:val="00D83FDA"/>
    <w:rsid w:val="00D84966"/>
    <w:rsid w:val="00D9794E"/>
    <w:rsid w:val="00DA321B"/>
    <w:rsid w:val="00DA3E8B"/>
    <w:rsid w:val="00DB14B0"/>
    <w:rsid w:val="00DB345F"/>
    <w:rsid w:val="00DB6AD6"/>
    <w:rsid w:val="00DB7F5E"/>
    <w:rsid w:val="00DE39EC"/>
    <w:rsid w:val="00DE75AF"/>
    <w:rsid w:val="00DF710E"/>
    <w:rsid w:val="00E034DA"/>
    <w:rsid w:val="00E05C24"/>
    <w:rsid w:val="00E15D10"/>
    <w:rsid w:val="00E22CDF"/>
    <w:rsid w:val="00E34793"/>
    <w:rsid w:val="00E53B2F"/>
    <w:rsid w:val="00E5598D"/>
    <w:rsid w:val="00E6116D"/>
    <w:rsid w:val="00E63ACA"/>
    <w:rsid w:val="00E6431C"/>
    <w:rsid w:val="00E65710"/>
    <w:rsid w:val="00E7395C"/>
    <w:rsid w:val="00E73EB9"/>
    <w:rsid w:val="00E822E8"/>
    <w:rsid w:val="00E94D61"/>
    <w:rsid w:val="00EA0C4D"/>
    <w:rsid w:val="00EA487E"/>
    <w:rsid w:val="00EB2C93"/>
    <w:rsid w:val="00ED5645"/>
    <w:rsid w:val="00EE27C6"/>
    <w:rsid w:val="00EF6FB6"/>
    <w:rsid w:val="00F029BA"/>
    <w:rsid w:val="00F12A77"/>
    <w:rsid w:val="00F1314D"/>
    <w:rsid w:val="00F21126"/>
    <w:rsid w:val="00F324CF"/>
    <w:rsid w:val="00F479D1"/>
    <w:rsid w:val="00F47A65"/>
    <w:rsid w:val="00F50C1D"/>
    <w:rsid w:val="00F5467C"/>
    <w:rsid w:val="00F63D89"/>
    <w:rsid w:val="00F86262"/>
    <w:rsid w:val="00F86DDA"/>
    <w:rsid w:val="00F95642"/>
    <w:rsid w:val="00F97090"/>
    <w:rsid w:val="00FA11AF"/>
    <w:rsid w:val="00FB1A62"/>
    <w:rsid w:val="00FC5FED"/>
    <w:rsid w:val="01794995"/>
    <w:rsid w:val="025C2ACD"/>
    <w:rsid w:val="026C3CC9"/>
    <w:rsid w:val="041B79E1"/>
    <w:rsid w:val="049C585A"/>
    <w:rsid w:val="06DB47B5"/>
    <w:rsid w:val="088756F4"/>
    <w:rsid w:val="08DB5F87"/>
    <w:rsid w:val="0A694247"/>
    <w:rsid w:val="0CB35DA6"/>
    <w:rsid w:val="0CD43113"/>
    <w:rsid w:val="10193A63"/>
    <w:rsid w:val="10661243"/>
    <w:rsid w:val="122D1B9D"/>
    <w:rsid w:val="125200DA"/>
    <w:rsid w:val="12BB1FA1"/>
    <w:rsid w:val="13187DE4"/>
    <w:rsid w:val="136454BB"/>
    <w:rsid w:val="17282DD9"/>
    <w:rsid w:val="17C4452A"/>
    <w:rsid w:val="18016DC4"/>
    <w:rsid w:val="18D51641"/>
    <w:rsid w:val="19B46447"/>
    <w:rsid w:val="19BD6F63"/>
    <w:rsid w:val="1BB308F9"/>
    <w:rsid w:val="1CBD5533"/>
    <w:rsid w:val="1CD46B2E"/>
    <w:rsid w:val="1F072B2E"/>
    <w:rsid w:val="1F404206"/>
    <w:rsid w:val="236A22A4"/>
    <w:rsid w:val="23B91264"/>
    <w:rsid w:val="240770DC"/>
    <w:rsid w:val="244A79AB"/>
    <w:rsid w:val="251E703C"/>
    <w:rsid w:val="25876745"/>
    <w:rsid w:val="28CA0D70"/>
    <w:rsid w:val="296F25ED"/>
    <w:rsid w:val="2A717B3D"/>
    <w:rsid w:val="2B7D268D"/>
    <w:rsid w:val="2B8854D1"/>
    <w:rsid w:val="2C704EAA"/>
    <w:rsid w:val="2DA83456"/>
    <w:rsid w:val="2F882E8F"/>
    <w:rsid w:val="301042CA"/>
    <w:rsid w:val="31775E1A"/>
    <w:rsid w:val="318E1AB4"/>
    <w:rsid w:val="32D93628"/>
    <w:rsid w:val="34367C8B"/>
    <w:rsid w:val="34B928BB"/>
    <w:rsid w:val="36B844C9"/>
    <w:rsid w:val="36FC43A1"/>
    <w:rsid w:val="38004A1E"/>
    <w:rsid w:val="39414736"/>
    <w:rsid w:val="3A9913AE"/>
    <w:rsid w:val="3CB07915"/>
    <w:rsid w:val="40310B12"/>
    <w:rsid w:val="41812006"/>
    <w:rsid w:val="419E410A"/>
    <w:rsid w:val="41B563D6"/>
    <w:rsid w:val="422635CE"/>
    <w:rsid w:val="42AC4992"/>
    <w:rsid w:val="42EA52A5"/>
    <w:rsid w:val="44AD63E5"/>
    <w:rsid w:val="453C4529"/>
    <w:rsid w:val="458B0ECE"/>
    <w:rsid w:val="485C1012"/>
    <w:rsid w:val="48BA7F80"/>
    <w:rsid w:val="48E45B65"/>
    <w:rsid w:val="493525A3"/>
    <w:rsid w:val="49AE16C2"/>
    <w:rsid w:val="49CD4095"/>
    <w:rsid w:val="49D97FFF"/>
    <w:rsid w:val="4A042FB4"/>
    <w:rsid w:val="4DAF6FDA"/>
    <w:rsid w:val="4EBF5E99"/>
    <w:rsid w:val="50102BEF"/>
    <w:rsid w:val="521F4C02"/>
    <w:rsid w:val="52375183"/>
    <w:rsid w:val="526135B0"/>
    <w:rsid w:val="534B08F0"/>
    <w:rsid w:val="536016B2"/>
    <w:rsid w:val="5395678C"/>
    <w:rsid w:val="53B63DD9"/>
    <w:rsid w:val="547435CC"/>
    <w:rsid w:val="55933B14"/>
    <w:rsid w:val="56F441E9"/>
    <w:rsid w:val="59DC4C15"/>
    <w:rsid w:val="5AB03119"/>
    <w:rsid w:val="5BB35774"/>
    <w:rsid w:val="5BE444B8"/>
    <w:rsid w:val="5CB728E4"/>
    <w:rsid w:val="5FC00815"/>
    <w:rsid w:val="609B00AA"/>
    <w:rsid w:val="627B499D"/>
    <w:rsid w:val="64744E3C"/>
    <w:rsid w:val="64BA717A"/>
    <w:rsid w:val="64BF5C06"/>
    <w:rsid w:val="64C15A32"/>
    <w:rsid w:val="65791B93"/>
    <w:rsid w:val="65F4374F"/>
    <w:rsid w:val="68211AAD"/>
    <w:rsid w:val="6C9C46CF"/>
    <w:rsid w:val="6CEA69E8"/>
    <w:rsid w:val="6CF93C9D"/>
    <w:rsid w:val="6D951403"/>
    <w:rsid w:val="7155127A"/>
    <w:rsid w:val="74156C95"/>
    <w:rsid w:val="7493640B"/>
    <w:rsid w:val="763D26EB"/>
    <w:rsid w:val="769B7E4D"/>
    <w:rsid w:val="774D4688"/>
    <w:rsid w:val="77C60865"/>
    <w:rsid w:val="78C25017"/>
    <w:rsid w:val="792D533E"/>
    <w:rsid w:val="7AC24098"/>
    <w:rsid w:val="7C01003E"/>
    <w:rsid w:val="7DBB2585"/>
    <w:rsid w:val="7DDF28D4"/>
    <w:rsid w:val="7E400791"/>
    <w:rsid w:val="7F2834C3"/>
    <w:rsid w:val="7FF8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widowControl/>
      <w:numPr>
        <w:ilvl w:val="0"/>
        <w:numId w:val="1"/>
      </w:numPr>
      <w:spacing w:before="240" w:after="240"/>
      <w:jc w:val="left"/>
      <w:outlineLvl w:val="0"/>
    </w:pPr>
    <w:rPr>
      <w:rFonts w:ascii="Cambria" w:hAnsi="Cambria"/>
      <w:b/>
      <w:kern w:val="0"/>
      <w:sz w:val="36"/>
      <w:szCs w:val="32"/>
    </w:rPr>
  </w:style>
  <w:style w:type="paragraph" w:styleId="4">
    <w:name w:val="heading 2"/>
    <w:basedOn w:val="1"/>
    <w:next w:val="1"/>
    <w:qFormat/>
    <w:uiPriority w:val="9"/>
    <w:pPr>
      <w:keepNext/>
      <w:keepLines/>
      <w:widowControl/>
      <w:numPr>
        <w:ilvl w:val="1"/>
        <w:numId w:val="1"/>
      </w:numPr>
      <w:spacing w:before="240" w:after="240"/>
      <w:jc w:val="left"/>
      <w:outlineLvl w:val="1"/>
    </w:pPr>
    <w:rPr>
      <w:rFonts w:ascii="Cambria" w:hAnsi="Cambria"/>
      <w:kern w:val="0"/>
      <w:sz w:val="30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0" w:line="360" w:lineRule="exact"/>
      <w:jc w:val="center"/>
    </w:pPr>
    <w:rPr>
      <w:rFonts w:ascii="仿宋_GB2312" w:hAnsi="华文中宋" w:eastAsia="仿宋_GB2312"/>
      <w:sz w:val="24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2">
    <w:name w:val="Strong"/>
    <w:qFormat/>
    <w:uiPriority w:val="0"/>
    <w:rPr>
      <w:rFonts w:cs="Times New Roman"/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8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20">
    <w:name w:val="正文-工信委"/>
    <w:basedOn w:val="1"/>
    <w:link w:val="25"/>
    <w:qFormat/>
    <w:uiPriority w:val="0"/>
    <w:pPr>
      <w:spacing w:line="560" w:lineRule="exact"/>
      <w:ind w:firstLine="200" w:firstLineChars="200"/>
    </w:pPr>
    <w:rPr>
      <w:rFonts w:eastAsia="仿宋_GB2312"/>
      <w:kern w:val="0"/>
      <w:sz w:val="32"/>
      <w:szCs w:val="32"/>
    </w:rPr>
  </w:style>
  <w:style w:type="paragraph" w:customStyle="1" w:styleId="21">
    <w:name w:val="text"/>
    <w:basedOn w:val="1"/>
    <w:qFormat/>
    <w:uiPriority w:val="0"/>
    <w:pPr>
      <w:spacing w:line="360" w:lineRule="auto"/>
      <w:ind w:firstLine="420"/>
    </w:pPr>
    <w:rPr>
      <w:rFonts w:ascii="Calibri" w:hAnsi="Calibri" w:eastAsia="仿宋_GB2312"/>
      <w:sz w:val="24"/>
      <w:szCs w:val="20"/>
    </w:rPr>
  </w:style>
  <w:style w:type="paragraph" w:customStyle="1" w:styleId="22">
    <w:name w:val="标题 11"/>
    <w:basedOn w:val="1"/>
    <w:qFormat/>
    <w:uiPriority w:val="1"/>
    <w:pPr>
      <w:autoSpaceDE w:val="0"/>
      <w:autoSpaceDN w:val="0"/>
      <w:ind w:left="1454"/>
      <w:jc w:val="center"/>
      <w:outlineLvl w:val="1"/>
    </w:pPr>
    <w:rPr>
      <w:rFonts w:ascii="Noto Sans CJK JP Regular" w:hAnsi="Noto Sans CJK JP Regular" w:eastAsia="Noto Sans CJK JP Regular" w:cs="Noto Sans CJK JP Regular"/>
      <w:kern w:val="0"/>
      <w:sz w:val="44"/>
      <w:szCs w:val="44"/>
      <w:lang w:val="zh-CN" w:bidi="zh-CN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Title1"/>
    <w:qFormat/>
    <w:uiPriority w:val="0"/>
    <w:pPr>
      <w:jc w:val="center"/>
    </w:pPr>
    <w:rPr>
      <w:rFonts w:ascii="Calibri" w:hAnsi="Calibri" w:eastAsia="黑体" w:cs="Times New Roman"/>
      <w:kern w:val="2"/>
      <w:sz w:val="44"/>
      <w:szCs w:val="22"/>
      <w:lang w:val="en-US" w:eastAsia="zh-CN" w:bidi="ar-SA"/>
    </w:rPr>
  </w:style>
  <w:style w:type="character" w:customStyle="1" w:styleId="25">
    <w:name w:val="正文-工信委 Char"/>
    <w:link w:val="20"/>
    <w:qFormat/>
    <w:uiPriority w:val="0"/>
    <w:rPr>
      <w:rFonts w:eastAsia="仿宋_GB2312"/>
      <w:sz w:val="32"/>
      <w:szCs w:val="32"/>
    </w:rPr>
  </w:style>
  <w:style w:type="paragraph" w:customStyle="1" w:styleId="26">
    <w:name w:val="标题 12"/>
    <w:basedOn w:val="1"/>
    <w:qFormat/>
    <w:uiPriority w:val="1"/>
    <w:pPr>
      <w:autoSpaceDE w:val="0"/>
      <w:autoSpaceDN w:val="0"/>
      <w:ind w:left="1454"/>
      <w:jc w:val="center"/>
      <w:outlineLvl w:val="1"/>
    </w:pPr>
    <w:rPr>
      <w:rFonts w:ascii="Noto Sans CJK JP Regular" w:hAnsi="Noto Sans CJK JP Regular" w:eastAsia="Noto Sans CJK JP Regular" w:cs="Noto Sans CJK JP Regular"/>
      <w:kern w:val="0"/>
      <w:sz w:val="44"/>
      <w:szCs w:val="4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ngyan\Application%20Data\Microsoft\Templates\&#24179;&#32423;&#21457;&#25991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平级发文</Template>
  <Company>tjec</Company>
  <Pages>5</Pages>
  <Words>383</Words>
  <Characters>2185</Characters>
  <Lines>18</Lines>
  <Paragraphs>5</Paragraphs>
  <TotalTime>0</TotalTime>
  <ScaleCrop>false</ScaleCrop>
  <LinksUpToDate>false</LinksUpToDate>
  <CharactersWithSpaces>2563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2018-08-14T09:25:00Z</dcterms:created>
  <dc:creator>办公室</dc:creator>
  <cp:lastModifiedBy>hp</cp:lastModifiedBy>
  <cp:lastPrinted>2021-09-18T03:19:00Z</cp:lastPrinted>
  <dcterms:modified xsi:type="dcterms:W3CDTF">2021-09-29T09:04:31Z</dcterms:modified>
  <dc:title>津经[2003]号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