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eastAsia="黑体"/>
          <w:w w:val="95"/>
          <w:sz w:val="44"/>
          <w:szCs w:val="44"/>
          <w:lang w:eastAsia="zh-CN"/>
        </w:rPr>
      </w:pPr>
      <w:r>
        <w:rPr>
          <w:rFonts w:hint="eastAsia" w:eastAsia="黑体"/>
          <w:w w:val="95"/>
          <w:sz w:val="44"/>
          <w:szCs w:val="44"/>
        </w:rPr>
        <w:t>天津市南开区生态环境</w:t>
      </w:r>
      <w:r>
        <w:rPr>
          <w:rFonts w:hint="eastAsia" w:eastAsia="黑体"/>
          <w:w w:val="95"/>
          <w:sz w:val="44"/>
          <w:szCs w:val="44"/>
          <w:lang w:eastAsia="zh-CN"/>
        </w:rPr>
        <w:t>监测中心</w:t>
      </w:r>
    </w:p>
    <w:p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/>
          <w:w w:val="95"/>
          <w:sz w:val="44"/>
          <w:szCs w:val="44"/>
        </w:rPr>
        <w:t>20</w:t>
      </w:r>
      <w:r>
        <w:rPr>
          <w:rFonts w:hint="eastAsia" w:eastAsia="黑体"/>
          <w:w w:val="95"/>
          <w:sz w:val="44"/>
          <w:szCs w:val="44"/>
        </w:rPr>
        <w:t>21</w:t>
      </w:r>
      <w:r>
        <w:rPr>
          <w:rFonts w:eastAsia="黑体"/>
          <w:w w:val="95"/>
          <w:sz w:val="44"/>
          <w:szCs w:val="44"/>
        </w:rPr>
        <w:t>年部门预算编制说明</w:t>
      </w: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一、部门主要职责</w:t>
      </w:r>
    </w:p>
    <w:p>
      <w:pPr>
        <w:spacing w:line="600" w:lineRule="exact"/>
        <w:ind w:firstLine="600" w:firstLineChars="200"/>
        <w:rPr>
          <w:rFonts w:hint="eastAsia" w:eastAsia="仿宋_GB2312" w:cs="Times New Roman"/>
          <w:sz w:val="30"/>
          <w:szCs w:val="30"/>
        </w:rPr>
      </w:pPr>
      <w:r>
        <w:rPr>
          <w:rFonts w:hint="eastAsia" w:eastAsia="仿宋_GB2312" w:cs="Times New Roman"/>
          <w:sz w:val="30"/>
          <w:szCs w:val="30"/>
        </w:rPr>
        <w:t>承担区生态环境监测工作；承担区机动车排气污染防治的相关检测工作；承担辖区内突发性环境污染事故调查、处理的事务性工作。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二、部门机构设置情况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南开区</w:t>
      </w:r>
      <w:r>
        <w:rPr>
          <w:rFonts w:hint="eastAsia" w:eastAsia="仿宋_GB2312"/>
          <w:sz w:val="30"/>
          <w:szCs w:val="30"/>
          <w:lang w:eastAsia="zh-CN"/>
        </w:rPr>
        <w:t>生态</w:t>
      </w:r>
      <w:r>
        <w:rPr>
          <w:rFonts w:hint="eastAsia" w:eastAsia="仿宋_GB2312"/>
          <w:sz w:val="30"/>
          <w:szCs w:val="30"/>
        </w:rPr>
        <w:t>环境监测中心</w:t>
      </w:r>
      <w:r>
        <w:rPr>
          <w:rFonts w:eastAsia="仿宋_GB2312"/>
          <w:sz w:val="30"/>
          <w:szCs w:val="30"/>
        </w:rPr>
        <w:t>内设</w:t>
      </w:r>
      <w:r>
        <w:rPr>
          <w:rFonts w:eastAsia="仿宋_GB2312"/>
          <w:sz w:val="30"/>
          <w:szCs w:val="30"/>
          <w:u w:val="single"/>
        </w:rPr>
        <w:t xml:space="preserve"> 0  </w:t>
      </w:r>
      <w:r>
        <w:rPr>
          <w:rFonts w:eastAsia="仿宋_GB2312"/>
          <w:sz w:val="30"/>
          <w:szCs w:val="30"/>
        </w:rPr>
        <w:t>个职能</w:t>
      </w:r>
      <w:r>
        <w:rPr>
          <w:rFonts w:hint="eastAsia" w:eastAsia="仿宋_GB2312"/>
          <w:sz w:val="30"/>
          <w:szCs w:val="30"/>
        </w:rPr>
        <w:t>科</w:t>
      </w:r>
      <w:r>
        <w:rPr>
          <w:rFonts w:eastAsia="仿宋_GB2312"/>
          <w:sz w:val="30"/>
          <w:szCs w:val="30"/>
        </w:rPr>
        <w:t>室；下辖</w:t>
      </w:r>
      <w:r>
        <w:rPr>
          <w:rFonts w:eastAsia="仿宋_GB2312"/>
          <w:sz w:val="30"/>
          <w:szCs w:val="30"/>
          <w:u w:val="single"/>
        </w:rPr>
        <w:t xml:space="preserve"> 0  </w:t>
      </w:r>
      <w:r>
        <w:rPr>
          <w:rFonts w:eastAsia="仿宋_GB2312"/>
          <w:sz w:val="30"/>
          <w:szCs w:val="30"/>
        </w:rPr>
        <w:t>个预算单位</w:t>
      </w:r>
      <w:r>
        <w:rPr>
          <w:rFonts w:hint="eastAsia" w:eastAsia="仿宋_GB2312"/>
          <w:sz w:val="30"/>
          <w:szCs w:val="30"/>
        </w:rPr>
        <w:t>。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</w:rPr>
        <w:t>本部门实有人员</w:t>
      </w:r>
      <w:r>
        <w:rPr>
          <w:rFonts w:hint="eastAsia"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  <w:u w:val="single"/>
        </w:rPr>
        <w:t>47</w:t>
      </w:r>
      <w:r>
        <w:rPr>
          <w:rFonts w:hint="eastAsia"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</w:rPr>
        <w:t>人，其中在职人员</w:t>
      </w:r>
      <w:r>
        <w:rPr>
          <w:rFonts w:hint="eastAsia"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  <w:u w:val="single"/>
        </w:rPr>
        <w:t>30</w:t>
      </w:r>
      <w:r>
        <w:rPr>
          <w:rFonts w:hint="eastAsia"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</w:rPr>
        <w:t>人，离休人员</w:t>
      </w:r>
      <w:r>
        <w:rPr>
          <w:rFonts w:hint="eastAsia"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  <w:u w:val="single"/>
        </w:rPr>
        <w:t>0</w:t>
      </w:r>
      <w:r>
        <w:rPr>
          <w:rFonts w:hint="eastAsia"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</w:rPr>
        <w:t>人，退休人员</w:t>
      </w:r>
      <w:r>
        <w:rPr>
          <w:rFonts w:hint="eastAsia"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  <w:u w:val="single"/>
        </w:rPr>
        <w:t>17</w:t>
      </w:r>
      <w:r>
        <w:rPr>
          <w:rFonts w:hint="eastAsia"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</w:rPr>
        <w:t>人</w:t>
      </w:r>
      <w:r>
        <w:rPr>
          <w:rFonts w:hint="eastAsia" w:eastAsia="仿宋_GB2312"/>
          <w:sz w:val="30"/>
          <w:szCs w:val="30"/>
          <w:lang w:eastAsia="zh-CN"/>
        </w:rPr>
        <w:t>。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三、部门预算草案编制情况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（一）部门收入预算情况说明</w:t>
      </w:r>
    </w:p>
    <w:p>
      <w:pPr>
        <w:spacing w:line="600" w:lineRule="exact"/>
        <w:ind w:firstLine="150" w:firstLineChars="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部门收入预算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650.88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年预算相比增加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8.99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万元。其中，本年收入合计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650.88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年预算相比增加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8.99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万元，包括</w:t>
      </w:r>
      <w:r>
        <w:rPr>
          <w:rFonts w:hint="eastAsia" w:eastAsia="仿宋_GB2312"/>
          <w:sz w:val="30"/>
          <w:szCs w:val="30"/>
        </w:rPr>
        <w:t>一般公共预算拨款收入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650.88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政府性基金预算拨款收入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国有资本经营预算拨款收入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非同级财政拨款预算收入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、财政专户管理资金收入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、事业收入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事业单位经营收入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上级补助收入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附属单位上缴收入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、其他收入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万元；上年结转结余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（二）部门支出预算情况说明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部门支出预算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650.88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年预算相比增加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8.99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万元，其中：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社会保障</w:t>
      </w:r>
      <w:r>
        <w:rPr>
          <w:rFonts w:eastAsia="仿宋_GB2312"/>
          <w:sz w:val="30"/>
          <w:szCs w:val="30"/>
        </w:rPr>
        <w:t>和就业支出科目支出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62.28</w:t>
      </w:r>
      <w:bookmarkStart w:id="0" w:name="_GoBack"/>
      <w:bookmarkEnd w:id="0"/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万元，主要用于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</w:rPr>
        <w:t>行政事业单位基本养老保险缴费支出</w:t>
      </w:r>
      <w:r>
        <w:rPr>
          <w:rFonts w:eastAsia="仿宋_GB2312"/>
          <w:sz w:val="30"/>
          <w:szCs w:val="30"/>
        </w:rPr>
        <w:t>；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  <w:u w:val="single"/>
        </w:rPr>
      </w:pPr>
      <w:r>
        <w:rPr>
          <w:rFonts w:hint="eastAsia" w:eastAsia="仿宋_GB2312"/>
          <w:sz w:val="30"/>
          <w:szCs w:val="30"/>
        </w:rPr>
        <w:t>卫生健康支出</w:t>
      </w:r>
      <w:r>
        <w:rPr>
          <w:rFonts w:eastAsia="仿宋_GB2312"/>
          <w:sz w:val="30"/>
          <w:szCs w:val="30"/>
        </w:rPr>
        <w:t>科目支出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27.25</w:t>
      </w:r>
      <w:r>
        <w:rPr>
          <w:rFonts w:eastAsia="仿宋_GB2312"/>
          <w:sz w:val="30"/>
          <w:szCs w:val="30"/>
        </w:rPr>
        <w:t>万元，主要用于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</w:rPr>
        <w:t>行政事业单位医疗支出</w:t>
      </w:r>
      <w:r>
        <w:rPr>
          <w:rFonts w:eastAsia="仿宋_GB2312"/>
          <w:sz w:val="30"/>
          <w:szCs w:val="30"/>
          <w:u w:val="single"/>
        </w:rPr>
        <w:t xml:space="preserve"> ;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  <w:u w:val="single"/>
        </w:rPr>
      </w:pPr>
      <w:r>
        <w:rPr>
          <w:rFonts w:hint="eastAsia" w:eastAsia="仿宋_GB2312"/>
          <w:sz w:val="30"/>
          <w:szCs w:val="30"/>
        </w:rPr>
        <w:t>节能环保支出</w:t>
      </w:r>
      <w:r>
        <w:rPr>
          <w:rFonts w:eastAsia="仿宋_GB2312"/>
          <w:sz w:val="30"/>
          <w:szCs w:val="30"/>
        </w:rPr>
        <w:t>科目支出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561.35</w:t>
      </w:r>
      <w:r>
        <w:rPr>
          <w:rFonts w:eastAsia="仿宋_GB2312"/>
          <w:sz w:val="30"/>
          <w:szCs w:val="30"/>
        </w:rPr>
        <w:t>万元，主要用于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</w:rPr>
        <w:t>本部门人员及</w:t>
      </w:r>
      <w:r>
        <w:rPr>
          <w:rFonts w:eastAsia="仿宋_GB2312"/>
          <w:sz w:val="30"/>
          <w:szCs w:val="30"/>
          <w:u w:val="single"/>
        </w:rPr>
        <w:t>公用经费</w:t>
      </w:r>
      <w:r>
        <w:rPr>
          <w:rFonts w:hint="eastAsia" w:eastAsia="仿宋_GB2312"/>
          <w:sz w:val="30"/>
          <w:szCs w:val="30"/>
          <w:u w:val="single"/>
        </w:rPr>
        <w:t>。</w:t>
      </w:r>
    </w:p>
    <w:p>
      <w:pPr>
        <w:spacing w:line="600" w:lineRule="exact"/>
        <w:ind w:firstLine="600" w:firstLineChars="200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四</w:t>
      </w:r>
      <w:r>
        <w:rPr>
          <w:rFonts w:eastAsia="黑体"/>
          <w:sz w:val="30"/>
          <w:szCs w:val="30"/>
        </w:rPr>
        <w:t>、其他重要事项的情况说明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（一）机关运行经费</w:t>
      </w:r>
    </w:p>
    <w:p>
      <w:pPr>
        <w:spacing w:line="580" w:lineRule="exact"/>
        <w:ind w:firstLine="600" w:firstLineChars="200"/>
        <w:rPr>
          <w:rFonts w:eastAsia="楷体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本部门202</w:t>
      </w:r>
      <w:r>
        <w:rPr>
          <w:rFonts w:hint="eastAsia" w:eastAsia="仿宋_GB2312"/>
          <w:sz w:val="30"/>
          <w:szCs w:val="30"/>
          <w:lang w:val="en-US" w:eastAsia="zh-CN"/>
        </w:rPr>
        <w:t>1</w:t>
      </w:r>
      <w:r>
        <w:rPr>
          <w:rFonts w:hint="eastAsia" w:eastAsia="仿宋_GB2312"/>
          <w:sz w:val="30"/>
          <w:szCs w:val="30"/>
        </w:rPr>
        <w:t>年未安排机关运行经费预算</w:t>
      </w:r>
      <w:r>
        <w:rPr>
          <w:rFonts w:hint="eastAsia" w:eastAsia="仿宋_GB2312"/>
          <w:sz w:val="30"/>
          <w:szCs w:val="30"/>
          <w:lang w:eastAsia="zh-CN"/>
        </w:rPr>
        <w:t>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（二）政府采购情况</w:t>
      </w:r>
    </w:p>
    <w:p>
      <w:pPr>
        <w:spacing w:line="580" w:lineRule="exact"/>
        <w:ind w:firstLine="600" w:firstLineChars="200"/>
        <w:rPr>
          <w:rFonts w:hint="eastAsia" w:eastAsia="仿宋_GB2312" w:cs="Times New Roman"/>
          <w:sz w:val="30"/>
          <w:szCs w:val="30"/>
          <w:lang w:eastAsia="zh-CN"/>
        </w:rPr>
      </w:pPr>
      <w:r>
        <w:rPr>
          <w:rFonts w:hint="eastAsia" w:eastAsia="仿宋_GB2312" w:cs="Times New Roman"/>
          <w:sz w:val="30"/>
          <w:szCs w:val="30"/>
        </w:rPr>
        <w:t>本部门2021年未安排政府采购预算</w:t>
      </w:r>
      <w:r>
        <w:rPr>
          <w:rFonts w:hint="eastAsia" w:eastAsia="仿宋_GB2312" w:cs="Times New Roman"/>
          <w:sz w:val="30"/>
          <w:szCs w:val="30"/>
          <w:lang w:eastAsia="zh-CN"/>
        </w:rPr>
        <w:t>。</w:t>
      </w:r>
    </w:p>
    <w:p>
      <w:pPr>
        <w:spacing w:line="600" w:lineRule="exact"/>
        <w:ind w:firstLine="602" w:firstLineChars="200"/>
        <w:rPr>
          <w:rFonts w:hint="eastAsia"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</w:rPr>
        <w:t>三</w:t>
      </w:r>
      <w:r>
        <w:rPr>
          <w:rFonts w:eastAsia="楷体_GB2312"/>
          <w:b/>
          <w:sz w:val="30"/>
          <w:szCs w:val="30"/>
        </w:rPr>
        <w:t>）</w:t>
      </w:r>
      <w:r>
        <w:rPr>
          <w:rFonts w:hint="eastAsia" w:eastAsia="楷体_GB2312"/>
          <w:b/>
          <w:sz w:val="30"/>
          <w:szCs w:val="30"/>
        </w:rPr>
        <w:t>国有资产占用情况</w:t>
      </w:r>
    </w:p>
    <w:p>
      <w:pPr>
        <w:spacing w:line="580" w:lineRule="exact"/>
        <w:ind w:firstLine="600" w:firstLineChars="200"/>
        <w:jc w:val="both"/>
        <w:rPr>
          <w:rFonts w:hint="eastAsia" w:ascii="仿宋_GB2312" w:hAnsi="宋体" w:eastAsia="仿宋_GB2312" w:cs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截至20</w:t>
      </w:r>
      <w:r>
        <w:rPr>
          <w:rFonts w:hint="eastAsia" w:eastAsia="仿宋_GB2312"/>
          <w:color w:val="000000"/>
          <w:sz w:val="30"/>
          <w:szCs w:val="30"/>
        </w:rPr>
        <w:t>20</w:t>
      </w:r>
      <w:r>
        <w:rPr>
          <w:rFonts w:eastAsia="仿宋_GB2312"/>
          <w:color w:val="000000"/>
          <w:sz w:val="30"/>
          <w:szCs w:val="30"/>
        </w:rPr>
        <w:t>年</w:t>
      </w:r>
      <w:r>
        <w:rPr>
          <w:rFonts w:hint="eastAsia" w:eastAsia="仿宋_GB2312"/>
          <w:color w:val="000000"/>
          <w:sz w:val="30"/>
          <w:szCs w:val="30"/>
        </w:rPr>
        <w:t>7月底</w:t>
      </w:r>
      <w:r>
        <w:rPr>
          <w:rFonts w:eastAsia="仿宋_GB2312"/>
          <w:color w:val="000000"/>
          <w:sz w:val="30"/>
          <w:szCs w:val="30"/>
        </w:rPr>
        <w:t>，</w:t>
      </w:r>
      <w:r>
        <w:rPr>
          <w:rFonts w:hint="eastAsia" w:eastAsia="仿宋_GB2312"/>
          <w:sz w:val="30"/>
          <w:szCs w:val="30"/>
        </w:rPr>
        <w:t>本</w:t>
      </w:r>
      <w:r>
        <w:rPr>
          <w:rFonts w:eastAsia="仿宋_GB2312"/>
          <w:sz w:val="30"/>
          <w:szCs w:val="30"/>
        </w:rPr>
        <w:t>部门</w:t>
      </w:r>
      <w:r>
        <w:rPr>
          <w:rFonts w:eastAsia="仿宋_GB2312"/>
          <w:color w:val="000000"/>
          <w:sz w:val="30"/>
          <w:szCs w:val="30"/>
        </w:rPr>
        <w:t>各单位共有车辆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4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color w:val="000000"/>
          <w:sz w:val="30"/>
          <w:szCs w:val="30"/>
        </w:rPr>
        <w:t>辆，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其中：副部（省）级及以上领导用车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辆、主要领导干部用车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辆、机要通信用车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辆、应急保障用车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辆、执法执勤用车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辆、特种专业技术用车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辆、离退休干部用车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辆、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其他用车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4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辆，</w:t>
      </w:r>
      <w:r>
        <w:rPr>
          <w:rFonts w:ascii="仿宋_GB2312" w:eastAsia="仿宋_GB2312"/>
          <w:sz w:val="30"/>
          <w:szCs w:val="30"/>
        </w:rPr>
        <w:t>其他用车主要包括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</w:rPr>
        <w:t>监测业务用车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。单价50万元以上的通用设备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台（套），单价100万元以上的专用设备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台（套）。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</w:rPr>
        <w:t>四</w:t>
      </w:r>
      <w:r>
        <w:rPr>
          <w:rFonts w:eastAsia="楷体_GB2312"/>
          <w:b/>
          <w:sz w:val="30"/>
          <w:szCs w:val="30"/>
        </w:rPr>
        <w:t>）</w:t>
      </w:r>
      <w:r>
        <w:rPr>
          <w:rFonts w:hint="eastAsia" w:eastAsia="楷体_GB2312"/>
          <w:b/>
          <w:sz w:val="30"/>
          <w:szCs w:val="30"/>
        </w:rPr>
        <w:t>绩效目标设置情况</w:t>
      </w:r>
    </w:p>
    <w:p>
      <w:pPr>
        <w:spacing w:line="580" w:lineRule="exact"/>
        <w:ind w:firstLine="600" w:firstLineChars="200"/>
        <w:jc w:val="both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20</w:t>
      </w:r>
      <w:r>
        <w:rPr>
          <w:rFonts w:hint="eastAsia" w:eastAsia="仿宋_GB2312"/>
          <w:color w:val="000000"/>
          <w:sz w:val="30"/>
          <w:szCs w:val="30"/>
        </w:rPr>
        <w:t>21</w:t>
      </w:r>
      <w:r>
        <w:rPr>
          <w:rFonts w:eastAsia="仿宋_GB2312"/>
          <w:color w:val="000000"/>
          <w:sz w:val="30"/>
          <w:szCs w:val="30"/>
        </w:rPr>
        <w:t>年，本部门实行绩效目标管理的项目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color w:val="000000"/>
          <w:sz w:val="30"/>
          <w:szCs w:val="30"/>
        </w:rPr>
        <w:t>个，涉及预算金额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color w:val="000000"/>
          <w:sz w:val="30"/>
          <w:szCs w:val="30"/>
        </w:rPr>
        <w:t>万元</w:t>
      </w:r>
      <w:r>
        <w:rPr>
          <w:rFonts w:hint="eastAsia" w:eastAsia="仿宋_GB2312"/>
          <w:color w:val="000000"/>
          <w:sz w:val="30"/>
          <w:szCs w:val="30"/>
        </w:rPr>
        <w:t>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</w:rPr>
        <w:t>五</w:t>
      </w:r>
      <w:r>
        <w:rPr>
          <w:rFonts w:eastAsia="楷体_GB2312"/>
          <w:b/>
          <w:sz w:val="30"/>
          <w:szCs w:val="30"/>
        </w:rPr>
        <w:t>）专业性名词解释</w:t>
      </w:r>
    </w:p>
    <w:p>
      <w:pPr>
        <w:spacing w:line="58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hint="eastAsia" w:eastAsia="仿宋_GB2312"/>
          <w:sz w:val="30"/>
          <w:szCs w:val="30"/>
        </w:rPr>
        <w:t>部门预算。是指主管预算部门依据相关法律、法规和政策规定及其行使职能需要，组织所属预算单位编制并逐级上报、审核、汇总，经财政部门审核后按程序依法批准的部门综合收支计划。</w:t>
      </w:r>
    </w:p>
    <w:p>
      <w:pPr>
        <w:spacing w:line="600" w:lineRule="exact"/>
        <w:ind w:firstLine="602" w:firstLineChars="200"/>
        <w:rPr>
          <w:rFonts w:hint="eastAsia"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</w:rPr>
        <w:t>六</w:t>
      </w:r>
      <w:r>
        <w:rPr>
          <w:rFonts w:eastAsia="楷体_GB2312"/>
          <w:b/>
          <w:sz w:val="30"/>
          <w:szCs w:val="30"/>
        </w:rPr>
        <w:t>）</w:t>
      </w:r>
      <w:r>
        <w:rPr>
          <w:rFonts w:hint="eastAsia" w:eastAsia="楷体_GB2312"/>
          <w:b/>
          <w:sz w:val="30"/>
          <w:szCs w:val="30"/>
        </w:rPr>
        <w:t>关于空表的说明</w:t>
      </w:r>
    </w:p>
    <w:p>
      <w:pPr>
        <w:spacing w:line="58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val="en-US" w:eastAsia="zh-CN"/>
        </w:rPr>
        <w:t>1</w:t>
      </w:r>
      <w:r>
        <w:rPr>
          <w:rFonts w:hint="eastAsia" w:eastAsia="仿宋_GB2312"/>
          <w:sz w:val="30"/>
          <w:szCs w:val="30"/>
        </w:rPr>
        <w:t>.本部门2021年政府性基金预算支出情况表为空表。</w:t>
      </w:r>
    </w:p>
    <w:p>
      <w:pPr>
        <w:spacing w:line="58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val="en-US" w:eastAsia="zh-CN"/>
        </w:rPr>
        <w:t>2</w:t>
      </w:r>
      <w:r>
        <w:rPr>
          <w:rFonts w:hint="eastAsia" w:eastAsia="仿宋_GB2312"/>
          <w:sz w:val="30"/>
          <w:szCs w:val="30"/>
        </w:rPr>
        <w:t>.本部门2021年项目支出明细表为空表。</w:t>
      </w:r>
    </w:p>
    <w:p>
      <w:pPr>
        <w:spacing w:line="580" w:lineRule="exact"/>
        <w:ind w:firstLine="600" w:firstLineChars="200"/>
        <w:rPr>
          <w:rFonts w:eastAsia="仿宋_GB2312"/>
          <w:sz w:val="30"/>
          <w:szCs w:val="30"/>
        </w:rPr>
      </w:pPr>
    </w:p>
    <w:p>
      <w:pPr>
        <w:spacing w:line="580" w:lineRule="exact"/>
        <w:ind w:firstLine="1800" w:firstLineChars="500"/>
        <w:rPr>
          <w:rFonts w:eastAsia="黑体"/>
          <w:sz w:val="36"/>
          <w:szCs w:val="36"/>
        </w:rPr>
      </w:pPr>
    </w:p>
    <w:p>
      <w:pPr>
        <w:spacing w:line="580" w:lineRule="exact"/>
        <w:rPr>
          <w:rFonts w:eastAsia="黑体"/>
          <w:sz w:val="36"/>
          <w:szCs w:val="36"/>
        </w:rPr>
      </w:pPr>
    </w:p>
    <w:p>
      <w:pPr>
        <w:spacing w:line="580" w:lineRule="exact"/>
        <w:rPr>
          <w:rFonts w:eastAsia="黑体"/>
          <w:sz w:val="36"/>
          <w:szCs w:val="36"/>
        </w:rPr>
      </w:pPr>
    </w:p>
    <w:p>
      <w:pPr>
        <w:spacing w:line="580" w:lineRule="exact"/>
        <w:rPr>
          <w:rFonts w:eastAsia="黑体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1966"/>
    <w:rsid w:val="001E52BC"/>
    <w:rsid w:val="00511966"/>
    <w:rsid w:val="04407E5F"/>
    <w:rsid w:val="0FBE188F"/>
    <w:rsid w:val="164D12C0"/>
    <w:rsid w:val="170D7F2F"/>
    <w:rsid w:val="1EB4689D"/>
    <w:rsid w:val="35491A12"/>
    <w:rsid w:val="3D517074"/>
    <w:rsid w:val="5C8B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MS Serif" w:hAnsi="MS Serif" w:eastAsia="宋体" w:cs="Times New Roman"/>
      <w:kern w:val="0"/>
      <w:sz w:val="24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QPGOS.COM</Company>
  <Pages>4</Pages>
  <Words>244</Words>
  <Characters>1391</Characters>
  <Lines>11</Lines>
  <Paragraphs>3</Paragraphs>
  <TotalTime>3</TotalTime>
  <ScaleCrop>false</ScaleCrop>
  <LinksUpToDate>false</LinksUpToDate>
  <CharactersWithSpaces>1632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2021-01-28T09:02:00Z</dcterms:created>
  <dc:creator>Administrator</dc:creator>
  <cp:lastModifiedBy>dell</cp:lastModifiedBy>
  <dcterms:modified xsi:type="dcterms:W3CDTF">2021-02-18T07:30:05Z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