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color w:val="000000"/>
          <w:sz w:val="44"/>
          <w:szCs w:val="44"/>
        </w:rPr>
        <w:t>关于印发《</w:t>
      </w:r>
      <w:r>
        <w:rPr>
          <w:rFonts w:hint="eastAsia" w:ascii="方正小标宋简体" w:hAnsi="方正小标宋简体" w:eastAsia="方正小标宋简体" w:cs="方正小标宋简体"/>
          <w:b w:val="0"/>
          <w:bCs/>
          <w:sz w:val="44"/>
          <w:szCs w:val="44"/>
        </w:rPr>
        <w:t>2022年度天津市南开区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b/>
          <w:color w:val="000000"/>
          <w:sz w:val="44"/>
          <w:szCs w:val="44"/>
        </w:rPr>
      </w:pPr>
      <w:r>
        <w:rPr>
          <w:rFonts w:hint="eastAsia" w:ascii="方正小标宋简体" w:hAnsi="方正小标宋简体" w:eastAsia="方正小标宋简体" w:cs="方正小标宋简体"/>
          <w:b w:val="0"/>
          <w:bCs/>
          <w:sz w:val="44"/>
          <w:szCs w:val="44"/>
        </w:rPr>
        <w:t>公共法律服务体系建设实施要点</w:t>
      </w:r>
      <w:r>
        <w:rPr>
          <w:rFonts w:hint="eastAsia" w:ascii="方正小标宋简体" w:hAnsi="方正小标宋简体" w:eastAsia="方正小标宋简体" w:cs="方正小标宋简体"/>
          <w:b w:val="0"/>
          <w:bCs/>
          <w:color w:val="000000"/>
          <w:sz w:val="44"/>
          <w:szCs w:val="44"/>
        </w:rPr>
        <w:t>》的通知</w:t>
      </w:r>
    </w:p>
    <w:p>
      <w:pPr>
        <w:jc w:val="center"/>
        <w:rPr>
          <w:rFonts w:hint="eastAsia" w:ascii="宋体" w:hAnsi="宋体" w:eastAsia="宋体"/>
          <w:b/>
          <w:color w:val="000000"/>
          <w:sz w:val="44"/>
          <w:szCs w:val="44"/>
        </w:rPr>
      </w:pPr>
    </w:p>
    <w:p>
      <w:pPr>
        <w:spacing w:line="500" w:lineRule="exact"/>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各科室、处、中心、所：</w:t>
      </w:r>
    </w:p>
    <w:p>
      <w:pPr>
        <w:spacing w:line="500" w:lineRule="exact"/>
        <w:ind w:firstLine="631"/>
        <w:rPr>
          <w:rFonts w:hint="eastAsia" w:ascii="仿宋_GB2312" w:eastAsia="仿宋_GB2312"/>
          <w:color w:val="000000"/>
          <w:sz w:val="32"/>
          <w:szCs w:val="32"/>
        </w:rPr>
      </w:pPr>
      <w:r>
        <w:rPr>
          <w:rFonts w:hint="eastAsia" w:ascii="仿宋_GB2312" w:eastAsia="仿宋_GB2312"/>
          <w:color w:val="000000"/>
          <w:sz w:val="32"/>
          <w:szCs w:val="32"/>
        </w:rPr>
        <w:t>现将《2022年度天津市南开区公共法律服务体系建设实施要点》下发你们，请认真组织学习，抓好工作的落实。</w:t>
      </w:r>
    </w:p>
    <w:p>
      <w:pPr>
        <w:spacing w:line="500" w:lineRule="exact"/>
        <w:ind w:firstLine="631"/>
        <w:rPr>
          <w:rFonts w:hint="eastAsia" w:ascii="仿宋_GB2312" w:eastAsia="仿宋_GB2312"/>
          <w:color w:val="000000"/>
          <w:sz w:val="32"/>
          <w:szCs w:val="32"/>
        </w:rPr>
      </w:pPr>
    </w:p>
    <w:p>
      <w:pPr>
        <w:spacing w:line="500" w:lineRule="exact"/>
        <w:rPr>
          <w:rFonts w:hint="eastAsia" w:ascii="仿宋_GB2312" w:eastAsia="仿宋_GB2312"/>
          <w:color w:val="000000"/>
          <w:sz w:val="32"/>
          <w:szCs w:val="32"/>
        </w:rPr>
      </w:pPr>
      <w:r>
        <w:rPr>
          <w:rFonts w:hint="eastAsia" w:ascii="仿宋_GB2312"/>
          <w:color w:val="000000"/>
          <w:sz w:val="32"/>
          <w:szCs w:val="32"/>
          <w:lang w:val="en-US" w:eastAsia="zh-CN"/>
        </w:rPr>
        <w:t xml:space="preserve">    </w:t>
      </w:r>
      <w:r>
        <w:rPr>
          <w:rFonts w:hint="eastAsia" w:ascii="仿宋_GB2312" w:eastAsia="仿宋_GB2312"/>
          <w:color w:val="000000"/>
          <w:sz w:val="32"/>
          <w:szCs w:val="32"/>
        </w:rPr>
        <w:t>附件：2022年度天津市南开区公共法律服务体系建设实施要点</w:t>
      </w:r>
    </w:p>
    <w:p>
      <w:pPr>
        <w:spacing w:line="500" w:lineRule="exact"/>
        <w:rPr>
          <w:rFonts w:hint="eastAsia" w:ascii="仿宋_GB2312" w:eastAsia="仿宋_GB2312"/>
          <w:color w:val="000000"/>
          <w:sz w:val="32"/>
          <w:szCs w:val="32"/>
        </w:rPr>
      </w:pPr>
    </w:p>
    <w:p>
      <w:pPr>
        <w:spacing w:line="500" w:lineRule="exact"/>
        <w:rPr>
          <w:rFonts w:hint="eastAsia" w:ascii="仿宋_GB2312" w:eastAsia="仿宋_GB2312"/>
          <w:color w:val="000000"/>
          <w:sz w:val="32"/>
          <w:szCs w:val="32"/>
        </w:rPr>
      </w:pPr>
    </w:p>
    <w:p>
      <w:pPr>
        <w:spacing w:line="500" w:lineRule="exact"/>
        <w:rPr>
          <w:rFonts w:hint="eastAsia" w:ascii="仿宋_GB2312" w:eastAsia="仿宋_GB2312"/>
          <w:color w:val="000000"/>
          <w:sz w:val="32"/>
          <w:szCs w:val="32"/>
        </w:rPr>
      </w:pPr>
    </w:p>
    <w:p>
      <w:pPr>
        <w:spacing w:line="500" w:lineRule="exact"/>
        <w:rPr>
          <w:rFonts w:hint="eastAsia" w:ascii="仿宋_GB2312" w:eastAsia="仿宋_GB2312"/>
          <w:color w:val="000000"/>
          <w:sz w:val="32"/>
          <w:szCs w:val="32"/>
        </w:rPr>
      </w:pPr>
    </w:p>
    <w:p>
      <w:pPr>
        <w:spacing w:line="500" w:lineRule="exact"/>
        <w:rPr>
          <w:rFonts w:hint="eastAsia" w:ascii="仿宋_GB2312" w:eastAsia="仿宋_GB2312"/>
          <w:color w:val="000000"/>
          <w:sz w:val="32"/>
          <w:szCs w:val="32"/>
        </w:rPr>
      </w:pPr>
    </w:p>
    <w:p>
      <w:pPr>
        <w:spacing w:line="500" w:lineRule="exact"/>
        <w:rPr>
          <w:rFonts w:hint="eastAsia" w:ascii="仿宋_GB2312" w:eastAsia="仿宋_GB2312"/>
          <w:color w:val="000000"/>
          <w:sz w:val="32"/>
          <w:szCs w:val="32"/>
        </w:rPr>
      </w:pPr>
      <w:r>
        <w:rPr>
          <w:rFonts w:hint="eastAsia" w:ascii="仿宋_GB2312" w:eastAsia="仿宋_GB2312"/>
          <w:color w:val="000000"/>
          <w:sz w:val="32"/>
          <w:szCs w:val="32"/>
        </w:rPr>
        <w:t xml:space="preserve">                               天津市南开区司法局</w:t>
      </w:r>
    </w:p>
    <w:p>
      <w:pPr>
        <w:spacing w:line="500" w:lineRule="exact"/>
        <w:rPr>
          <w:rFonts w:hint="eastAsia" w:ascii="仿宋_GB2312" w:eastAsia="仿宋_GB2312"/>
          <w:color w:val="000000"/>
          <w:sz w:val="32"/>
          <w:szCs w:val="32"/>
        </w:rPr>
      </w:pPr>
      <w:r>
        <w:rPr>
          <w:rFonts w:hint="eastAsia" w:ascii="仿宋_GB2312" w:eastAsia="仿宋_GB2312"/>
          <w:color w:val="000000"/>
          <w:sz w:val="32"/>
          <w:szCs w:val="32"/>
        </w:rPr>
        <w:t xml:space="preserve">                                20</w:t>
      </w:r>
      <w:r>
        <w:rPr>
          <w:rFonts w:hint="eastAsia" w:ascii="仿宋_GB2312"/>
          <w:color w:val="000000"/>
          <w:sz w:val="32"/>
          <w:szCs w:val="32"/>
          <w:lang w:val="en-US" w:eastAsia="zh-CN"/>
        </w:rPr>
        <w:t>22</w:t>
      </w:r>
      <w:r>
        <w:rPr>
          <w:rFonts w:hint="eastAsia" w:ascii="仿宋_GB2312" w:eastAsia="仿宋_GB2312"/>
          <w:color w:val="000000"/>
          <w:sz w:val="32"/>
          <w:szCs w:val="32"/>
        </w:rPr>
        <w:t>年</w:t>
      </w:r>
      <w:r>
        <w:rPr>
          <w:rFonts w:hint="eastAsia" w:ascii="仿宋_GB2312"/>
          <w:color w:val="000000"/>
          <w:sz w:val="32"/>
          <w:szCs w:val="32"/>
          <w:lang w:val="en-US" w:eastAsia="zh-CN"/>
        </w:rPr>
        <w:t>5</w:t>
      </w:r>
      <w:r>
        <w:rPr>
          <w:rFonts w:hint="eastAsia" w:ascii="仿宋_GB2312" w:eastAsia="仿宋_GB2312"/>
          <w:color w:val="000000"/>
          <w:sz w:val="32"/>
          <w:szCs w:val="32"/>
        </w:rPr>
        <w:t>月</w:t>
      </w:r>
      <w:r>
        <w:rPr>
          <w:rFonts w:hint="eastAsia" w:ascii="仿宋_GB2312"/>
          <w:color w:val="000000"/>
          <w:sz w:val="32"/>
          <w:szCs w:val="32"/>
          <w:lang w:val="en-US" w:eastAsia="zh-CN"/>
        </w:rPr>
        <w:t>5</w:t>
      </w:r>
      <w:r>
        <w:rPr>
          <w:rFonts w:hint="eastAsia" w:ascii="仿宋_GB2312" w:eastAsia="仿宋_GB2312"/>
          <w:color w:val="000000"/>
          <w:sz w:val="32"/>
          <w:szCs w:val="32"/>
        </w:rPr>
        <w:t>日</w:t>
      </w:r>
    </w:p>
    <w:p>
      <w:pPr>
        <w:spacing w:line="500" w:lineRule="exact"/>
        <w:rPr>
          <w:rFonts w:hint="eastAsia" w:ascii="仿宋_GB2312" w:eastAsia="仿宋_GB2312"/>
          <w:color w:val="000000"/>
          <w:sz w:val="32"/>
          <w:szCs w:val="32"/>
        </w:rPr>
      </w:pPr>
    </w:p>
    <w:p>
      <w:pPr>
        <w:spacing w:line="500" w:lineRule="exact"/>
        <w:rPr>
          <w:rFonts w:hint="eastAsia" w:ascii="仿宋_GB2312" w:eastAsia="仿宋_GB2312"/>
          <w:color w:val="000000"/>
          <w:sz w:val="32"/>
          <w:szCs w:val="32"/>
        </w:rPr>
      </w:pPr>
    </w:p>
    <w:p>
      <w:pPr>
        <w:spacing w:line="500" w:lineRule="exact"/>
        <w:rPr>
          <w:rFonts w:hint="eastAsia" w:ascii="仿宋_GB2312" w:eastAsia="仿宋_GB2312"/>
          <w:color w:val="000000"/>
          <w:sz w:val="32"/>
          <w:szCs w:val="32"/>
        </w:rPr>
      </w:pPr>
    </w:p>
    <w:p>
      <w:pPr>
        <w:spacing w:line="500" w:lineRule="exact"/>
        <w:rPr>
          <w:rFonts w:hint="eastAsia" w:ascii="仿宋_GB2312" w:eastAsia="仿宋_GB2312"/>
          <w:color w:val="000000"/>
          <w:sz w:val="32"/>
          <w:szCs w:val="32"/>
        </w:rPr>
      </w:pPr>
    </w:p>
    <w:p>
      <w:pPr>
        <w:spacing w:line="500" w:lineRule="exact"/>
        <w:rPr>
          <w:rFonts w:hint="eastAsia" w:ascii="仿宋_GB2312" w:eastAsia="仿宋_GB2312"/>
          <w:color w:val="000000"/>
          <w:sz w:val="32"/>
          <w:szCs w:val="32"/>
        </w:rPr>
      </w:pPr>
    </w:p>
    <w:p>
      <w:pPr>
        <w:spacing w:line="500" w:lineRule="exact"/>
        <w:rPr>
          <w:rFonts w:hint="eastAsia" w:ascii="仿宋_GB2312" w:eastAsia="仿宋_GB2312"/>
          <w:color w:val="000000"/>
          <w:sz w:val="32"/>
          <w:szCs w:val="32"/>
        </w:rPr>
      </w:pPr>
    </w:p>
    <w:p>
      <w:pPr>
        <w:spacing w:line="500" w:lineRule="exact"/>
        <w:rPr>
          <w:rFonts w:hint="eastAsia" w:ascii="仿宋_GB2312" w:eastAsia="仿宋_GB2312"/>
          <w:color w:val="000000"/>
          <w:sz w:val="32"/>
          <w:szCs w:val="32"/>
        </w:rPr>
      </w:pPr>
    </w:p>
    <w:p>
      <w:pPr>
        <w:spacing w:line="500" w:lineRule="exact"/>
        <w:rPr>
          <w:rFonts w:hint="eastAsia" w:ascii="仿宋_GB2312"/>
          <w:color w:val="000000"/>
          <w:sz w:val="32"/>
          <w:szCs w:val="32"/>
          <w:lang w:val="en-US" w:eastAsia="zh-CN"/>
        </w:rPr>
      </w:pPr>
    </w:p>
    <w:p>
      <w:pPr>
        <w:spacing w:line="500" w:lineRule="exact"/>
        <w:rPr>
          <w:rFonts w:hint="eastAsia" w:ascii="仿宋_GB2312"/>
          <w:color w:val="000000"/>
          <w:sz w:val="32"/>
          <w:szCs w:val="32"/>
          <w:lang w:val="en-US" w:eastAsia="zh-CN"/>
        </w:rPr>
      </w:pPr>
    </w:p>
    <w:p>
      <w:pPr>
        <w:spacing w:line="500" w:lineRule="exact"/>
        <w:rPr>
          <w:rFonts w:hint="eastAsia" w:ascii="仿宋_GB2312"/>
          <w:color w:val="000000"/>
          <w:sz w:val="32"/>
          <w:szCs w:val="32"/>
          <w:lang w:val="en-US" w:eastAsia="zh-CN"/>
        </w:rPr>
      </w:pPr>
      <w:bookmarkStart w:id="0" w:name="_GoBack"/>
      <w:bookmarkEnd w:id="0"/>
      <w:r>
        <w:rPr>
          <w:rFonts w:hint="eastAsia" w:ascii="仿宋_GB2312"/>
          <w:color w:val="00000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2022年度天津市南开区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rPr>
      </w:pPr>
      <w:r>
        <w:rPr>
          <w:rFonts w:hint="eastAsia" w:ascii="方正小标宋简体" w:hAnsi="方正小标宋简体" w:eastAsia="方正小标宋简体" w:cs="方正小标宋简体"/>
          <w:b w:val="0"/>
          <w:bCs w:val="0"/>
          <w:sz w:val="44"/>
          <w:szCs w:val="44"/>
        </w:rPr>
        <w:t>公共法律服务体系</w:t>
      </w:r>
      <w:r>
        <w:rPr>
          <w:rFonts w:hint="eastAsia" w:ascii="方正小标宋简体" w:hAnsi="方正小标宋简体" w:eastAsia="方正小标宋简体" w:cs="方正小标宋简体"/>
          <w:b w:val="0"/>
          <w:bCs w:val="0"/>
          <w:sz w:val="44"/>
          <w:szCs w:val="44"/>
          <w:lang w:eastAsia="zh-CN"/>
        </w:rPr>
        <w:t>建设</w:t>
      </w:r>
      <w:r>
        <w:rPr>
          <w:rFonts w:hint="eastAsia" w:ascii="方正小标宋简体" w:hAnsi="方正小标宋简体" w:eastAsia="方正小标宋简体" w:cs="方正小标宋简体"/>
          <w:b w:val="0"/>
          <w:bCs w:val="0"/>
          <w:sz w:val="44"/>
          <w:szCs w:val="44"/>
        </w:rPr>
        <w:t>实施要点</w:t>
      </w:r>
    </w:p>
    <w:p>
      <w:pPr>
        <w:rPr>
          <w:rFonts w:hint="eastAsia"/>
          <w:lang w:val="en-US" w:eastAsia="zh-CN"/>
        </w:rPr>
      </w:pPr>
      <w:r>
        <w:rPr>
          <w:rFonts w:hint="eastAsia"/>
          <w:lang w:val="en-US" w:eastAsia="zh-CN"/>
        </w:rPr>
        <w:t xml:space="preserve">    </w:t>
      </w:r>
    </w:p>
    <w:p>
      <w:pPr>
        <w:rPr>
          <w:rFonts w:hint="eastAsia"/>
        </w:rPr>
      </w:pPr>
      <w:r>
        <w:rPr>
          <w:rFonts w:hint="eastAsia"/>
          <w:lang w:val="en-US" w:eastAsia="zh-CN"/>
        </w:rPr>
        <w:t xml:space="preserve">    </w:t>
      </w:r>
      <w:r>
        <w:rPr>
          <w:rFonts w:hint="eastAsia"/>
        </w:rPr>
        <w:t>全面建设社会主义现代化国家新征程，推进全面依法治国，运用法治思维和法治方式应对风险挑战，对公共法律服务工作提出新的更高要求。新时代新阶段，人民群众对美好生活的向往更多向民主、法治、公平、正义、安全、环境等方面延展，持续优化营商环境，依法防控疫情，加强和创新社会治理，人民群众依法办事、依法解决矛盾纠纷，要求公共法律服务供给更加充分、优质、便捷。依照司法部印发的《全国公共法律服务体系建设规划（2021-2025年）》的精神，</w:t>
      </w:r>
      <w:r>
        <w:rPr>
          <w:rFonts w:hint="eastAsia"/>
          <w:lang w:eastAsia="zh-CN"/>
        </w:rPr>
        <w:t>对照天津市司法局印发的《</w:t>
      </w:r>
      <w:r>
        <w:rPr>
          <w:rFonts w:hint="eastAsia"/>
          <w:lang w:val="en-US" w:eastAsia="zh-CN"/>
        </w:rPr>
        <w:t>2022年公共法律服务工作要点</w:t>
      </w:r>
      <w:r>
        <w:rPr>
          <w:rFonts w:hint="eastAsia"/>
          <w:lang w:eastAsia="zh-CN"/>
        </w:rPr>
        <w:t>》，</w:t>
      </w:r>
      <w:r>
        <w:rPr>
          <w:rFonts w:hint="eastAsia"/>
        </w:rPr>
        <w:t>按照《天津市公共法律服务实体平台服务规范》《天津市公共法律服务实体平台监督管理办法》的具体要求，结合南开区公共法律服务体系建设的实际，为做好2022年南开区公共法律服务工作，制定本实施要点。</w:t>
      </w:r>
    </w:p>
    <w:p>
      <w:pPr>
        <w:rPr>
          <w:rFonts w:hint="eastAsia" w:ascii="黑体" w:hAnsi="黑体" w:eastAsia="黑体" w:cs="黑体"/>
          <w:b w:val="0"/>
          <w:bCs w:val="0"/>
        </w:rPr>
      </w:pPr>
      <w:r>
        <w:rPr>
          <w:rFonts w:hint="eastAsia"/>
          <w:lang w:val="en-US" w:eastAsia="zh-CN"/>
        </w:rPr>
        <w:t xml:space="preserve">    </w:t>
      </w:r>
      <w:r>
        <w:rPr>
          <w:rFonts w:hint="eastAsia" w:ascii="黑体" w:hAnsi="黑体" w:eastAsia="黑体" w:cs="黑体"/>
          <w:b w:val="0"/>
          <w:bCs w:val="0"/>
        </w:rPr>
        <w:t>一</w:t>
      </w:r>
      <w:r>
        <w:rPr>
          <w:rFonts w:hint="eastAsia" w:ascii="黑体" w:hAnsi="黑体" w:eastAsia="黑体" w:cs="黑体"/>
          <w:b w:val="0"/>
          <w:bCs w:val="0"/>
          <w:lang w:eastAsia="zh-CN"/>
        </w:rPr>
        <w:t>、</w:t>
      </w:r>
      <w:r>
        <w:rPr>
          <w:rFonts w:hint="eastAsia" w:ascii="黑体" w:hAnsi="黑体" w:eastAsia="黑体" w:cs="黑体"/>
          <w:b w:val="0"/>
          <w:bCs w:val="0"/>
        </w:rPr>
        <w:t>指导思想及工作原则</w:t>
      </w:r>
    </w:p>
    <w:p>
      <w:pPr>
        <w:rPr>
          <w:rFonts w:hint="eastAsia"/>
        </w:rPr>
      </w:pPr>
      <w:r>
        <w:rPr>
          <w:rFonts w:hint="eastAsia"/>
          <w:lang w:val="en-US" w:eastAsia="zh-CN"/>
        </w:rPr>
        <w:t xml:space="preserve">    </w:t>
      </w:r>
      <w:r>
        <w:rPr>
          <w:rFonts w:hint="eastAsia"/>
        </w:rPr>
        <w:t>坚持以习近平新时代中国特色社会主义思想为指导，全面贯彻党的十九大和十九届历次全会精神，坚持党的全面领导，把党的领导贯彻落实到公共法律服务工作的全过程和各方面。坚持以人民为中心，通过优质、高效、便捷的专业法律服务保障人民权益，维护人民利益。坚持公平正义，法律面前人人平等，把维护社会公平正义作为公共法律服务的核心价值追求。坚持立足南开区</w:t>
      </w:r>
      <w:r>
        <w:rPr>
          <w:rFonts w:hint="eastAsia"/>
          <w:lang w:eastAsia="zh-CN"/>
        </w:rPr>
        <w:t>实际</w:t>
      </w:r>
      <w:r>
        <w:rPr>
          <w:rFonts w:hint="eastAsia"/>
        </w:rPr>
        <w:t>，统筹考虑经济社会发展状况、财力可负担性和人民群众需求变化，合理引导社会预期。坚持改革创新，动员社会力量有效参与公共法律服务建设，增强服务总体供给能力水平。健全完善便捷高效、均等普惠的全区三级公共法律服务体系，不断提高公共法律服务供给总量和质量，为保障司法公正、促进社会治理、服务经济高质量发展，建设更高水平法治南开提供优质高效法律服务。</w:t>
      </w:r>
    </w:p>
    <w:p>
      <w:pPr>
        <w:rPr>
          <w:rFonts w:hint="eastAsia"/>
        </w:rPr>
      </w:pPr>
      <w:r>
        <w:rPr>
          <w:rFonts w:hint="eastAsia"/>
          <w:lang w:val="en-US" w:eastAsia="zh-CN"/>
        </w:rPr>
        <w:t xml:space="preserve">    </w:t>
      </w:r>
      <w:r>
        <w:rPr>
          <w:rFonts w:hint="eastAsia" w:ascii="黑体" w:hAnsi="黑体" w:eastAsia="黑体" w:cs="黑体"/>
          <w:b w:val="0"/>
          <w:bCs w:val="0"/>
        </w:rPr>
        <w:t>二、公共法律服务</w:t>
      </w:r>
      <w:r>
        <w:rPr>
          <w:rFonts w:hint="eastAsia" w:ascii="黑体" w:hAnsi="黑体" w:eastAsia="黑体" w:cs="黑体"/>
          <w:b w:val="0"/>
          <w:bCs w:val="0"/>
          <w:lang w:eastAsia="zh-CN"/>
        </w:rPr>
        <w:t>体系建设实施</w:t>
      </w:r>
      <w:r>
        <w:rPr>
          <w:rFonts w:hint="eastAsia" w:ascii="黑体" w:hAnsi="黑体" w:eastAsia="黑体" w:cs="黑体"/>
          <w:b w:val="0"/>
          <w:bCs w:val="0"/>
        </w:rPr>
        <w:t>要点</w:t>
      </w:r>
    </w:p>
    <w:p>
      <w:pPr>
        <w:rPr>
          <w:rFonts w:hint="eastAsia"/>
        </w:rPr>
      </w:pPr>
      <w:r>
        <w:rPr>
          <w:rFonts w:hint="eastAsia"/>
          <w:lang w:val="en-US" w:eastAsia="zh-CN"/>
        </w:rPr>
        <w:t xml:space="preserve">    </w:t>
      </w:r>
      <w:r>
        <w:rPr>
          <w:rFonts w:hint="eastAsia"/>
          <w:lang w:eastAsia="zh-CN"/>
        </w:rPr>
        <w:t>（一）</w:t>
      </w:r>
      <w:r>
        <w:rPr>
          <w:rFonts w:hint="eastAsia"/>
        </w:rPr>
        <w:t>完善覆盖全业务、全时空的法律服务网络。律师事务所、公证处、法律援助机构、司法鉴定机构、人民调解委员会有序发展，积极参与到全区公共法律服务实体平台，并有效与全市热线、网络平台资源有效融合，作用发挥进行互补。实现全区公共法律服务供给能力和保障能力明显增强。按照《天津市公共法律服务实体平台服务规范》要求，全区公共法律服务实体平台规范化、标准化水平进一步提升，使人民群众感受到法律服务更加便捷、高效。</w:t>
      </w:r>
    </w:p>
    <w:p>
      <w:pPr>
        <w:rPr>
          <w:rFonts w:hint="eastAsia"/>
        </w:rPr>
      </w:pPr>
      <w:r>
        <w:rPr>
          <w:rFonts w:hint="eastAsia"/>
          <w:lang w:val="en-US" w:eastAsia="zh-CN"/>
        </w:rPr>
        <w:t xml:space="preserve">    </w:t>
      </w:r>
      <w:r>
        <w:rPr>
          <w:rFonts w:hint="eastAsia"/>
          <w:lang w:eastAsia="zh-CN"/>
        </w:rPr>
        <w:t>（二）</w:t>
      </w:r>
      <w:r>
        <w:rPr>
          <w:rFonts w:hint="eastAsia"/>
        </w:rPr>
        <w:t>全面实施“八五”普法规划，使法治宣传教育覆盖全区所有区域和群体，重点是领导干部和青少年。将法治宣传教育融入公共法律服务全过程，加强以案释法工作，大力推进基层法治宣传阵地建设。</w:t>
      </w:r>
    </w:p>
    <w:p>
      <w:pPr>
        <w:rPr>
          <w:rFonts w:hint="eastAsia"/>
        </w:rPr>
      </w:pPr>
      <w:r>
        <w:rPr>
          <w:rFonts w:hint="eastAsia"/>
          <w:lang w:val="en-US" w:eastAsia="zh-CN"/>
        </w:rPr>
        <w:t xml:space="preserve">    </w:t>
      </w:r>
      <w:r>
        <w:rPr>
          <w:rFonts w:hint="eastAsia"/>
          <w:lang w:eastAsia="zh-CN"/>
        </w:rPr>
        <w:t>（三）</w:t>
      </w:r>
      <w:r>
        <w:rPr>
          <w:rFonts w:hint="eastAsia"/>
        </w:rPr>
        <w:t>推动法律援助法实施，进一步加强法律援助工作，实现应援尽援。完善法律援助组织网络，推进司法所、社区等法律援助工作站点建设，拓宽现场、网络等申请渠道，简化审查程序，健全便民利民措施。加强法律援助制度建设，加强法律援助质量管理，推进工作标准化。完善公证、司法鉴定对困难群众的收费减免制度。</w:t>
      </w:r>
    </w:p>
    <w:p>
      <w:pPr>
        <w:rPr>
          <w:rFonts w:hint="default" w:eastAsia="仿宋_GB2312"/>
          <w:lang w:val="en-US" w:eastAsia="zh-CN"/>
        </w:rPr>
      </w:pPr>
      <w:r>
        <w:rPr>
          <w:rFonts w:hint="eastAsia"/>
          <w:lang w:val="en-US" w:eastAsia="zh-CN"/>
        </w:rPr>
        <w:t xml:space="preserve">    </w:t>
      </w:r>
      <w:r>
        <w:rPr>
          <w:rFonts w:hint="eastAsia"/>
          <w:lang w:eastAsia="zh-CN"/>
        </w:rPr>
        <w:t>（四）</w:t>
      </w:r>
      <w:r>
        <w:rPr>
          <w:rFonts w:hint="eastAsia"/>
        </w:rPr>
        <w:t>发挥律师在公共法律服务中的主力军作用。律师行业服务经济社会发展、履行公共法律服务职能的体制机制进一步健全完善。律师调解、</w:t>
      </w:r>
      <w:r>
        <w:rPr>
          <w:rFonts w:hint="eastAsia"/>
          <w:lang w:eastAsia="zh-CN"/>
        </w:rPr>
        <w:t>社区</w:t>
      </w:r>
      <w:r>
        <w:rPr>
          <w:rFonts w:hint="eastAsia"/>
        </w:rPr>
        <w:t>法律顾问工作进一步加强和规范，服务领域不断扩展，服务能力不断提升，服务质效不断增强。律师队伍社会责任感进一步增强，参与公益法律服务实现规范化、制度化、常态化</w:t>
      </w:r>
      <w:r>
        <w:rPr>
          <w:rFonts w:hint="eastAsia"/>
          <w:lang w:eastAsia="zh-CN"/>
        </w:rPr>
        <w:t>，充分利用全年</w:t>
      </w:r>
      <w:r>
        <w:rPr>
          <w:rFonts w:hint="eastAsia"/>
          <w:lang w:val="en-US" w:eastAsia="zh-CN"/>
        </w:rPr>
        <w:t>50小时公益法律服务时间，积极为群众提供法律咨询、普法讲座等公共法律服务产品。</w:t>
      </w:r>
    </w:p>
    <w:p>
      <w:pPr>
        <w:ind w:firstLine="631"/>
        <w:rPr>
          <w:rFonts w:hint="eastAsia"/>
          <w:lang w:eastAsia="zh-CN"/>
        </w:rPr>
      </w:pPr>
      <w:r>
        <w:rPr>
          <w:rFonts w:hint="eastAsia"/>
          <w:lang w:eastAsia="zh-CN"/>
        </w:rPr>
        <w:t>（五）落实</w:t>
      </w:r>
      <w:r>
        <w:rPr>
          <w:rFonts w:hint="eastAsia"/>
        </w:rPr>
        <w:t>公证体制机制改革</w:t>
      </w:r>
      <w:r>
        <w:rPr>
          <w:rFonts w:hint="eastAsia"/>
          <w:lang w:eastAsia="zh-CN"/>
        </w:rPr>
        <w:t>举措</w:t>
      </w:r>
      <w:r>
        <w:rPr>
          <w:rFonts w:hint="eastAsia"/>
        </w:rPr>
        <w:t>，</w:t>
      </w:r>
      <w:r>
        <w:rPr>
          <w:rFonts w:hint="eastAsia"/>
          <w:lang w:eastAsia="zh-CN"/>
        </w:rPr>
        <w:t>积极推进适用公证证明材料告知承诺制相关要求，</w:t>
      </w:r>
      <w:r>
        <w:rPr>
          <w:rFonts w:hint="eastAsia"/>
        </w:rPr>
        <w:t>增强</w:t>
      </w:r>
      <w:r>
        <w:rPr>
          <w:rFonts w:hint="eastAsia"/>
          <w:lang w:eastAsia="zh-CN"/>
        </w:rPr>
        <w:t>南开公证处的</w:t>
      </w:r>
      <w:r>
        <w:rPr>
          <w:rFonts w:hint="eastAsia"/>
        </w:rPr>
        <w:t>活力和创新动力</w:t>
      </w:r>
      <w:r>
        <w:rPr>
          <w:rFonts w:hint="eastAsia"/>
          <w:lang w:eastAsia="zh-CN"/>
        </w:rPr>
        <w:t>。</w:t>
      </w:r>
      <w:r>
        <w:rPr>
          <w:rFonts w:hint="eastAsia"/>
        </w:rPr>
        <w:t>坚持和强化公证的公益性，</w:t>
      </w:r>
      <w:r>
        <w:rPr>
          <w:rFonts w:hint="eastAsia"/>
          <w:lang w:eastAsia="zh-CN"/>
        </w:rPr>
        <w:t>为南开区</w:t>
      </w:r>
      <w:r>
        <w:rPr>
          <w:rFonts w:hint="eastAsia"/>
        </w:rPr>
        <w:t>民生领域公证服务供给</w:t>
      </w:r>
      <w:r>
        <w:rPr>
          <w:rFonts w:hint="eastAsia"/>
          <w:lang w:eastAsia="zh-CN"/>
        </w:rPr>
        <w:t>有力保障。</w:t>
      </w:r>
      <w:r>
        <w:rPr>
          <w:rFonts w:hint="eastAsia"/>
        </w:rPr>
        <w:t>提高公证服务的均等化、可及性</w:t>
      </w:r>
      <w:r>
        <w:rPr>
          <w:rFonts w:hint="eastAsia"/>
          <w:lang w:eastAsia="zh-CN"/>
        </w:rPr>
        <w:t>，</w:t>
      </w:r>
      <w:r>
        <w:rPr>
          <w:rFonts w:hint="eastAsia"/>
        </w:rPr>
        <w:t>增强公证工作能动性，</w:t>
      </w:r>
      <w:r>
        <w:rPr>
          <w:rFonts w:hint="eastAsia"/>
          <w:lang w:eastAsia="zh-CN"/>
        </w:rPr>
        <w:t>积极探索公证在</w:t>
      </w:r>
      <w:r>
        <w:rPr>
          <w:rFonts w:hint="eastAsia"/>
        </w:rPr>
        <w:t>发挥预防化解矛盾纠纷</w:t>
      </w:r>
      <w:r>
        <w:rPr>
          <w:rFonts w:hint="eastAsia"/>
          <w:lang w:eastAsia="zh-CN"/>
        </w:rPr>
        <w:t>过程中</w:t>
      </w:r>
      <w:r>
        <w:rPr>
          <w:rFonts w:hint="eastAsia"/>
        </w:rPr>
        <w:t>作用。</w:t>
      </w:r>
      <w:r>
        <w:rPr>
          <w:rFonts w:hint="eastAsia"/>
          <w:lang w:eastAsia="zh-CN"/>
        </w:rPr>
        <w:t>规范公证办证程序，减少办证过程中的争议点，提升公证行业公信力。</w:t>
      </w:r>
    </w:p>
    <w:p>
      <w:pPr>
        <w:ind w:firstLine="631"/>
        <w:rPr>
          <w:rFonts w:hint="eastAsia"/>
          <w:lang w:eastAsia="zh-CN"/>
        </w:rPr>
      </w:pPr>
      <w:r>
        <w:rPr>
          <w:rFonts w:hint="eastAsia"/>
          <w:lang w:eastAsia="zh-CN"/>
        </w:rPr>
        <w:t>（六）</w:t>
      </w:r>
      <w:r>
        <w:rPr>
          <w:rFonts w:hint="eastAsia"/>
        </w:rPr>
        <w:t>增强司法鉴定质量和公信力。加强</w:t>
      </w:r>
      <w:r>
        <w:rPr>
          <w:rFonts w:hint="eastAsia"/>
          <w:lang w:eastAsia="zh-CN"/>
        </w:rPr>
        <w:t>司法鉴定</w:t>
      </w:r>
      <w:r>
        <w:rPr>
          <w:rFonts w:hint="eastAsia"/>
        </w:rPr>
        <w:t>质量建设，加强事中事后监管，加大对违法违规行为的查处。</w:t>
      </w:r>
      <w:r>
        <w:rPr>
          <w:rFonts w:hint="eastAsia"/>
          <w:lang w:eastAsia="zh-CN"/>
        </w:rPr>
        <w:t>加强全区司法鉴定机构业务交流，利用司法鉴定机构相对集中的特点，开展业务培训，规范鉴定流程。通过培训、交流提升鉴定机构业务能力，尝试从源头治理，降低司法鉴定投诉量。通过规范司法鉴定业务流程，提升全区司法鉴定质量，从而提升司法鉴定行业公信力。</w:t>
      </w:r>
    </w:p>
    <w:p>
      <w:pPr>
        <w:rPr>
          <w:rFonts w:hint="eastAsia"/>
        </w:rPr>
      </w:pPr>
      <w:r>
        <w:rPr>
          <w:rFonts w:hint="eastAsia"/>
          <w:lang w:val="en-US" w:eastAsia="zh-CN"/>
        </w:rPr>
        <w:t xml:space="preserve">    </w:t>
      </w:r>
      <w:r>
        <w:rPr>
          <w:rFonts w:hint="eastAsia"/>
          <w:lang w:eastAsia="zh-CN"/>
        </w:rPr>
        <w:t>（七）</w:t>
      </w:r>
      <w:r>
        <w:rPr>
          <w:rFonts w:hint="eastAsia"/>
        </w:rPr>
        <w:t>深化构建大调解工作格局。建立矛盾纠纷排查、研判机制，做好社会不稳定因素风险预警。健全人民调解组织网络，全面拓宽人民调解工作覆盖面。巩固和规范街道、社区人民调解委员会，进一步完善以人民调解为基础，人民调解、行政调解、司法调解优势互补、有机衔接、协调联动的大调解工作格局。探索“访调”对接，建立律师参与化解和代理涉法涉诉信访案件制度，整合行业性专业性调解资源，</w:t>
      </w:r>
      <w:r>
        <w:rPr>
          <w:rFonts w:hint="eastAsia"/>
          <w:lang w:eastAsia="zh-CN"/>
        </w:rPr>
        <w:t>利用</w:t>
      </w:r>
      <w:r>
        <w:rPr>
          <w:rFonts w:hint="eastAsia"/>
        </w:rPr>
        <w:t>一站式矛盾纠纷调解中心</w:t>
      </w:r>
      <w:r>
        <w:rPr>
          <w:rFonts w:hint="eastAsia"/>
          <w:lang w:eastAsia="zh-CN"/>
        </w:rPr>
        <w:t>，</w:t>
      </w:r>
      <w:r>
        <w:rPr>
          <w:rFonts w:hint="eastAsia"/>
        </w:rPr>
        <w:t>加强调解</w:t>
      </w:r>
      <w:r>
        <w:rPr>
          <w:rFonts w:hint="eastAsia"/>
          <w:lang w:eastAsia="zh-CN"/>
        </w:rPr>
        <w:t>组织</w:t>
      </w:r>
      <w:r>
        <w:rPr>
          <w:rFonts w:hint="eastAsia"/>
        </w:rPr>
        <w:t>建设，</w:t>
      </w:r>
      <w:r>
        <w:rPr>
          <w:rFonts w:hint="eastAsia"/>
          <w:lang w:eastAsia="zh-CN"/>
        </w:rPr>
        <w:t>提升调解在多元化矛盾纠纷化解过程中的作用</w:t>
      </w:r>
      <w:r>
        <w:rPr>
          <w:rFonts w:hint="eastAsia"/>
        </w:rPr>
        <w:t>。</w:t>
      </w:r>
    </w:p>
    <w:p>
      <w:pPr>
        <w:ind w:firstLine="631"/>
        <w:rPr>
          <w:rFonts w:hint="eastAsia"/>
          <w:lang w:val="en-US" w:eastAsia="zh-CN"/>
        </w:rPr>
      </w:pPr>
      <w:r>
        <w:rPr>
          <w:rFonts w:hint="eastAsia"/>
          <w:lang w:eastAsia="zh-CN"/>
        </w:rPr>
        <w:t>（八）</w:t>
      </w:r>
      <w:r>
        <w:rPr>
          <w:rFonts w:hint="eastAsia"/>
        </w:rPr>
        <w:t>强化司法所在基层公共法律服务供给的基础性作用。强化司法所工作职能，提高司法所统筹推进基层法治建设的能力，发挥司法所化解矛盾纠纷、法治宣传、法律咨询等服务功能，统筹提供法律援助、律师、公证、司法鉴定等法律服务指引。加强和规范社区法律顾问工作</w:t>
      </w:r>
      <w:r>
        <w:rPr>
          <w:rFonts w:hint="eastAsia"/>
          <w:lang w:eastAsia="zh-CN"/>
        </w:rPr>
        <w:t>，</w:t>
      </w:r>
      <w:r>
        <w:rPr>
          <w:rFonts w:hint="eastAsia"/>
        </w:rPr>
        <w:t>着力推动社区法律顾问提档升级，实现从有形覆盖向有效覆盖转变。研究</w:t>
      </w:r>
      <w:r>
        <w:rPr>
          <w:rFonts w:hint="eastAsia"/>
          <w:lang w:eastAsia="zh-CN"/>
        </w:rPr>
        <w:t>对</w:t>
      </w:r>
      <w:r>
        <w:rPr>
          <w:rFonts w:hint="eastAsia"/>
        </w:rPr>
        <w:t>社区法律顾问服务标准，服务流程，</w:t>
      </w:r>
      <w:r>
        <w:rPr>
          <w:rFonts w:hint="eastAsia"/>
          <w:lang w:eastAsia="zh-CN"/>
        </w:rPr>
        <w:t>服务效果的</w:t>
      </w:r>
      <w:r>
        <w:rPr>
          <w:rFonts w:hint="eastAsia"/>
        </w:rPr>
        <w:t>监督等工作</w:t>
      </w:r>
      <w:r>
        <w:rPr>
          <w:rFonts w:hint="eastAsia"/>
          <w:lang w:eastAsia="zh-CN"/>
        </w:rPr>
        <w:t>，</w:t>
      </w:r>
      <w:r>
        <w:rPr>
          <w:rFonts w:hint="eastAsia"/>
        </w:rPr>
        <w:t>促进提升</w:t>
      </w:r>
      <w:r>
        <w:rPr>
          <w:rFonts w:hint="eastAsia"/>
          <w:lang w:eastAsia="zh-CN"/>
        </w:rPr>
        <w:t>街道、社区法律</w:t>
      </w:r>
      <w:r>
        <w:rPr>
          <w:rFonts w:hint="eastAsia"/>
        </w:rPr>
        <w:t xml:space="preserve">服务质量。    </w:t>
      </w:r>
      <w:r>
        <w:rPr>
          <w:rFonts w:hint="eastAsia"/>
          <w:lang w:val="en-US" w:eastAsia="zh-CN"/>
        </w:rPr>
        <w:t xml:space="preserve">  </w:t>
      </w:r>
    </w:p>
    <w:p>
      <w:pPr>
        <w:rPr>
          <w:rFonts w:hint="eastAsia"/>
          <w:b/>
          <w:bCs/>
        </w:rPr>
      </w:pPr>
      <w:r>
        <w:rPr>
          <w:rFonts w:hint="eastAsia"/>
          <w:lang w:val="en-US" w:eastAsia="zh-CN"/>
        </w:rPr>
        <w:t xml:space="preserve">    </w:t>
      </w:r>
      <w:r>
        <w:rPr>
          <w:rFonts w:hint="eastAsia" w:ascii="黑体" w:hAnsi="黑体" w:eastAsia="黑体" w:cs="黑体"/>
          <w:b w:val="0"/>
          <w:bCs w:val="0"/>
          <w:lang w:eastAsia="zh-CN"/>
        </w:rPr>
        <w:t>三</w:t>
      </w:r>
      <w:r>
        <w:rPr>
          <w:rFonts w:hint="eastAsia" w:ascii="黑体" w:hAnsi="黑体" w:eastAsia="黑体" w:cs="黑体"/>
          <w:b w:val="0"/>
          <w:bCs w:val="0"/>
        </w:rPr>
        <w:t>、强化公共法律服务机制建设</w:t>
      </w:r>
    </w:p>
    <w:p>
      <w:pPr>
        <w:rPr>
          <w:rFonts w:hint="eastAsia"/>
        </w:rPr>
      </w:pPr>
      <w:r>
        <w:rPr>
          <w:rFonts w:hint="eastAsia"/>
        </w:rPr>
        <w:t xml:space="preserve">   （一）规范公共法律服务管理运行机制。加强公共法律服务规范化、标准化建设，制定并根据工作实际不断调整完善法律服务工作者、社区法律顾问工作管理</w:t>
      </w:r>
      <w:r>
        <w:rPr>
          <w:rFonts w:hint="eastAsia"/>
          <w:lang w:eastAsia="zh-CN"/>
        </w:rPr>
        <w:t>措施</w:t>
      </w:r>
      <w:r>
        <w:rPr>
          <w:rFonts w:hint="eastAsia"/>
        </w:rPr>
        <w:t>、法律服务工作者补助</w:t>
      </w:r>
      <w:r>
        <w:rPr>
          <w:rFonts w:hint="eastAsia"/>
          <w:lang w:eastAsia="zh-CN"/>
        </w:rPr>
        <w:t>发放</w:t>
      </w:r>
      <w:r>
        <w:rPr>
          <w:rFonts w:hint="eastAsia"/>
        </w:rPr>
        <w:t>等管理制度</w:t>
      </w:r>
      <w:r>
        <w:rPr>
          <w:rFonts w:hint="eastAsia"/>
          <w:lang w:eastAsia="zh-CN"/>
        </w:rPr>
        <w:t>。对照</w:t>
      </w:r>
      <w:r>
        <w:rPr>
          <w:rFonts w:hint="eastAsia"/>
        </w:rPr>
        <w:t>《天津市公共法律服务实体平台服务规范》</w:t>
      </w:r>
      <w:r>
        <w:rPr>
          <w:rFonts w:hint="eastAsia"/>
          <w:lang w:eastAsia="zh-CN"/>
        </w:rPr>
        <w:t>，</w:t>
      </w:r>
      <w:r>
        <w:rPr>
          <w:rFonts w:hint="eastAsia"/>
        </w:rPr>
        <w:t>健全完善公共法律服务平台设施建设、人员配备、业务规范、工作流程等具体标准。</w:t>
      </w:r>
    </w:p>
    <w:p>
      <w:pPr>
        <w:rPr>
          <w:rFonts w:hint="eastAsia"/>
        </w:rPr>
      </w:pPr>
      <w:r>
        <w:rPr>
          <w:rFonts w:hint="eastAsia"/>
        </w:rPr>
        <w:t xml:space="preserve">   （二）健全队伍建设机制。完善法律服务人才引进、培养、交流机制，大力发展法律服务人才队伍。合理配置律师、公证员、人民调解员、司法鉴定等服务人员，并根据实际工作需要进行动态调整。加强业务培训和指导，建立培训上岗制度，全面提高执业人员素质。鼓励社会力量参与，大力开展志愿服务。</w:t>
      </w:r>
    </w:p>
    <w:p>
      <w:pPr>
        <w:rPr>
          <w:rFonts w:hint="eastAsia"/>
        </w:rPr>
      </w:pPr>
      <w:r>
        <w:rPr>
          <w:rFonts w:hint="eastAsia"/>
        </w:rPr>
        <w:t xml:space="preserve">   （三）完善公共法律服务评价工作机制。加强对公共法律服务项目资金使用、实施效果、服务效能等方面的动态监督检查和年度目标考核，确保公共法律服务体系建设进度和服务质量。完善服务质量监测体系，研究制定公众满意度指标，建立群众评价和反馈机制，提高公共法律服务的社会公信力和群众满意度。</w:t>
      </w:r>
    </w:p>
    <w:p>
      <w:pPr>
        <w:rPr>
          <w:rFonts w:hint="eastAsia"/>
          <w:b/>
          <w:bCs/>
        </w:rPr>
      </w:pPr>
      <w:r>
        <w:rPr>
          <w:rFonts w:hint="eastAsia"/>
        </w:rPr>
        <w:t xml:space="preserve">    </w:t>
      </w:r>
      <w:r>
        <w:rPr>
          <w:rFonts w:hint="eastAsia" w:ascii="黑体" w:hAnsi="黑体" w:eastAsia="黑体" w:cs="黑体"/>
          <w:b w:val="0"/>
          <w:bCs w:val="0"/>
          <w:lang w:eastAsia="zh-CN"/>
        </w:rPr>
        <w:t>四、加强公共法律服务</w:t>
      </w:r>
      <w:r>
        <w:rPr>
          <w:rFonts w:hint="eastAsia" w:ascii="黑体" w:hAnsi="黑体" w:eastAsia="黑体" w:cs="黑体"/>
          <w:b w:val="0"/>
          <w:bCs w:val="0"/>
        </w:rPr>
        <w:t>组织实施保障</w:t>
      </w:r>
    </w:p>
    <w:p>
      <w:pPr>
        <w:rPr>
          <w:rFonts w:hint="eastAsia"/>
        </w:rPr>
      </w:pPr>
      <w:r>
        <w:rPr>
          <w:rFonts w:hint="eastAsia"/>
        </w:rPr>
        <w:t xml:space="preserve">   （一）加强组织领导。要根据我区经济发展状况和法律服务工作需要，及时审查、调整公共法律服务指导标准，促进公共法律服务体系建设与经济社会协调发展。建立体系建设责任履行情况考评机制、报告制度和督导检查制度，确保各项建设工作落实到位。</w:t>
      </w:r>
    </w:p>
    <w:p>
      <w:pPr>
        <w:rPr>
          <w:rFonts w:hint="eastAsia"/>
        </w:rPr>
      </w:pPr>
      <w:r>
        <w:rPr>
          <w:rFonts w:hint="eastAsia"/>
        </w:rPr>
        <w:t xml:space="preserve">   （二）加强部门协调配合。要切实加强各单位各部门沟通协调和衔接配合，形成建设公共法律服务体系的工作合力，</w:t>
      </w:r>
      <w:r>
        <w:rPr>
          <w:rFonts w:hint="eastAsia"/>
          <w:lang w:eastAsia="zh-CN"/>
        </w:rPr>
        <w:t>积极推动</w:t>
      </w:r>
      <w:r>
        <w:rPr>
          <w:rFonts w:hint="eastAsia"/>
        </w:rPr>
        <w:t>经费、人员等保障，提供工作便利，推动完善公共法律服务体系建设，更好地保障和改善民生。</w:t>
      </w:r>
    </w:p>
    <w:p>
      <w:pPr>
        <w:rPr>
          <w:rFonts w:hint="eastAsia"/>
        </w:rPr>
      </w:pPr>
      <w:r>
        <w:rPr>
          <w:rFonts w:hint="eastAsia"/>
        </w:rPr>
        <w:t xml:space="preserve">   （三）</w:t>
      </w:r>
      <w:r>
        <w:rPr>
          <w:rFonts w:hint="eastAsia"/>
          <w:lang w:eastAsia="zh-CN"/>
        </w:rPr>
        <w:t>积极争取</w:t>
      </w:r>
      <w:r>
        <w:rPr>
          <w:rFonts w:hint="eastAsia"/>
        </w:rPr>
        <w:t>经费保障。将公共法律服务经费列入财政预算并加强资金监管。做好公共法律服务事项向社会力量购买服务的工作，促进公共法律服务常态化、可持续。</w:t>
      </w:r>
      <w:r>
        <w:rPr>
          <w:rFonts w:hint="eastAsia"/>
          <w:lang w:eastAsia="zh-CN"/>
        </w:rPr>
        <w:t>适时</w:t>
      </w:r>
      <w:r>
        <w:rPr>
          <w:rFonts w:hint="eastAsia"/>
        </w:rPr>
        <w:t>对公共法律咨询、法律顾问服务给予补助；</w:t>
      </w:r>
      <w:r>
        <w:rPr>
          <w:rFonts w:hint="eastAsia"/>
          <w:lang w:eastAsia="zh-CN"/>
        </w:rPr>
        <w:t>条件允许的情况下</w:t>
      </w:r>
      <w:r>
        <w:rPr>
          <w:rFonts w:hint="eastAsia"/>
        </w:rPr>
        <w:t>加大经费投入，提高补贴标准。</w:t>
      </w:r>
    </w:p>
    <w:p>
      <w:pPr>
        <w:rPr>
          <w:rFonts w:hint="eastAsia"/>
        </w:rPr>
      </w:pPr>
      <w:r>
        <w:rPr>
          <w:rFonts w:hint="eastAsia"/>
        </w:rPr>
        <w:t xml:space="preserve">   （四）加强舆论宣传。积极利用传统媒体和新兴媒体，采取多种形式，加强对构建公共法律服务体系的宣传，提高社会各界和人民群众的知晓率。要及时总结和推广在推进公共法律服务体系建设中的先进经验和创新举措，大力宣传先进典型和服务成效，为构建覆盖城乡居民的公共法律服务体系营造良好的社会舆论氛围。 </w:t>
      </w:r>
    </w:p>
    <w:p>
      <w:pPr>
        <w:ind w:firstLine="631"/>
        <w:rPr>
          <w:rFonts w:hint="eastAsia"/>
        </w:rPr>
      </w:pPr>
    </w:p>
    <w:p>
      <w:pPr>
        <w:ind w:firstLine="631"/>
        <w:rPr>
          <w:rFonts w:hint="eastAsia"/>
        </w:rPr>
      </w:pPr>
    </w:p>
    <w:sectPr>
      <w:footerReference r:id="rId3" w:type="default"/>
      <w:footerReference r:id="rId4" w:type="even"/>
      <w:pgSz w:w="11906" w:h="16838"/>
      <w:pgMar w:top="2098" w:right="1531" w:bottom="1985" w:left="1531" w:header="851" w:footer="130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76852"/>
      <w:docPartObj>
        <w:docPartGallery w:val="autotext"/>
      </w:docPartObj>
    </w:sdtPr>
    <w:sdtContent>
      <w:p>
        <w:pPr>
          <w:pStyle w:val="3"/>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attachedTemplate r:id="rId1"/>
  <w:documentProtection w:enforcement="0"/>
  <w:defaultTabStop w:val="420"/>
  <w:drawingGridHorizontalSpacing w:val="158"/>
  <w:drawingGridVerticalSpacing w:val="290"/>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A2"/>
    <w:rsid w:val="00020822"/>
    <w:rsid w:val="00037F43"/>
    <w:rsid w:val="00040BA6"/>
    <w:rsid w:val="00064CE8"/>
    <w:rsid w:val="000932A0"/>
    <w:rsid w:val="0009404B"/>
    <w:rsid w:val="000B1D5B"/>
    <w:rsid w:val="000B52FD"/>
    <w:rsid w:val="001118CB"/>
    <w:rsid w:val="001632B5"/>
    <w:rsid w:val="0018045F"/>
    <w:rsid w:val="00194A2A"/>
    <w:rsid w:val="001A0C78"/>
    <w:rsid w:val="001B67A8"/>
    <w:rsid w:val="001B712A"/>
    <w:rsid w:val="001C2160"/>
    <w:rsid w:val="001C4F80"/>
    <w:rsid w:val="001E5A2A"/>
    <w:rsid w:val="001F6177"/>
    <w:rsid w:val="00201370"/>
    <w:rsid w:val="00205683"/>
    <w:rsid w:val="00240C3C"/>
    <w:rsid w:val="00255355"/>
    <w:rsid w:val="002857C5"/>
    <w:rsid w:val="002E1BCE"/>
    <w:rsid w:val="00315B2B"/>
    <w:rsid w:val="00322B74"/>
    <w:rsid w:val="00342FAF"/>
    <w:rsid w:val="00345EAF"/>
    <w:rsid w:val="00363494"/>
    <w:rsid w:val="0039124F"/>
    <w:rsid w:val="003D7C7E"/>
    <w:rsid w:val="003E6BA3"/>
    <w:rsid w:val="004009AB"/>
    <w:rsid w:val="00441F19"/>
    <w:rsid w:val="00464729"/>
    <w:rsid w:val="00482680"/>
    <w:rsid w:val="004C61D2"/>
    <w:rsid w:val="004D0D4A"/>
    <w:rsid w:val="004D5E9B"/>
    <w:rsid w:val="004D6F5F"/>
    <w:rsid w:val="0051360E"/>
    <w:rsid w:val="00544363"/>
    <w:rsid w:val="00560874"/>
    <w:rsid w:val="00570AAF"/>
    <w:rsid w:val="00584F25"/>
    <w:rsid w:val="00596B51"/>
    <w:rsid w:val="005B72D1"/>
    <w:rsid w:val="005F64E3"/>
    <w:rsid w:val="006046B1"/>
    <w:rsid w:val="006105C2"/>
    <w:rsid w:val="00641194"/>
    <w:rsid w:val="00676F5D"/>
    <w:rsid w:val="006B7555"/>
    <w:rsid w:val="006E1264"/>
    <w:rsid w:val="006E7023"/>
    <w:rsid w:val="00737C48"/>
    <w:rsid w:val="0075750B"/>
    <w:rsid w:val="007B3738"/>
    <w:rsid w:val="007F47EF"/>
    <w:rsid w:val="007F6B51"/>
    <w:rsid w:val="00852132"/>
    <w:rsid w:val="0086330F"/>
    <w:rsid w:val="0088266D"/>
    <w:rsid w:val="008911E4"/>
    <w:rsid w:val="0089546C"/>
    <w:rsid w:val="008B12FF"/>
    <w:rsid w:val="008D2B41"/>
    <w:rsid w:val="00926347"/>
    <w:rsid w:val="009361A2"/>
    <w:rsid w:val="00947944"/>
    <w:rsid w:val="00947FC7"/>
    <w:rsid w:val="00951A79"/>
    <w:rsid w:val="00955977"/>
    <w:rsid w:val="00972DDF"/>
    <w:rsid w:val="00995E44"/>
    <w:rsid w:val="009D32E5"/>
    <w:rsid w:val="009D4257"/>
    <w:rsid w:val="009F5816"/>
    <w:rsid w:val="00A00248"/>
    <w:rsid w:val="00A30792"/>
    <w:rsid w:val="00A468E6"/>
    <w:rsid w:val="00A64059"/>
    <w:rsid w:val="00A6589F"/>
    <w:rsid w:val="00A65DBB"/>
    <w:rsid w:val="00AB5735"/>
    <w:rsid w:val="00AB70C6"/>
    <w:rsid w:val="00AC6537"/>
    <w:rsid w:val="00AE2A33"/>
    <w:rsid w:val="00B053FA"/>
    <w:rsid w:val="00B442EC"/>
    <w:rsid w:val="00B9755F"/>
    <w:rsid w:val="00BA12FB"/>
    <w:rsid w:val="00BA188E"/>
    <w:rsid w:val="00BA1E91"/>
    <w:rsid w:val="00BD1859"/>
    <w:rsid w:val="00C10A6E"/>
    <w:rsid w:val="00C164E4"/>
    <w:rsid w:val="00C33964"/>
    <w:rsid w:val="00C5638D"/>
    <w:rsid w:val="00C61475"/>
    <w:rsid w:val="00C615E4"/>
    <w:rsid w:val="00C6298C"/>
    <w:rsid w:val="00C74324"/>
    <w:rsid w:val="00C80316"/>
    <w:rsid w:val="00C95542"/>
    <w:rsid w:val="00CD0939"/>
    <w:rsid w:val="00CD4660"/>
    <w:rsid w:val="00D072AE"/>
    <w:rsid w:val="00D14FB3"/>
    <w:rsid w:val="00D31DAA"/>
    <w:rsid w:val="00D42F94"/>
    <w:rsid w:val="00D47998"/>
    <w:rsid w:val="00D75922"/>
    <w:rsid w:val="00D83A8C"/>
    <w:rsid w:val="00D8457F"/>
    <w:rsid w:val="00D8587C"/>
    <w:rsid w:val="00D92EB6"/>
    <w:rsid w:val="00D95561"/>
    <w:rsid w:val="00DA13B3"/>
    <w:rsid w:val="00DA2DDF"/>
    <w:rsid w:val="00DC643A"/>
    <w:rsid w:val="00DD6C0C"/>
    <w:rsid w:val="00E123DC"/>
    <w:rsid w:val="00E4176F"/>
    <w:rsid w:val="00E5595B"/>
    <w:rsid w:val="00EF37FE"/>
    <w:rsid w:val="00EF7613"/>
    <w:rsid w:val="00F2353B"/>
    <w:rsid w:val="00F242A0"/>
    <w:rsid w:val="00F34254"/>
    <w:rsid w:val="00F37F05"/>
    <w:rsid w:val="00F44AAA"/>
    <w:rsid w:val="00F5418F"/>
    <w:rsid w:val="00F542E2"/>
    <w:rsid w:val="00F626B3"/>
    <w:rsid w:val="00F67F52"/>
    <w:rsid w:val="00F75F31"/>
    <w:rsid w:val="00FB547B"/>
    <w:rsid w:val="00FE09A2"/>
    <w:rsid w:val="00FF453B"/>
    <w:rsid w:val="0593449A"/>
    <w:rsid w:val="13FFCF97"/>
    <w:rsid w:val="2FD6EECD"/>
    <w:rsid w:val="3BD51C91"/>
    <w:rsid w:val="3BF4EA08"/>
    <w:rsid w:val="3EEEEB86"/>
    <w:rsid w:val="3FB98F40"/>
    <w:rsid w:val="3FFFDDFC"/>
    <w:rsid w:val="5CF58B13"/>
    <w:rsid w:val="62F77851"/>
    <w:rsid w:val="64FB2729"/>
    <w:rsid w:val="6DD7EA92"/>
    <w:rsid w:val="6EF91941"/>
    <w:rsid w:val="7D73B3CB"/>
    <w:rsid w:val="7EEF40F2"/>
    <w:rsid w:val="7EFF15E9"/>
    <w:rsid w:val="7FBFFDCA"/>
    <w:rsid w:val="9FDBA354"/>
    <w:rsid w:val="B3FFCBAF"/>
    <w:rsid w:val="B6F5DEE7"/>
    <w:rsid w:val="C8FD5C35"/>
    <w:rsid w:val="CB9F6B80"/>
    <w:rsid w:val="DFFA05A1"/>
    <w:rsid w:val="F19D1FD6"/>
    <w:rsid w:val="F7D69251"/>
    <w:rsid w:val="F87AB700"/>
    <w:rsid w:val="FB6EB6FB"/>
    <w:rsid w:val="FF5F8212"/>
    <w:rsid w:val="FFFF1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qFormat/>
    <w:uiPriority w:val="0"/>
    <w:pPr>
      <w:ind w:left="100" w:leftChars="2500"/>
    </w:p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qFormat/>
    <w:uiPriority w:val="0"/>
    <w:pPr>
      <w:ind w:firstLine="632" w:firstLineChars="200"/>
    </w:pPr>
    <w:rPr>
      <w:color w:val="000000"/>
      <w:kern w:val="0"/>
      <w:szCs w:val="21"/>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12">
    <w:name w:val="Char1"/>
    <w:basedOn w:val="1"/>
    <w:qFormat/>
    <w:uiPriority w:val="0"/>
    <w:rPr>
      <w:szCs w:val="20"/>
    </w:rPr>
  </w:style>
  <w:style w:type="paragraph" w:customStyle="1" w:styleId="13">
    <w:name w:val="列出段落1"/>
    <w:basedOn w:val="1"/>
    <w:qFormat/>
    <w:uiPriority w:val="0"/>
    <w:pPr>
      <w:ind w:firstLine="420" w:firstLineChars="200"/>
    </w:pPr>
    <w:rPr>
      <w:rFonts w:ascii="Calibri" w:hAnsi="Calibri" w:eastAsia="宋体"/>
      <w:sz w:val="21"/>
      <w:szCs w:val="22"/>
    </w:rPr>
  </w:style>
  <w:style w:type="character" w:customStyle="1" w:styleId="14">
    <w:name w:val="页脚 Char"/>
    <w:basedOn w:val="8"/>
    <w:link w:val="3"/>
    <w:qFormat/>
    <w:uiPriority w:val="99"/>
    <w:rPr>
      <w:rFonts w:eastAsia="仿宋_GB2312"/>
      <w:kern w:val="2"/>
      <w:sz w:val="18"/>
      <w:szCs w:val="18"/>
    </w:rPr>
  </w:style>
  <w:style w:type="character" w:customStyle="1" w:styleId="15">
    <w:name w:val="日期 Char"/>
    <w:basedOn w:val="8"/>
    <w:link w:val="2"/>
    <w:qFormat/>
    <w:uiPriority w:val="0"/>
    <w:rPr>
      <w:rFonts w:eastAsia="仿宋_GB2312"/>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H:\home\kylin\C:\Documents%20and%20Settings\Administrator\&#26700;&#38754;\&#20844;&#25991;&#26684;&#24335;&#27169;&#29256;\&#25919;&#24220;&#19979;&#34892;&#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政府下行文.dot</Template>
  <Company>微软中国</Company>
  <Pages>10</Pages>
  <Words>4437</Words>
  <Characters>143</Characters>
  <Lines>1</Lines>
  <Paragraphs>9</Paragraphs>
  <TotalTime>3</TotalTime>
  <ScaleCrop>false</ScaleCrop>
  <LinksUpToDate>false</LinksUpToDate>
  <CharactersWithSpaces>4571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2017-03-30T01:45:00Z</dcterms:created>
  <dc:creator>微软用户</dc:creator>
  <cp:lastModifiedBy>kylin</cp:lastModifiedBy>
  <cp:lastPrinted>2022-03-24T19:22:00Z</cp:lastPrinted>
  <dcterms:modified xsi:type="dcterms:W3CDTF">2022-05-05T16:53:11Z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BE878C192BCF4D25B724B0912EC443D6</vt:lpwstr>
  </property>
</Properties>
</file>