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615" w:tblpY="1405"/>
        <w:tblOverlap w:val="never"/>
        <w:tblW w:w="9879" w:type="dxa"/>
        <w:tblInd w:w="0" w:type="dxa"/>
        <w:tblLayout w:type="fixed"/>
        <w:tblCellMar>
          <w:top w:w="0" w:type="dxa"/>
          <w:left w:w="108" w:type="dxa"/>
          <w:bottom w:w="0" w:type="dxa"/>
          <w:right w:w="108" w:type="dxa"/>
        </w:tblCellMar>
      </w:tblPr>
      <w:tblGrid>
        <w:gridCol w:w="8113"/>
        <w:gridCol w:w="1766"/>
      </w:tblGrid>
      <w:tr>
        <w:tblPrEx>
          <w:tblCellMar>
            <w:top w:w="0" w:type="dxa"/>
            <w:left w:w="108" w:type="dxa"/>
            <w:bottom w:w="0" w:type="dxa"/>
            <w:right w:w="108" w:type="dxa"/>
          </w:tblCellMar>
        </w:tblPrEx>
        <w:trPr>
          <w:cantSplit/>
          <w:trHeight w:val="3491" w:hRule="atLeast"/>
        </w:trPr>
        <w:tc>
          <w:tcPr>
            <w:tcW w:w="8113" w:type="dxa"/>
            <w:noWrap w:val="0"/>
            <w:vAlign w:val="top"/>
          </w:tcPr>
          <w:p>
            <w:pPr>
              <w:wordWrap w:val="0"/>
              <w:spacing w:line="800" w:lineRule="exact"/>
              <w:jc w:val="distribute"/>
              <w:rPr>
                <w:rFonts w:hint="eastAsia" w:ascii="Times New Roman" w:hAnsi="Times New Roman" w:eastAsia="方正小标宋简体" w:cs="Times New Roman"/>
                <w:b/>
                <w:color w:val="FF0000"/>
                <w:w w:val="66"/>
                <w:sz w:val="80"/>
                <w:szCs w:val="80"/>
                <w:lang w:eastAsia="zh-CN"/>
              </w:rPr>
            </w:pPr>
            <w:r>
              <w:rPr>
                <w:rFonts w:hint="eastAsia" w:ascii="Times New Roman" w:hAnsi="Times New Roman" w:eastAsia="方正小标宋简体" w:cs="Times New Roman"/>
                <w:b/>
                <w:color w:val="FF0000"/>
                <w:w w:val="66"/>
                <w:sz w:val="80"/>
                <w:szCs w:val="80"/>
              </w:rPr>
              <w:t>天津市</w:t>
            </w:r>
            <w:r>
              <w:rPr>
                <w:rFonts w:hint="eastAsia" w:ascii="Times New Roman" w:hAnsi="Times New Roman" w:eastAsia="方正小标宋简体" w:cs="Times New Roman"/>
                <w:b/>
                <w:color w:val="FF0000"/>
                <w:w w:val="66"/>
                <w:sz w:val="80"/>
                <w:szCs w:val="80"/>
                <w:lang w:eastAsia="zh-CN"/>
              </w:rPr>
              <w:t>南开区发展和改革委员会</w:t>
            </w:r>
          </w:p>
          <w:p>
            <w:pPr>
              <w:wordWrap w:val="0"/>
              <w:spacing w:line="800" w:lineRule="exact"/>
              <w:jc w:val="distribute"/>
              <w:rPr>
                <w:rFonts w:hint="eastAsia" w:ascii="Times New Roman" w:hAnsi="Times New Roman" w:eastAsia="方正小标宋简体" w:cs="Times New Roman"/>
                <w:b/>
                <w:color w:val="FF0000"/>
                <w:w w:val="66"/>
                <w:sz w:val="80"/>
                <w:szCs w:val="80"/>
                <w:lang w:eastAsia="zh-CN"/>
              </w:rPr>
            </w:pPr>
            <w:r>
              <w:rPr>
                <w:rFonts w:hint="eastAsia" w:ascii="Times New Roman" w:hAnsi="Times New Roman" w:eastAsia="方正小标宋简体" w:cs="Times New Roman"/>
                <w:b/>
                <w:color w:val="FF0000"/>
                <w:w w:val="66"/>
                <w:sz w:val="80"/>
                <w:szCs w:val="80"/>
                <w:lang w:eastAsia="zh-CN"/>
              </w:rPr>
              <w:t>天津市南开区市场监督管理局</w:t>
            </w:r>
          </w:p>
          <w:p>
            <w:pPr>
              <w:wordWrap w:val="0"/>
              <w:spacing w:line="800" w:lineRule="exact"/>
              <w:jc w:val="distribute"/>
              <w:rPr>
                <w:rFonts w:hint="eastAsia" w:ascii="Times New Roman" w:hAnsi="Times New Roman" w:eastAsia="方正小标宋简体" w:cs="Times New Roman"/>
                <w:b/>
                <w:color w:val="FF0000"/>
                <w:w w:val="66"/>
                <w:sz w:val="80"/>
                <w:szCs w:val="80"/>
                <w:lang w:eastAsia="zh-CN"/>
              </w:rPr>
            </w:pPr>
            <w:r>
              <w:rPr>
                <w:rFonts w:hint="eastAsia" w:ascii="Times New Roman" w:hAnsi="Times New Roman" w:eastAsia="方正小标宋简体" w:cs="Times New Roman"/>
                <w:b/>
                <w:color w:val="FF0000"/>
                <w:w w:val="66"/>
                <w:sz w:val="80"/>
                <w:szCs w:val="80"/>
                <w:lang w:eastAsia="zh-CN"/>
              </w:rPr>
              <w:t>天津市南开区商务局</w:t>
            </w:r>
          </w:p>
          <w:p>
            <w:pPr>
              <w:wordWrap w:val="0"/>
              <w:spacing w:line="800" w:lineRule="exact"/>
              <w:jc w:val="distribute"/>
              <w:rPr>
                <w:rFonts w:hint="eastAsia" w:ascii="Times New Roman" w:hAnsi="Times New Roman" w:eastAsia="方正小标宋简体" w:cs="Times New Roman"/>
                <w:b/>
                <w:color w:val="FF0000"/>
                <w:w w:val="66"/>
                <w:sz w:val="80"/>
                <w:szCs w:val="80"/>
                <w:lang w:eastAsia="zh-CN"/>
              </w:rPr>
            </w:pPr>
            <w:r>
              <w:rPr>
                <w:rFonts w:hint="eastAsia" w:ascii="Times New Roman" w:hAnsi="Times New Roman" w:eastAsia="方正小标宋简体" w:cs="Times New Roman"/>
                <w:b/>
                <w:color w:val="FF0000"/>
                <w:w w:val="66"/>
                <w:sz w:val="80"/>
                <w:szCs w:val="80"/>
                <w:lang w:eastAsia="zh-CN"/>
              </w:rPr>
              <w:t>天津市南开区住房和建设委员会</w:t>
            </w:r>
          </w:p>
          <w:p>
            <w:pPr>
              <w:wordWrap w:val="0"/>
              <w:spacing w:line="800" w:lineRule="exact"/>
              <w:jc w:val="distribute"/>
              <w:rPr>
                <w:rFonts w:hint="eastAsia" w:ascii="Times New Roman" w:hAnsi="Times New Roman" w:eastAsia="方正小标宋简体" w:cs="Times New Roman"/>
                <w:b/>
                <w:color w:val="FF0000"/>
                <w:w w:val="66"/>
                <w:sz w:val="80"/>
                <w:szCs w:val="80"/>
                <w:lang w:eastAsia="zh-CN"/>
              </w:rPr>
            </w:pPr>
          </w:p>
        </w:tc>
        <w:tc>
          <w:tcPr>
            <w:tcW w:w="1766" w:type="dxa"/>
            <w:noWrap w:val="0"/>
            <w:vAlign w:val="center"/>
          </w:tcPr>
          <w:p>
            <w:pPr>
              <w:wordWrap w:val="0"/>
              <w:spacing w:line="1000" w:lineRule="exact"/>
              <w:jc w:val="both"/>
              <w:rPr>
                <w:rFonts w:eastAsia="方正小标宋简体"/>
                <w:b/>
                <w:color w:val="FF0000"/>
                <w:w w:val="66"/>
                <w:sz w:val="72"/>
                <w:szCs w:val="72"/>
              </w:rPr>
            </w:pPr>
          </w:p>
          <w:p>
            <w:pPr>
              <w:wordWrap w:val="0"/>
              <w:spacing w:line="1000" w:lineRule="exact"/>
              <w:jc w:val="both"/>
              <w:rPr>
                <w:rFonts w:eastAsia="方正小标宋简体"/>
                <w:b/>
                <w:color w:val="FF0000"/>
                <w:w w:val="66"/>
                <w:sz w:val="72"/>
                <w:szCs w:val="72"/>
              </w:rPr>
            </w:pPr>
            <w:r>
              <w:rPr>
                <w:rFonts w:ascii="Times New Roman" w:hAnsi="Times New Roman" w:eastAsia="方正小标宋简体" w:cs="Times New Roman"/>
                <w:b/>
                <w:color w:val="FF0000"/>
                <w:w w:val="66"/>
                <w:sz w:val="96"/>
                <w:szCs w:val="96"/>
              </w:rPr>
              <w:t>文件</w:t>
            </w:r>
          </w:p>
          <w:p>
            <w:pPr>
              <w:wordWrap w:val="0"/>
              <w:spacing w:line="1000" w:lineRule="exact"/>
              <w:jc w:val="both"/>
              <w:rPr>
                <w:rFonts w:eastAsia="方正小标宋简体"/>
                <w:b/>
                <w:color w:val="FF0000"/>
                <w:w w:val="66"/>
                <w:sz w:val="72"/>
                <w:szCs w:val="72"/>
              </w:rPr>
            </w:pPr>
          </w:p>
        </w:tc>
      </w:tr>
    </w:tbl>
    <w:p>
      <w:pPr>
        <w:wordWrap w:val="0"/>
        <w:spacing w:line="260" w:lineRule="exact"/>
        <w:rPr>
          <w:rFonts w:eastAsia="黑体"/>
        </w:rPr>
      </w:pPr>
    </w:p>
    <w:p>
      <w:pPr>
        <w:wordWrap w:val="0"/>
        <w:spacing w:line="260" w:lineRule="exact"/>
        <w:rPr>
          <w:rFonts w:hint="eastAsia" w:eastAsia="黑体"/>
        </w:rPr>
      </w:pPr>
    </w:p>
    <w:p>
      <w:pPr>
        <w:wordWrap w:val="0"/>
        <w:spacing w:line="260" w:lineRule="exact"/>
        <w:rPr>
          <w:rFonts w:eastAsia="黑体"/>
        </w:rPr>
      </w:pPr>
    </w:p>
    <w:p>
      <w:pPr>
        <w:tabs>
          <w:tab w:val="left" w:pos="0"/>
          <w:tab w:val="left" w:pos="284"/>
          <w:tab w:val="left" w:pos="360"/>
          <w:tab w:val="left" w:pos="8505"/>
        </w:tabs>
        <w:spacing w:line="480" w:lineRule="exact"/>
        <w:jc w:val="center"/>
        <w:rPr>
          <w:rFonts w:hint="eastAsia" w:eastAsia="仿宋_GB2312"/>
          <w:sz w:val="32"/>
          <w:szCs w:val="32"/>
        </w:rPr>
      </w:pPr>
      <w:bookmarkStart w:id="0" w:name="_GoBack"/>
      <w:r>
        <w:rPr>
          <w:rFonts w:hint="eastAsia" w:eastAsia="仿宋_GB2312"/>
          <w:sz w:val="32"/>
          <w:szCs w:val="24"/>
          <w:lang w:eastAsia="zh-CN"/>
        </w:rPr>
        <w:t>南发改字</w:t>
      </w:r>
      <w:r>
        <w:rPr>
          <w:rFonts w:eastAsia="仿宋_GB2312"/>
          <w:sz w:val="32"/>
          <w:szCs w:val="24"/>
        </w:rPr>
        <w:t>〔20</w:t>
      </w:r>
      <w:r>
        <w:rPr>
          <w:rFonts w:hint="eastAsia" w:eastAsia="仿宋_GB2312"/>
          <w:sz w:val="32"/>
          <w:szCs w:val="24"/>
        </w:rPr>
        <w:t>2</w:t>
      </w:r>
      <w:r>
        <w:rPr>
          <w:rFonts w:hint="eastAsia" w:eastAsia="仿宋_GB2312"/>
          <w:sz w:val="32"/>
          <w:szCs w:val="24"/>
          <w:lang w:val="en-US" w:eastAsia="zh-CN"/>
        </w:rPr>
        <w:t>1</w:t>
      </w:r>
      <w:r>
        <w:rPr>
          <w:rFonts w:eastAsia="仿宋_GB2312"/>
          <w:sz w:val="32"/>
          <w:szCs w:val="24"/>
        </w:rPr>
        <w:t>〕</w:t>
      </w:r>
      <w:r>
        <w:rPr>
          <w:rFonts w:hint="eastAsia" w:eastAsia="仿宋_GB2312"/>
          <w:sz w:val="32"/>
          <w:szCs w:val="24"/>
          <w:lang w:val="en-US" w:eastAsia="zh-CN"/>
        </w:rPr>
        <w:t>10</w:t>
      </w:r>
      <w:r>
        <w:rPr>
          <w:rFonts w:eastAsia="仿宋_GB2312"/>
          <w:sz w:val="32"/>
          <w:szCs w:val="32"/>
        </w:rPr>
        <w:t>号</w:t>
      </w:r>
      <w:bookmarkEnd w:id="0"/>
    </w:p>
    <w:p>
      <w:pPr>
        <w:wordWrap w:val="0"/>
        <w:spacing w:line="12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40640</wp:posOffset>
                </wp:positionV>
                <wp:extent cx="6624320" cy="12065"/>
                <wp:effectExtent l="0" t="15875" r="5080" b="29210"/>
                <wp:wrapNone/>
                <wp:docPr id="2" name="直接连接符 2"/>
                <wp:cNvGraphicFramePr/>
                <a:graphic xmlns:a="http://schemas.openxmlformats.org/drawingml/2006/main">
                  <a:graphicData uri="http://schemas.microsoft.com/office/word/2010/wordprocessingShape">
                    <wps:wsp>
                      <wps:cNvCnPr/>
                      <wps:spPr>
                        <a:xfrm>
                          <a:off x="0" y="0"/>
                          <a:ext cx="6624320" cy="1206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0.25pt;margin-top:3.2pt;height:0.95pt;width:521.6pt;z-index:251658240;mso-width-relative:page;mso-height-relative:page;" filled="f" stroked="t" coordsize="21600,21600" o:gfxdata="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UjU89oAAAAIAQAADwAAAAAAAAABACAAAAAiAAAAZHJzL2Rvd25yZXYu&#10;eG1sUEsBAhQAFAAAAAgAh07iQCCOz+/5AQAA6QMAAA4AAAAAAAAAAQAgAAAAKQEAAGRycy9lMm9E&#10;b2MueG1sUEsFBgAAAAAGAAYAWQEAAJQFAAAAAA==&#10;">
                <v:fill on="f" focussize="0,0"/>
                <v:stroke weight="2.5pt" color="#FF0000" joinstyle="round"/>
                <v:imagedata o:title=""/>
                <o:lock v:ext="edit" aspectratio="f"/>
              </v:line>
            </w:pict>
          </mc:Fallback>
        </mc:AlternateContent>
      </w:r>
      <w:r>
        <w:rPr>
          <w:rFonts w:hint="eastAsia" w:eastAsia="仿宋_GB2312"/>
          <w:sz w:val="32"/>
          <w:szCs w:val="32"/>
          <w:lang w:val="en-US" w:eastAsia="zh-CN"/>
        </w:rPr>
        <w:t xml:space="preserve"> </w:t>
      </w:r>
    </w:p>
    <w:p>
      <w:pPr>
        <w:jc w:val="both"/>
        <w:rPr>
          <w:rFonts w:hint="eastAsia"/>
          <w:b/>
          <w:bCs/>
          <w:color w:val="FF000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区发展改革委 区市场监管局 区商务局 区住建委关于印发南开区开展清理规范转供电不合理加价行为专项行动工作方案的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通知</w:t>
      </w:r>
    </w:p>
    <w:p>
      <w:pPr>
        <w:jc w:val="center"/>
        <w:rPr>
          <w:rFonts w:hint="eastAsia"/>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区各有关单位：</w:t>
      </w: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为贯彻落实《政府工作报告》和《市发展改革委 市市场监管委 市工业和信息化局 市商务局 市住房城乡建设委关于在全市开展清理规范转供电不合理加价行为专项行动的通知》（津发改价综〔2021〕274号）部署，进一步推动我区转供电价格政策落实到位，将国家降低电价红利传导至终端用户。区发展改革委等4部门制定《南开区清理规范转供电不合理加价行为专项行动工作方案》，现印发你们，请认真组织实施。</w:t>
      </w: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区发展改革委               区市场局</w:t>
      </w:r>
    </w:p>
    <w:p>
      <w:pPr>
        <w:numPr>
          <w:ilvl w:val="0"/>
          <w:numId w:val="0"/>
        </w:numPr>
        <w:ind w:left="0" w:leftChars="0" w:firstLine="640" w:firstLineChars="200"/>
        <w:jc w:val="both"/>
        <w:rPr>
          <w:rFonts w:hint="eastAsia" w:ascii="仿宋_GB2312" w:hAnsi="仿宋_GB2312" w:eastAsia="仿宋_GB2312" w:cs="仿宋_GB2312"/>
          <w:b w:val="0"/>
          <w:bCs w:val="0"/>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b w:val="0"/>
          <w:bCs w:val="0"/>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b w:val="0"/>
          <w:bCs w:val="0"/>
          <w:sz w:val="32"/>
          <w:szCs w:val="32"/>
          <w:lang w:val="en-US" w:eastAsia="zh-CN"/>
        </w:rPr>
      </w:pP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区商务局                   区住建委</w:t>
      </w:r>
    </w:p>
    <w:p>
      <w:pPr>
        <w:numPr>
          <w:ilvl w:val="0"/>
          <w:numId w:val="0"/>
        </w:numPr>
        <w:ind w:firstLine="640"/>
        <w:jc w:val="both"/>
        <w:rPr>
          <w:rFonts w:hint="eastAsia" w:ascii="仿宋_GB2312" w:hAnsi="仿宋_GB2312" w:eastAsia="仿宋_GB2312" w:cs="仿宋_GB2312"/>
          <w:b w:val="0"/>
          <w:bCs w:val="0"/>
          <w:sz w:val="32"/>
          <w:szCs w:val="32"/>
          <w:lang w:val="en-US" w:eastAsia="zh-CN"/>
        </w:rPr>
      </w:pPr>
    </w:p>
    <w:p>
      <w:pPr>
        <w:numPr>
          <w:ilvl w:val="0"/>
          <w:numId w:val="0"/>
        </w:numPr>
        <w:ind w:firstLine="640"/>
        <w:jc w:val="both"/>
        <w:rPr>
          <w:rFonts w:hint="eastAsia" w:ascii="仿宋_GB2312" w:hAnsi="仿宋_GB2312" w:eastAsia="仿宋_GB2312" w:cs="仿宋_GB2312"/>
          <w:b w:val="0"/>
          <w:bCs w:val="0"/>
          <w:sz w:val="32"/>
          <w:szCs w:val="32"/>
          <w:lang w:val="en-US" w:eastAsia="zh-CN"/>
        </w:rPr>
      </w:pPr>
    </w:p>
    <w:p>
      <w:pPr>
        <w:numPr>
          <w:ilvl w:val="0"/>
          <w:numId w:val="0"/>
        </w:numPr>
        <w:ind w:firstLine="640"/>
        <w:jc w:val="both"/>
        <w:rPr>
          <w:rFonts w:hint="eastAsia" w:ascii="仿宋_GB2312" w:hAnsi="仿宋_GB2312" w:eastAsia="仿宋_GB2312" w:cs="仿宋_GB2312"/>
          <w:b w:val="0"/>
          <w:bCs w:val="0"/>
          <w:sz w:val="32"/>
          <w:szCs w:val="32"/>
          <w:lang w:val="en-US" w:eastAsia="zh-CN"/>
        </w:rPr>
      </w:pPr>
    </w:p>
    <w:p>
      <w:pPr>
        <w:numPr>
          <w:ilvl w:val="0"/>
          <w:numId w:val="0"/>
        </w:numPr>
        <w:ind w:left="0" w:leftChars="0" w:firstLine="1600" w:firstLineChars="500"/>
        <w:jc w:val="both"/>
        <w:rPr>
          <w:rFonts w:hint="eastAsia" w:ascii="仿宋_GB2312" w:hAnsi="仿宋_GB2312" w:eastAsia="仿宋_GB2312" w:cs="仿宋_GB2312"/>
          <w:b w:val="0"/>
          <w:bCs w:val="0"/>
          <w:sz w:val="32"/>
          <w:szCs w:val="32"/>
          <w:lang w:val="en-US" w:eastAsia="zh-CN"/>
        </w:rPr>
      </w:pP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w:t>
      </w:r>
      <w:r>
        <w:rPr>
          <w:rFonts w:hint="default" w:ascii="仿宋_GB2312" w:hAnsi="仿宋_GB2312" w:eastAsia="仿宋_GB2312" w:cs="仿宋_GB2312"/>
          <w:b w:val="0"/>
          <w:bCs w:val="0"/>
          <w:sz w:val="32"/>
          <w:szCs w:val="32"/>
          <w:lang w:val="en" w:eastAsia="zh-CN"/>
        </w:rPr>
        <w:t>1</w:t>
      </w:r>
      <w:r>
        <w:rPr>
          <w:rFonts w:hint="eastAsia" w:ascii="仿宋_GB2312" w:hAnsi="仿宋_GB2312" w:eastAsia="仿宋_GB2312" w:cs="仿宋_GB2312"/>
          <w:b w:val="0"/>
          <w:bCs w:val="0"/>
          <w:sz w:val="32"/>
          <w:szCs w:val="32"/>
          <w:lang w:val="en-US" w:eastAsia="zh-CN"/>
        </w:rPr>
        <w:t>年9月</w:t>
      </w:r>
      <w:r>
        <w:rPr>
          <w:rFonts w:hint="default" w:ascii="仿宋_GB2312" w:hAnsi="仿宋_GB2312" w:eastAsia="仿宋_GB2312" w:cs="仿宋_GB2312"/>
          <w:b w:val="0"/>
          <w:bCs w:val="0"/>
          <w:sz w:val="32"/>
          <w:szCs w:val="32"/>
          <w:lang w:val="en" w:eastAsia="zh-CN"/>
        </w:rPr>
        <w:t>2</w:t>
      </w:r>
      <w:r>
        <w:rPr>
          <w:rFonts w:hint="eastAsia" w:ascii="仿宋_GB2312" w:hAnsi="仿宋_GB2312" w:eastAsia="仿宋_GB2312" w:cs="仿宋_GB2312"/>
          <w:b w:val="0"/>
          <w:bCs w:val="0"/>
          <w:sz w:val="32"/>
          <w:szCs w:val="32"/>
          <w:lang w:val="en-US" w:eastAsia="zh-CN"/>
        </w:rPr>
        <w:t>9 日</w:t>
      </w:r>
    </w:p>
    <w:p>
      <w:pPr>
        <w:numPr>
          <w:ilvl w:val="0"/>
          <w:numId w:val="0"/>
        </w:numPr>
        <w:ind w:left="0" w:leftChars="0" w:firstLine="4800" w:firstLineChars="1500"/>
        <w:jc w:val="both"/>
        <w:rPr>
          <w:rFonts w:hint="eastAsia" w:ascii="仿宋_GB2312" w:hAnsi="仿宋_GB2312" w:eastAsia="仿宋_GB2312" w:cs="仿宋_GB2312"/>
          <w:b w:val="0"/>
          <w:bCs w:val="0"/>
          <w:sz w:val="32"/>
          <w:szCs w:val="32"/>
          <w:lang w:val="en-US" w:eastAsia="zh-CN"/>
        </w:rPr>
      </w:pP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b w:val="0"/>
          <w:bCs w:val="0"/>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b w:val="0"/>
          <w:bCs w:val="0"/>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b w:val="0"/>
          <w:bCs w:val="0"/>
          <w:sz w:val="32"/>
          <w:szCs w:val="32"/>
          <w:lang w:val="en-US" w:eastAsia="zh-CN"/>
        </w:rPr>
      </w:pPr>
    </w:p>
    <w:p>
      <w:pPr>
        <w:numPr>
          <w:ilvl w:val="0"/>
          <w:numId w:val="0"/>
        </w:numPr>
        <w:ind w:left="0" w:leftChars="0" w:firstLine="640" w:firstLineChars="200"/>
        <w:jc w:val="both"/>
        <w:rPr>
          <w:rFonts w:hint="eastAsia" w:ascii="仿宋_GB2312" w:hAnsi="仿宋_GB2312" w:eastAsia="仿宋_GB2312" w:cs="仿宋_GB2312"/>
          <w:b w:val="0"/>
          <w:bCs w:val="0"/>
          <w:sz w:val="32"/>
          <w:szCs w:val="32"/>
          <w:lang w:val="en-US" w:eastAsia="zh-CN"/>
        </w:rPr>
      </w:pPr>
    </w:p>
    <w:p>
      <w:pPr>
        <w:wordWrap w:val="0"/>
        <w:spacing w:line="520" w:lineRule="exact"/>
        <w:jc w:val="center"/>
        <w:rPr>
          <w:rFonts w:hint="eastAsia" w:ascii="方正小标宋简体" w:hAnsi="宋体" w:eastAsia="方正小标宋简体" w:cs="宋体"/>
          <w:color w:val="333333"/>
          <w:sz w:val="44"/>
          <w:lang w:eastAsia="zh-CN"/>
        </w:rPr>
      </w:pPr>
    </w:p>
    <w:p>
      <w:pPr>
        <w:wordWrap w:val="0"/>
        <w:spacing w:line="520" w:lineRule="exact"/>
        <w:jc w:val="center"/>
        <w:rPr>
          <w:rFonts w:hint="eastAsia" w:ascii="方正小标宋简体" w:hAnsi="宋体" w:eastAsia="方正小标宋简体" w:cs="宋体"/>
          <w:color w:val="333333"/>
          <w:sz w:val="44"/>
          <w:lang w:eastAsia="zh-CN"/>
        </w:rPr>
      </w:pPr>
      <w:r>
        <w:rPr>
          <w:rFonts w:hint="eastAsia" w:ascii="方正小标宋简体" w:hAnsi="宋体" w:eastAsia="方正小标宋简体" w:cs="宋体"/>
          <w:color w:val="333333"/>
          <w:sz w:val="44"/>
          <w:lang w:eastAsia="zh-CN"/>
        </w:rPr>
        <w:t>南开区清理规范转供电不合理加价行为</w:t>
      </w:r>
    </w:p>
    <w:p>
      <w:pPr>
        <w:wordWrap w:val="0"/>
        <w:spacing w:line="520" w:lineRule="exact"/>
        <w:jc w:val="center"/>
        <w:rPr>
          <w:rFonts w:hint="eastAsia" w:ascii="方正小标宋简体" w:hAnsi="宋体" w:eastAsia="方正小标宋简体" w:cs="宋体"/>
          <w:color w:val="333333"/>
          <w:sz w:val="44"/>
          <w:lang w:eastAsia="zh-CN"/>
        </w:rPr>
      </w:pPr>
      <w:r>
        <w:rPr>
          <w:rFonts w:hint="eastAsia" w:ascii="方正小标宋简体" w:hAnsi="宋体" w:eastAsia="方正小标宋简体" w:cs="宋体"/>
          <w:color w:val="333333"/>
          <w:sz w:val="44"/>
          <w:lang w:eastAsia="zh-CN"/>
        </w:rPr>
        <w:t>专项行动工作方案</w:t>
      </w:r>
    </w:p>
    <w:p>
      <w:pPr>
        <w:wordWrap w:val="0"/>
        <w:spacing w:line="520" w:lineRule="exact"/>
        <w:jc w:val="center"/>
        <w:rPr>
          <w:rFonts w:hint="eastAsia" w:ascii="方正小标宋简体" w:hAnsi="宋体" w:eastAsia="方正小标宋简体" w:cs="宋体"/>
          <w:color w:val="333333"/>
          <w:sz w:val="44"/>
          <w:lang w:eastAsia="zh-CN"/>
        </w:rPr>
      </w:pP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2018年以来，国家连续出台一系列降低电价政策措施。为把国家降价政策传导到终端用户，我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持续加大转供电不合理加价清理规范力度，开展转供电主体摸排，组织多种形式宣传，全方位开展监督检查，努力破解降低电价政策“最后一公里”难题，取得积极成效，但转供电不合理加价情况仍然存在。</w:t>
      </w:r>
      <w:r>
        <w:rPr>
          <w:rFonts w:hint="eastAsia" w:ascii="Times New Roman" w:hAnsi="Times New Roman" w:eastAsia="仿宋_GB2312" w:cs="Times New Roman"/>
          <w:sz w:val="32"/>
          <w:szCs w:val="32"/>
          <w:lang w:eastAsia="zh-CN"/>
        </w:rPr>
        <w:t>按照全市统一部署，</w:t>
      </w:r>
      <w:r>
        <w:rPr>
          <w:rFonts w:hint="default" w:ascii="Times New Roman" w:hAnsi="Times New Roman" w:eastAsia="仿宋_GB2312" w:cs="Times New Roman"/>
          <w:sz w:val="32"/>
          <w:szCs w:val="32"/>
        </w:rPr>
        <w:t>自即日起至2021年12月31日，在</w:t>
      </w:r>
      <w:r>
        <w:rPr>
          <w:rFonts w:hint="eastAsia" w:ascii="Times New Roman" w:hAnsi="Times New Roman" w:eastAsia="仿宋_GB2312" w:cs="Times New Roman"/>
          <w:sz w:val="32"/>
          <w:szCs w:val="32"/>
          <w:lang w:eastAsia="zh-CN"/>
        </w:rPr>
        <w:t>全区</w:t>
      </w:r>
      <w:r>
        <w:rPr>
          <w:rFonts w:hint="default" w:ascii="Times New Roman" w:hAnsi="Times New Roman" w:eastAsia="仿宋_GB2312" w:cs="Times New Roman"/>
          <w:sz w:val="32"/>
          <w:szCs w:val="32"/>
        </w:rPr>
        <w:t>范围开展清理规范转供电不合理加价行为专项行动。现就有关事项通知如下：</w:t>
      </w:r>
    </w:p>
    <w:p>
      <w:pPr>
        <w:widowControl/>
        <w:spacing w:line="52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一、充分认识清理规范转供电不合理加价的重要意义</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新冠肺炎疫情影响，工商业企业特别是中小微企业经营普遍较为困难。清理规范转供电环节不合理加价是落实党中央国务院减税降费政策的重大举措之一，是深化放管服改革、进一步优化营商环境，助力工商业企业特别是中小微企业健康发展</w:t>
      </w:r>
      <w:r>
        <w:rPr>
          <w:rFonts w:hint="default" w:ascii="Times New Roman" w:hAnsi="Times New Roman" w:eastAsia="仿宋_GB2312" w:cs="Times New Roman"/>
          <w:sz w:val="32"/>
          <w:szCs w:val="32"/>
          <w:lang w:eastAsia="zh-CN"/>
        </w:rPr>
        <w:t>渡</w:t>
      </w:r>
      <w:r>
        <w:rPr>
          <w:rFonts w:hint="default" w:ascii="Times New Roman" w:hAnsi="Times New Roman" w:eastAsia="仿宋_GB2312" w:cs="Times New Roman"/>
          <w:sz w:val="32"/>
          <w:szCs w:val="32"/>
        </w:rPr>
        <w:t>过疫情难关的重要保障。各部门要切实增强“四个意识”、坚定“四个自信”、做到“两个维护”，进一步提高思想认识，坚决贯彻落实党中央国务院和</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政府决策部署，把清理规范转供电不合理加价作为推动营商环境不断改善、群众获得感不断提升的重要举措，始终站在促进</w:t>
      </w:r>
      <w:r>
        <w:rPr>
          <w:rFonts w:hint="eastAsia"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rPr>
        <w:t>高质量发展的角度，站在以人民为中心的角度，坚持问题导向、结果导向，坚持部门联动、上下协调，进一步细化和压实责任，确保国家电价政策落实落地，降低中小微企业的费用负担。</w:t>
      </w:r>
    </w:p>
    <w:p>
      <w:pPr>
        <w:widowControl/>
        <w:spacing w:line="52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二、全面开展转供电主体摸排</w:t>
      </w:r>
    </w:p>
    <w:p>
      <w:pPr>
        <w:widowControl/>
        <w:spacing w:line="52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要进一步加大转供电主体摸排力度，对商业综合体、产业园区、物业、写字楼、批发市场、菜市场等转供电主体开展拉网式排查，做到“手中一本账、心中有底数”。区发展改革委强化牵头作用，压实工作责任，发挥好街道作用，将所有转供电主体纳入清理规范范围，建立工作台账，包括转供电主体和终端用户清单、电价政策执行情况等，进一步畅通沟通联系渠道。区市场监管部门发挥基层市场监管所作用，配合做好转供电主体摸排工作；区商务</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负责商业综合体、菜市场转供主体摸排；区住房建设部门做好非住宅物业管理项目转供主体摸排</w:t>
      </w:r>
      <w:r>
        <w:rPr>
          <w:rFonts w:hint="eastAsia" w:ascii="Times New Roman" w:hAnsi="Times New Roman" w:eastAsia="仿宋_GB2312" w:cs="Times New Roman"/>
          <w:sz w:val="32"/>
          <w:szCs w:val="32"/>
          <w:lang w:eastAsia="zh-CN"/>
        </w:rPr>
        <w:t>；区科技局、西</w:t>
      </w:r>
      <w:r>
        <w:rPr>
          <w:rFonts w:hint="default"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办</w:t>
      </w:r>
      <w:r>
        <w:rPr>
          <w:rFonts w:hint="default" w:ascii="Times New Roman" w:hAnsi="Times New Roman" w:eastAsia="仿宋_GB2312" w:cs="Times New Roman"/>
          <w:sz w:val="32"/>
          <w:szCs w:val="32"/>
        </w:rPr>
        <w:t>负责做好产业园区</w:t>
      </w:r>
      <w:r>
        <w:rPr>
          <w:rFonts w:hint="eastAsia" w:ascii="Times New Roman" w:hAnsi="Times New Roman" w:eastAsia="仿宋_GB2312" w:cs="Times New Roman"/>
          <w:sz w:val="32"/>
          <w:szCs w:val="32"/>
          <w:lang w:eastAsia="zh-CN"/>
        </w:rPr>
        <w:t>（含企业孵化器）</w:t>
      </w:r>
      <w:r>
        <w:rPr>
          <w:rFonts w:hint="default" w:ascii="Times New Roman" w:hAnsi="Times New Roman" w:eastAsia="仿宋_GB2312" w:cs="Times New Roman"/>
          <w:sz w:val="32"/>
          <w:szCs w:val="32"/>
        </w:rPr>
        <w:t>转供主体摸排；</w:t>
      </w:r>
      <w:r>
        <w:rPr>
          <w:rFonts w:hint="eastAsia" w:ascii="Times New Roman" w:hAnsi="Times New Roman" w:eastAsia="仿宋_GB2312" w:cs="Times New Roman"/>
          <w:sz w:val="32"/>
          <w:szCs w:val="32"/>
          <w:lang w:eastAsia="zh-CN"/>
        </w:rPr>
        <w:t>区楼宇办负责做好商务楼宇转供主体摸排</w:t>
      </w:r>
      <w:r>
        <w:rPr>
          <w:rFonts w:hint="default" w:ascii="Times New Roman" w:hAnsi="Times New Roman" w:eastAsia="仿宋_GB2312" w:cs="Times New Roman"/>
          <w:sz w:val="32"/>
          <w:szCs w:val="32"/>
        </w:rPr>
        <w:t>。区转供电主体摸排工作于9月底完成，</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发展改革委将工作台账报送市发展改革委。</w:t>
      </w:r>
    </w:p>
    <w:p>
      <w:pPr>
        <w:widowControl/>
        <w:spacing w:line="520" w:lineRule="exact"/>
        <w:rPr>
          <w:rFonts w:hint="default" w:ascii="Times New Roman" w:hAnsi="Times New Roman" w:eastAsia="楷体_GB2312" w:cs="Times New Roman"/>
          <w:sz w:val="32"/>
          <w:szCs w:val="32"/>
        </w:rPr>
      </w:pPr>
      <w:r>
        <w:rPr>
          <w:rFonts w:hint="default" w:ascii="Times New Roman" w:hAnsi="Times New Roman" w:eastAsia="黑体" w:cs="Times New Roman"/>
          <w:sz w:val="32"/>
          <w:szCs w:val="32"/>
        </w:rPr>
        <w:t xml:space="preserve">    三、推动转供电主体自查整改</w:t>
      </w:r>
    </w:p>
    <w:p>
      <w:pPr>
        <w:widowControl/>
        <w:spacing w:line="52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转供电主体要认真对照《市发展改革委关于进一步明确转供电环节价格政策的通知》（津发改价综〔2021〕240号），于10月底前完成自查整改。区发展改革部门要结合转供电主体摸排工作，组织开展价格政策的宣讲培训和解释解读，确保政策执行准确；区市场监管部门组织对转供电主体进行政策提醒和告诫，要求转供电主体落实收费公示制度，明确收费依据、收费标准，做到明明白白收费；区商务、住房建设部门要发挥好行业管理作用，督促产业园区、商业综合体、菜市场、非住宅物业管理项目等转供电主体尽快按照国家和我市政策进行自查清理。</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市场监管部门统计转供电主体自查整改情况，于10月底前报市市场监管委。</w:t>
      </w:r>
    </w:p>
    <w:p>
      <w:pPr>
        <w:widowControl/>
        <w:numPr>
          <w:ilvl w:val="0"/>
          <w:numId w:val="1"/>
        </w:numPr>
        <w:spacing w:line="52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组织开展转供电不合理加价专项检查</w:t>
      </w:r>
    </w:p>
    <w:p>
      <w:pPr>
        <w:widowControl/>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即日起至12月底，</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市场监管部门组织开展全</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范围转供电不合理加价专项检查工作，依照《价格法》和《电力法》，严肃查处不执行政府指导价、政府定价以及在电费中加收其他费用等问题。对转供电主体拒不执行国家电价政策违规加价的行为，要加大处罚力度，依法依规作出严肃处理。对社会影响力大的典型违法案件，要坚决予以曝光，形成高压态势，起到震慑作用。</w:t>
      </w:r>
    </w:p>
    <w:p>
      <w:pPr>
        <w:widowControl/>
        <w:numPr>
          <w:ilvl w:val="0"/>
          <w:numId w:val="1"/>
        </w:numPr>
        <w:spacing w:line="52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有序推动电网直供到户</w:t>
      </w:r>
    </w:p>
    <w:p>
      <w:pPr>
        <w:widowControl/>
        <w:spacing w:line="52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国网天津市电力公司</w:t>
      </w:r>
      <w:r>
        <w:rPr>
          <w:rFonts w:hint="eastAsia" w:ascii="Times New Roman" w:hAnsi="Times New Roman" w:eastAsia="仿宋_GB2312" w:cs="Times New Roman"/>
          <w:sz w:val="32"/>
          <w:szCs w:val="32"/>
          <w:lang w:eastAsia="zh-CN"/>
        </w:rPr>
        <w:t>城西供电分公司</w:t>
      </w:r>
      <w:r>
        <w:rPr>
          <w:rFonts w:hint="default" w:ascii="Times New Roman" w:hAnsi="Times New Roman" w:eastAsia="仿宋_GB2312" w:cs="Times New Roman"/>
          <w:sz w:val="32"/>
          <w:szCs w:val="32"/>
        </w:rPr>
        <w:t>要主动服务，对于存量项目，依据摸排结果，对符合直供条件、意愿强烈、产权关系清晰的转供电主体，优先安排直供；对于不符合直供条件的项目，要做好沟通解释。对于增量建设项目，依据供电营业规则，在尊重企业意愿的前提下，依法合规扩大电网直供到户范围，进一步优化电力营商环境。</w:t>
      </w:r>
    </w:p>
    <w:p>
      <w:pPr>
        <w:widowControl/>
        <w:spacing w:line="5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六、强化社会监督</w:t>
      </w:r>
    </w:p>
    <w:p>
      <w:pPr>
        <w:widowControl/>
        <w:spacing w:line="52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市场监管部门向社会公布12315和12345举报电话，耐心解答企业和群众投诉，做好常态化监管，做到事事有着落，件件有回音。商务、</w:t>
      </w:r>
      <w:r>
        <w:rPr>
          <w:rFonts w:hint="eastAsia" w:ascii="Times New Roman" w:hAnsi="Times New Roman" w:eastAsia="仿宋_GB2312" w:cs="Times New Roman"/>
          <w:sz w:val="32"/>
          <w:szCs w:val="32"/>
          <w:lang w:eastAsia="zh-CN"/>
        </w:rPr>
        <w:t>住建</w:t>
      </w:r>
      <w:r>
        <w:rPr>
          <w:rFonts w:hint="default" w:ascii="Times New Roman" w:hAnsi="Times New Roman" w:eastAsia="仿宋_GB2312" w:cs="Times New Roman"/>
          <w:sz w:val="32"/>
          <w:szCs w:val="32"/>
        </w:rPr>
        <w:t>部门要发挥行业监督作用。国网天津市电力公司</w:t>
      </w:r>
      <w:r>
        <w:rPr>
          <w:rFonts w:hint="eastAsia" w:ascii="Times New Roman" w:hAnsi="Times New Roman" w:eastAsia="仿宋_GB2312" w:cs="Times New Roman"/>
          <w:sz w:val="32"/>
          <w:szCs w:val="32"/>
          <w:lang w:eastAsia="zh-CN"/>
        </w:rPr>
        <w:t>城西供电分公司</w:t>
      </w:r>
      <w:r>
        <w:rPr>
          <w:rFonts w:hint="default" w:ascii="Times New Roman" w:hAnsi="Times New Roman" w:eastAsia="仿宋_GB2312" w:cs="Times New Roman"/>
          <w:sz w:val="32"/>
          <w:szCs w:val="32"/>
        </w:rPr>
        <w:t>要利用电网营业厅、“网上国网”APP等线上线下渠道宣传电价政策信息；宣传“网上国网”APP转供电费码功能，鼓励转供终端用户强化对电价执行情况的监督，定期将转供电费码数据报送</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p>
    <w:p>
      <w:pPr>
        <w:widowControl/>
        <w:spacing w:line="5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七、建立长效机制</w:t>
      </w:r>
    </w:p>
    <w:p>
      <w:pPr>
        <w:widowControl/>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建立</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级部门联席会议制度，成员单位由</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发展改革委、</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商务局、</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住建委、</w:t>
      </w:r>
      <w:r>
        <w:rPr>
          <w:rFonts w:hint="eastAsia" w:ascii="Times New Roman" w:hAnsi="Times New Roman" w:eastAsia="仿宋_GB2312" w:cs="Times New Roman"/>
          <w:sz w:val="32"/>
          <w:szCs w:val="32"/>
          <w:lang w:eastAsia="zh-CN"/>
        </w:rPr>
        <w:t>城西供电分公司组成，</w:t>
      </w:r>
      <w:r>
        <w:rPr>
          <w:rFonts w:hint="default" w:ascii="Times New Roman" w:hAnsi="Times New Roman" w:eastAsia="仿宋_GB2312" w:cs="Times New Roman"/>
          <w:sz w:val="32"/>
          <w:szCs w:val="32"/>
        </w:rPr>
        <w:t>每两周召开一次联席会议，会商研究和协调解决转供电不合理加价清理规范中存在的问题。积极有效推动开展转供电不合理加价清理规范工作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形成清理规范工作长效机制。</w:t>
      </w:r>
    </w:p>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级联席会议</w:t>
      </w:r>
      <w:r>
        <w:rPr>
          <w:rFonts w:hint="default" w:ascii="Times New Roman" w:hAnsi="Times New Roman" w:eastAsia="仿宋_GB2312" w:cs="Times New Roman"/>
          <w:sz w:val="32"/>
          <w:szCs w:val="32"/>
          <w:lang w:eastAsia="zh-CN"/>
        </w:rPr>
        <w:t>成员</w:t>
      </w:r>
      <w:r>
        <w:rPr>
          <w:rFonts w:hint="default" w:ascii="Times New Roman" w:hAnsi="Times New Roman" w:eastAsia="仿宋_GB2312" w:cs="Times New Roman"/>
          <w:sz w:val="32"/>
          <w:szCs w:val="32"/>
        </w:rPr>
        <w:t>名单</w:t>
      </w:r>
    </w:p>
    <w:p>
      <w:pPr>
        <w:wordWrap w:val="0"/>
        <w:spacing w:line="580"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附件2：有关部门工作任务清单</w:t>
      </w:r>
    </w:p>
    <w:p>
      <w:pPr>
        <w:wordWrap w:val="0"/>
        <w:spacing w:line="580" w:lineRule="exact"/>
        <w:ind w:firstLine="640"/>
        <w:rPr>
          <w:rFonts w:hint="default" w:ascii="Times New Roman" w:hAnsi="Times New Roman" w:eastAsia="仿宋_GB2312" w:cs="Times New Roman"/>
          <w:sz w:val="32"/>
          <w:szCs w:val="32"/>
          <w:lang w:val="en-US" w:eastAsia="zh-CN"/>
        </w:rPr>
      </w:pPr>
    </w:p>
    <w:p>
      <w:pPr>
        <w:tabs>
          <w:tab w:val="left" w:pos="1418"/>
        </w:tabs>
        <w:spacing w:line="540" w:lineRule="exact"/>
        <w:ind w:right="26"/>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spacing w:after="120"/>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区</w:t>
      </w:r>
      <w:r>
        <w:rPr>
          <w:rFonts w:hint="default" w:ascii="Times New Roman" w:hAnsi="Times New Roman" w:eastAsia="方正小标宋简体" w:cs="Times New Roman"/>
          <w:sz w:val="44"/>
          <w:szCs w:val="44"/>
        </w:rPr>
        <w:t>级联席会议成员名单</w:t>
      </w:r>
    </w:p>
    <w:p>
      <w:pPr>
        <w:spacing w:after="1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召集人：</w:t>
      </w:r>
      <w:r>
        <w:rPr>
          <w:rFonts w:hint="eastAsia" w:ascii="Times New Roman" w:hAnsi="Times New Roman" w:eastAsia="仿宋_GB2312" w:cs="Times New Roman"/>
          <w:sz w:val="32"/>
          <w:szCs w:val="32"/>
          <w:lang w:eastAsia="zh-CN"/>
        </w:rPr>
        <w:t>刘振</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val="en-US" w:eastAsia="zh-CN"/>
        </w:rPr>
        <w:t xml:space="preserve"> 区</w:t>
      </w:r>
      <w:r>
        <w:rPr>
          <w:rFonts w:hint="default" w:ascii="Times New Roman" w:hAnsi="Times New Roman" w:eastAsia="仿宋_GB2312" w:cs="Times New Roman"/>
          <w:sz w:val="32"/>
          <w:szCs w:val="32"/>
        </w:rPr>
        <w:t>发展改革委主任</w:t>
      </w:r>
    </w:p>
    <w:p>
      <w:pPr>
        <w:spacing w:after="1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val="en"/>
        </w:rPr>
        <w:t>杨彤</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lang w:val="en" w:eastAsia="zh-CN"/>
        </w:rPr>
        <w:t>副局长</w:t>
      </w:r>
      <w:r>
        <w:rPr>
          <w:rFonts w:hint="eastAsia" w:ascii="Times New Roman" w:hAnsi="Times New Roman" w:eastAsia="仿宋_GB2312" w:cs="Times New Roman"/>
          <w:sz w:val="32"/>
          <w:szCs w:val="32"/>
          <w:lang w:val="en-US" w:eastAsia="zh-CN"/>
        </w:rPr>
        <w:t xml:space="preserve"> </w:t>
      </w:r>
    </w:p>
    <w:p>
      <w:pPr>
        <w:spacing w:after="12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eastAsia="zh-CN"/>
        </w:rPr>
        <w:t>谷津生</w:t>
      </w:r>
      <w:r>
        <w:rPr>
          <w:rFonts w:hint="eastAsia" w:ascii="Times New Roman" w:hAnsi="Times New Roman" w:eastAsia="仿宋_GB2312" w:cs="Times New Roman"/>
          <w:sz w:val="32"/>
          <w:szCs w:val="32"/>
          <w:lang w:val="en-US" w:eastAsia="zh-CN"/>
        </w:rPr>
        <w:t xml:space="preserve">    区商务局</w:t>
      </w:r>
      <w:r>
        <w:rPr>
          <w:rFonts w:hint="default" w:ascii="Times New Roman" w:hAnsi="Times New Roman" w:eastAsia="仿宋_GB2312" w:cs="Times New Roman"/>
          <w:sz w:val="32"/>
          <w:szCs w:val="32"/>
          <w:lang w:val="en" w:eastAsia="zh-CN"/>
        </w:rPr>
        <w:t>副局长</w:t>
      </w:r>
    </w:p>
    <w:p>
      <w:pPr>
        <w:spacing w:after="120"/>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eastAsia="zh-CN"/>
        </w:rPr>
        <w:t>赵元来</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区住建委</w:t>
      </w:r>
      <w:r>
        <w:rPr>
          <w:rFonts w:hint="default" w:ascii="Times New Roman" w:hAnsi="Times New Roman" w:eastAsia="仿宋_GB2312" w:cs="Times New Roman"/>
          <w:sz w:val="32"/>
          <w:szCs w:val="32"/>
          <w:lang w:val="en" w:eastAsia="zh-CN"/>
        </w:rPr>
        <w:t>副主任</w:t>
      </w:r>
    </w:p>
    <w:p>
      <w:pPr>
        <w:spacing w:after="12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徐俊</w:t>
      </w:r>
      <w:r>
        <w:rPr>
          <w:rFonts w:hint="eastAsia" w:ascii="Times New Roman" w:hAnsi="Times New Roman" w:eastAsia="仿宋_GB2312" w:cs="Times New Roman"/>
          <w:sz w:val="32"/>
          <w:szCs w:val="32"/>
          <w:lang w:val="en-US" w:eastAsia="zh-CN"/>
        </w:rPr>
        <w:t xml:space="preserve">      城西供电分公司副总经理</w:t>
      </w:r>
    </w:p>
    <w:p>
      <w:pPr>
        <w:spacing w:after="1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联络员：</w:t>
      </w:r>
      <w:r>
        <w:rPr>
          <w:rFonts w:hint="eastAsia" w:ascii="Times New Roman" w:hAnsi="Times New Roman" w:eastAsia="仿宋_GB2312" w:cs="Times New Roman"/>
          <w:sz w:val="32"/>
          <w:szCs w:val="32"/>
          <w:lang w:eastAsia="zh-CN"/>
        </w:rPr>
        <w:t>苗沛霖</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rPr>
        <w:t xml:space="preserve">   </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发展改革委价格</w:t>
      </w:r>
      <w:r>
        <w:rPr>
          <w:rFonts w:hint="eastAsia" w:ascii="Times New Roman" w:hAnsi="Times New Roman" w:eastAsia="仿宋_GB2312" w:cs="Times New Roman"/>
          <w:sz w:val="32"/>
          <w:szCs w:val="32"/>
          <w:lang w:eastAsia="zh-CN"/>
        </w:rPr>
        <w:t>管理科副科长</w:t>
      </w:r>
      <w:r>
        <w:rPr>
          <w:rFonts w:hint="default" w:ascii="Times New Roman" w:hAnsi="Times New Roman" w:eastAsia="仿宋_GB2312" w:cs="Times New Roman"/>
          <w:sz w:val="32"/>
          <w:szCs w:val="32"/>
        </w:rPr>
        <w:t xml:space="preserve"> </w:t>
      </w:r>
    </w:p>
    <w:p>
      <w:pPr>
        <w:spacing w:after="12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eastAsia="zh-CN"/>
        </w:rPr>
        <w:t>周丹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区</w:t>
      </w:r>
      <w:r>
        <w:rPr>
          <w:rFonts w:hint="default"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lang w:val="en" w:eastAsia="zh-CN"/>
        </w:rPr>
        <w:t>价监科副科长</w:t>
      </w:r>
    </w:p>
    <w:p>
      <w:pPr>
        <w:spacing w:after="120"/>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eastAsia="zh-CN"/>
        </w:rPr>
        <w:t>李旭冉</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区商务局</w:t>
      </w:r>
      <w:r>
        <w:rPr>
          <w:rFonts w:hint="default" w:ascii="Times New Roman" w:hAnsi="Times New Roman" w:eastAsia="仿宋_GB2312" w:cs="Times New Roman"/>
          <w:sz w:val="32"/>
          <w:szCs w:val="32"/>
          <w:lang w:val="en" w:eastAsia="zh-CN"/>
        </w:rPr>
        <w:t>科员</w:t>
      </w:r>
    </w:p>
    <w:p>
      <w:pPr>
        <w:spacing w:after="120"/>
        <w:rPr>
          <w:rFonts w:hint="default" w:ascii="仿宋_GB2312" w:hAnsi="仿宋_GB2312" w:eastAsia="仿宋_GB2312" w:cs="仿宋_GB2312"/>
          <w:sz w:val="32"/>
          <w:szCs w:val="32"/>
          <w:lang w:val="en" w:eastAsia="zh-CN"/>
        </w:rPr>
      </w:pPr>
      <w:r>
        <w:rPr>
          <w:rFonts w:hint="default" w:ascii="Times New Roman" w:hAnsi="Times New Roman" w:eastAsia="仿宋_GB2312" w:cs="Times New Roman"/>
          <w:sz w:val="32"/>
          <w:szCs w:val="32"/>
          <w:lang w:val="en" w:eastAsia="zh-CN"/>
        </w:rPr>
        <w:t xml:space="preserve">        </w:t>
      </w:r>
      <w:r>
        <w:rPr>
          <w:rFonts w:hint="default" w:ascii="仿宋_GB2312" w:hAnsi="仿宋_GB2312" w:eastAsia="仿宋_GB2312" w:cs="仿宋_GB2312"/>
          <w:sz w:val="32"/>
          <w:szCs w:val="32"/>
          <w:lang w:val="en" w:eastAsia="zh-CN"/>
        </w:rPr>
        <w:t>王志伟     区住建委物业科科长</w:t>
      </w:r>
    </w:p>
    <w:p>
      <w:pPr>
        <w:spacing w:after="1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丁艳丽     城西供电分公司营销部</w:t>
      </w:r>
    </w:p>
    <w:p>
      <w:pPr>
        <w:spacing w:after="120"/>
        <w:rPr>
          <w:rFonts w:hint="default" w:ascii="仿宋_GB2312" w:hAnsi="仿宋_GB2312" w:eastAsia="仿宋_GB2312" w:cs="仿宋_GB2312"/>
          <w:sz w:val="32"/>
          <w:szCs w:val="32"/>
          <w:lang w:val="en-US" w:eastAsia="zh-CN"/>
        </w:rPr>
      </w:pPr>
    </w:p>
    <w:p>
      <w:pPr>
        <w:wordWrap w:val="0"/>
        <w:spacing w:line="100" w:lineRule="exact"/>
        <w:rPr>
          <w:rFonts w:hint="default" w:ascii="Times New Roman" w:hAnsi="Times New Roman" w:cs="Times New Roman"/>
          <w:lang w:val="en"/>
        </w:rPr>
      </w:pPr>
      <w:r>
        <w:rPr>
          <w:rFonts w:hint="default" w:ascii="仿宋_GB2312" w:hAnsi="仿宋_GB2312" w:eastAsia="仿宋_GB2312" w:cs="仿宋_GB2312"/>
          <w:sz w:val="32"/>
          <w:szCs w:val="32"/>
          <w:lang w:val="en" w:eastAsia="zh-CN"/>
        </w:rPr>
        <w:t xml:space="preserve">        </w:t>
      </w:r>
    </w:p>
    <w:p>
      <w:pPr>
        <w:spacing w:after="120"/>
        <w:ind w:firstLine="3520" w:firstLineChars="11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天津市南开区发展和改革委员会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FC9F8C"/>
    <w:multiLevelType w:val="singleLevel"/>
    <w:tmpl w:val="B5FC9F8C"/>
    <w:lvl w:ilvl="0" w:tentative="0">
      <w:start w:val="4"/>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D2B96"/>
    <w:rsid w:val="06351735"/>
    <w:rsid w:val="09093C28"/>
    <w:rsid w:val="0A0C0704"/>
    <w:rsid w:val="0CF94685"/>
    <w:rsid w:val="118714E1"/>
    <w:rsid w:val="13D15060"/>
    <w:rsid w:val="164643E3"/>
    <w:rsid w:val="19605BDB"/>
    <w:rsid w:val="1A290AA7"/>
    <w:rsid w:val="1C7C44BF"/>
    <w:rsid w:val="1CFF559F"/>
    <w:rsid w:val="1F863E2B"/>
    <w:rsid w:val="208C26F1"/>
    <w:rsid w:val="226A5D73"/>
    <w:rsid w:val="26132BB2"/>
    <w:rsid w:val="28A1114F"/>
    <w:rsid w:val="2DE16834"/>
    <w:rsid w:val="2E6D53C1"/>
    <w:rsid w:val="2F6610EF"/>
    <w:rsid w:val="303D611A"/>
    <w:rsid w:val="32A514EA"/>
    <w:rsid w:val="34CE3723"/>
    <w:rsid w:val="350D7ABA"/>
    <w:rsid w:val="38063A82"/>
    <w:rsid w:val="39CA6FF2"/>
    <w:rsid w:val="3E8B7779"/>
    <w:rsid w:val="3F7F11B6"/>
    <w:rsid w:val="3FFDCE45"/>
    <w:rsid w:val="3FFF185E"/>
    <w:rsid w:val="435C0270"/>
    <w:rsid w:val="43C767F1"/>
    <w:rsid w:val="4FEFF58B"/>
    <w:rsid w:val="51776D77"/>
    <w:rsid w:val="51CD92B4"/>
    <w:rsid w:val="52FDB922"/>
    <w:rsid w:val="55825EC7"/>
    <w:rsid w:val="56812E61"/>
    <w:rsid w:val="57A0918B"/>
    <w:rsid w:val="5A1E3F60"/>
    <w:rsid w:val="5BFC8D89"/>
    <w:rsid w:val="5CDF072C"/>
    <w:rsid w:val="5FAF55E7"/>
    <w:rsid w:val="5FFF0DFE"/>
    <w:rsid w:val="61F6D119"/>
    <w:rsid w:val="636E297A"/>
    <w:rsid w:val="682A6217"/>
    <w:rsid w:val="6C3D2B96"/>
    <w:rsid w:val="735FB2CD"/>
    <w:rsid w:val="73B77DF7"/>
    <w:rsid w:val="74C4794F"/>
    <w:rsid w:val="78E1480A"/>
    <w:rsid w:val="79E516F8"/>
    <w:rsid w:val="7A941607"/>
    <w:rsid w:val="7CB3423C"/>
    <w:rsid w:val="7CDE2B91"/>
    <w:rsid w:val="7D1F8F31"/>
    <w:rsid w:val="7F67F159"/>
    <w:rsid w:val="7FBFCB85"/>
    <w:rsid w:val="7FDECC3C"/>
    <w:rsid w:val="BA7B23C6"/>
    <w:rsid w:val="BFFAA09A"/>
    <w:rsid w:val="D09DFEBF"/>
    <w:rsid w:val="D3FF9AAD"/>
    <w:rsid w:val="D9DFAE30"/>
    <w:rsid w:val="DCB9ACD3"/>
    <w:rsid w:val="DFF973A6"/>
    <w:rsid w:val="EE64ED9B"/>
    <w:rsid w:val="F5BA2EAF"/>
    <w:rsid w:val="F77398B4"/>
    <w:rsid w:val="F7DFFE71"/>
    <w:rsid w:val="FD320C92"/>
    <w:rsid w:val="FD3BCA75"/>
    <w:rsid w:val="FFDFB9EB"/>
    <w:rsid w:val="FFEE6D8B"/>
    <w:rsid w:val="FFEFB8AC"/>
    <w:rsid w:val="FFF5BFAC"/>
    <w:rsid w:val="FFFE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2020-06-18T10:12:00Z</dcterms:created>
  <dc:creator>苗沛霖</dc:creator>
  <cp:lastModifiedBy>静音猫</cp:lastModifiedBy>
  <cp:lastPrinted>2021-09-29T14:42:00Z</cp:lastPrinted>
  <dcterms:modified xsi:type="dcterms:W3CDTF">2021-11-10T07:29:06Z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