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680" w:lineRule="exact"/>
        <w:rPr>
          <w:rFonts w:eastAsia="宋体" w:cs="Times New Roman"/>
        </w:rPr>
      </w:pPr>
      <w:r>
        <w:rPr>
          <w:rFonts w:hint="eastAsia" w:ascii="宋体" w:hAnsi="宋体" w:eastAsia="宋体"/>
        </w:rPr>
        <w:t>关于建立健全南开区养老服务综合监管制度促进养老服务高质量发展的实施方案</w:t>
      </w:r>
    </w:p>
    <w:p>
      <w:pPr>
        <w:spacing w:line="560" w:lineRule="exact"/>
        <w:ind w:firstLine="640" w:firstLineChars="200"/>
        <w:rPr>
          <w:rFonts w:eastAsia="仿宋"/>
          <w:color w:val="000000"/>
          <w:sz w:val="32"/>
          <w:szCs w:val="32"/>
        </w:rPr>
      </w:pPr>
      <w:r>
        <w:rPr>
          <w:rFonts w:eastAsia="仿宋"/>
          <w:color w:val="000000"/>
          <w:sz w:val="32"/>
          <w:szCs w:val="32"/>
        </w:rPr>
        <w:t xml:space="preserve"> </w:t>
      </w:r>
    </w:p>
    <w:p>
      <w:pPr>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为深入贯彻落实习近平总书记对养老服务工作的重要指示精神和党中央、国务院决策部署，深化“放管服”改革，</w:t>
      </w:r>
      <w:r>
        <w:rPr>
          <w:rFonts w:hint="eastAsia" w:ascii="仿宋" w:hAnsi="仿宋" w:eastAsia="仿宋"/>
          <w:sz w:val="32"/>
          <w:szCs w:val="32"/>
        </w:rPr>
        <w:t>落实养老服务监管重点、综合监管责任和创新养老机构监管方式，</w:t>
      </w:r>
      <w:r>
        <w:rPr>
          <w:rFonts w:hint="eastAsia" w:ascii="仿宋" w:hAnsi="仿宋" w:eastAsia="仿宋"/>
          <w:color w:val="000000"/>
          <w:sz w:val="32"/>
          <w:szCs w:val="32"/>
          <w:u w:val="none"/>
        </w:rPr>
        <w:t>不断</w:t>
      </w:r>
      <w:r>
        <w:rPr>
          <w:rFonts w:hint="eastAsia" w:ascii="仿宋" w:hAnsi="仿宋" w:eastAsia="仿宋"/>
          <w:color w:val="000000"/>
          <w:sz w:val="32"/>
          <w:szCs w:val="32"/>
        </w:rPr>
        <w:t>优化营商环境，促进我区养老服务高质量健康发展，不断满足人民群众日益增长的养老服务需求，依据《关于建立健全天津市养老服务综合监管制度促进养老服务高质量发展的意见》（津民发〔</w:t>
      </w:r>
      <w:r>
        <w:rPr>
          <w:rFonts w:eastAsia="仿宋"/>
          <w:color w:val="000000"/>
          <w:sz w:val="32"/>
          <w:szCs w:val="32"/>
        </w:rPr>
        <w:t>202</w:t>
      </w:r>
      <w:r>
        <w:rPr>
          <w:rFonts w:hint="eastAsia" w:eastAsia="仿宋"/>
          <w:color w:val="000000"/>
          <w:sz w:val="32"/>
          <w:szCs w:val="32"/>
        </w:rPr>
        <w:t>1</w:t>
      </w:r>
      <w:r>
        <w:rPr>
          <w:rFonts w:hint="eastAsia" w:ascii="仿宋" w:hAnsi="仿宋" w:eastAsia="仿宋"/>
          <w:color w:val="000000"/>
          <w:sz w:val="32"/>
          <w:szCs w:val="32"/>
        </w:rPr>
        <w:t>〕</w:t>
      </w:r>
      <w:r>
        <w:rPr>
          <w:rFonts w:hint="eastAsia" w:eastAsia="仿宋"/>
          <w:color w:val="000000"/>
          <w:sz w:val="32"/>
          <w:szCs w:val="32"/>
        </w:rPr>
        <w:t>10</w:t>
      </w:r>
      <w:r>
        <w:rPr>
          <w:rFonts w:hint="eastAsia" w:ascii="仿宋" w:hAnsi="仿宋" w:eastAsia="仿宋"/>
          <w:color w:val="000000"/>
          <w:sz w:val="32"/>
          <w:szCs w:val="32"/>
        </w:rPr>
        <w:t>号）的部署、要求，结合南开区实际，制定方案如下：</w:t>
      </w:r>
    </w:p>
    <w:p>
      <w:pPr>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一、明确监管重点</w:t>
      </w:r>
    </w:p>
    <w:p>
      <w:pPr>
        <w:spacing w:line="560" w:lineRule="exact"/>
        <w:ind w:firstLine="640" w:firstLineChars="200"/>
        <w:rPr>
          <w:rFonts w:hint="eastAsia" w:eastAsia="仿宋"/>
          <w:color w:val="000000"/>
          <w:sz w:val="32"/>
          <w:szCs w:val="32"/>
        </w:rPr>
      </w:pPr>
      <w:r>
        <w:rPr>
          <w:rFonts w:hint="eastAsia" w:ascii="楷体" w:hAnsi="楷体" w:eastAsia="楷体"/>
          <w:color w:val="000000"/>
          <w:sz w:val="32"/>
          <w:szCs w:val="32"/>
        </w:rPr>
        <w:t>（一）</w:t>
      </w:r>
      <w:r>
        <w:rPr>
          <w:rFonts w:hint="eastAsia" w:ascii="楷体" w:hAnsi="楷体" w:eastAsia="楷体"/>
          <w:b/>
          <w:bCs/>
          <w:color w:val="000000"/>
          <w:sz w:val="32"/>
          <w:szCs w:val="32"/>
        </w:rPr>
        <w:t>加强登记备案监管。</w:t>
      </w:r>
      <w:r>
        <w:rPr>
          <w:rFonts w:hint="eastAsia" w:ascii="楷体" w:hAnsi="楷体" w:eastAsia="楷体"/>
          <w:color w:val="000000"/>
          <w:sz w:val="32"/>
          <w:szCs w:val="32"/>
        </w:rPr>
        <w:t>完善登记部门对申办养老机构基本条件告知制度，使申办机构对基本条件清晰明确。</w:t>
      </w:r>
      <w:r>
        <w:rPr>
          <w:rFonts w:hint="eastAsia" w:ascii="仿宋" w:hAnsi="仿宋" w:eastAsia="仿宋"/>
          <w:color w:val="000000"/>
          <w:sz w:val="32"/>
          <w:szCs w:val="32"/>
        </w:rPr>
        <w:t>民政部门加强与登记部门信息互通，加强养老机构备案审查，对申请备案的养老机构，按照法定程序做好备案工作。对已经登记备案的，按照法规规定组织人员进行现场检查，严格核实备案信息。对未备案的养老机构，依法实施监管。</w:t>
      </w:r>
    </w:p>
    <w:p>
      <w:pPr>
        <w:spacing w:line="560" w:lineRule="exact"/>
        <w:ind w:firstLine="640" w:firstLineChars="200"/>
        <w:rPr>
          <w:rFonts w:hint="eastAsia" w:eastAsia="仿宋"/>
          <w:color w:val="000000"/>
          <w:sz w:val="32"/>
          <w:szCs w:val="32"/>
        </w:rPr>
      </w:pPr>
      <w:r>
        <w:rPr>
          <w:rFonts w:hint="eastAsia" w:ascii="楷体" w:hAnsi="楷体" w:eastAsia="楷体"/>
          <w:color w:val="000000"/>
          <w:sz w:val="32"/>
          <w:szCs w:val="32"/>
        </w:rPr>
        <w:t>（二）</w:t>
      </w:r>
      <w:r>
        <w:rPr>
          <w:rFonts w:hint="eastAsia" w:ascii="楷体" w:hAnsi="楷体" w:eastAsia="楷体"/>
          <w:b/>
          <w:bCs/>
          <w:color w:val="000000"/>
          <w:sz w:val="32"/>
          <w:szCs w:val="32"/>
        </w:rPr>
        <w:t>加强质量安全监管</w:t>
      </w:r>
      <w:r>
        <w:rPr>
          <w:rFonts w:hint="eastAsia" w:ascii="楷体" w:hAnsi="楷体" w:eastAsia="楷体"/>
          <w:color w:val="000000"/>
          <w:sz w:val="32"/>
          <w:szCs w:val="32"/>
        </w:rPr>
        <w:t>。</w:t>
      </w:r>
      <w:r>
        <w:rPr>
          <w:rFonts w:hint="eastAsia" w:ascii="仿宋" w:hAnsi="仿宋" w:eastAsia="仿宋"/>
          <w:sz w:val="30"/>
          <w:szCs w:val="30"/>
        </w:rPr>
        <w:t>按照“谁审批谁监管、谁主管谁监管”原则，</w:t>
      </w:r>
      <w:r>
        <w:rPr>
          <w:rFonts w:hint="eastAsia" w:ascii="仿宋" w:hAnsi="仿宋" w:eastAsia="仿宋"/>
          <w:color w:val="000000"/>
          <w:sz w:val="32"/>
          <w:szCs w:val="32"/>
        </w:rPr>
        <w:t>加强对养老服务机构（包括养老机构、居家社区养老服务机构）建筑、消防、食品、医疗卫生、环境保</w:t>
      </w:r>
      <w:bookmarkStart w:id="0" w:name="_GoBack"/>
      <w:bookmarkEnd w:id="0"/>
      <w:r>
        <w:rPr>
          <w:rFonts w:hint="eastAsia" w:ascii="仿宋" w:hAnsi="仿宋" w:eastAsia="仿宋"/>
          <w:color w:val="000000"/>
          <w:sz w:val="32"/>
          <w:szCs w:val="32"/>
        </w:rPr>
        <w:t>护、特种设备等方面的监管，引导养老服务机构主动消除各类安全风险隐患，促进养老服务高质量发展。</w:t>
      </w:r>
    </w:p>
    <w:p>
      <w:pPr>
        <w:ind w:firstLine="320" w:firstLineChars="100"/>
        <w:rPr>
          <w:rFonts w:hint="eastAsia" w:eastAsia="仿宋"/>
          <w:color w:val="000000"/>
          <w:sz w:val="32"/>
          <w:szCs w:val="32"/>
        </w:rPr>
      </w:pPr>
      <w:r>
        <w:rPr>
          <w:rFonts w:hint="eastAsia" w:ascii="楷体" w:hAnsi="楷体" w:eastAsia="楷体"/>
          <w:color w:val="000000"/>
          <w:sz w:val="32"/>
          <w:szCs w:val="32"/>
        </w:rPr>
        <w:t>（三）</w:t>
      </w:r>
      <w:r>
        <w:rPr>
          <w:rFonts w:hint="eastAsia" w:ascii="楷体" w:hAnsi="楷体" w:eastAsia="楷体"/>
          <w:b/>
          <w:bCs/>
          <w:color w:val="000000"/>
          <w:sz w:val="32"/>
          <w:szCs w:val="32"/>
        </w:rPr>
        <w:t>加强从业人员监管。</w:t>
      </w:r>
      <w:r>
        <w:rPr>
          <w:rFonts w:hint="eastAsia" w:ascii="仿宋" w:hAnsi="仿宋" w:eastAsia="仿宋"/>
          <w:sz w:val="30"/>
          <w:szCs w:val="30"/>
        </w:rPr>
        <w:t>积极筹建培训基地，定期组织养老服务从业人员</w:t>
      </w:r>
      <w:r>
        <w:rPr>
          <w:rFonts w:hint="eastAsia" w:ascii="仿宋" w:hAnsi="仿宋" w:eastAsia="仿宋"/>
          <w:color w:val="000000"/>
          <w:sz w:val="32"/>
          <w:szCs w:val="32"/>
        </w:rPr>
        <w:t>（包括养老服务机构的法定代表人、主要负责人、管理人员以及养老护理员等相关人员）</w:t>
      </w:r>
      <w:r>
        <w:rPr>
          <w:rFonts w:hint="eastAsia" w:ascii="仿宋" w:hAnsi="仿宋" w:eastAsia="仿宋"/>
          <w:sz w:val="30"/>
          <w:szCs w:val="30"/>
        </w:rPr>
        <w:t>开展职业道德、职业技能提升培训，</w:t>
      </w:r>
      <w:r>
        <w:rPr>
          <w:rFonts w:hint="eastAsia" w:ascii="仿宋" w:hAnsi="仿宋" w:eastAsia="仿宋"/>
          <w:color w:val="000000"/>
          <w:sz w:val="32"/>
          <w:szCs w:val="32"/>
        </w:rPr>
        <w:t>落实养老护理员职业技能等级认定工作，不断提高养老服务水平。</w:t>
      </w:r>
      <w:r>
        <w:rPr>
          <w:rFonts w:hint="eastAsia" w:ascii="仿宋" w:hAnsi="仿宋" w:eastAsia="仿宋"/>
          <w:sz w:val="30"/>
          <w:szCs w:val="30"/>
        </w:rPr>
        <w:t>各类专业技术人员要做到持证上岗。认真贯彻《老年人权益保障法》杜绝养老服务机构欺老、虐老等侵害老年人合法权益的事件发生，为老年人创建温馨的养老氛围。</w:t>
      </w:r>
    </w:p>
    <w:p>
      <w:pPr>
        <w:spacing w:line="560" w:lineRule="exact"/>
        <w:ind w:firstLine="320" w:firstLineChars="100"/>
        <w:rPr>
          <w:rFonts w:hint="eastAsia" w:ascii="仿宋" w:hAnsi="仿宋" w:eastAsia="仿宋"/>
          <w:sz w:val="30"/>
          <w:szCs w:val="30"/>
        </w:rPr>
      </w:pPr>
      <w:r>
        <w:rPr>
          <w:rFonts w:hint="eastAsia" w:ascii="楷体" w:hAnsi="楷体" w:eastAsia="楷体"/>
          <w:color w:val="000000"/>
          <w:sz w:val="32"/>
          <w:szCs w:val="32"/>
        </w:rPr>
        <w:t>（四）</w:t>
      </w:r>
      <w:r>
        <w:rPr>
          <w:rFonts w:hint="eastAsia" w:ascii="楷体" w:hAnsi="楷体" w:eastAsia="楷体"/>
          <w:b/>
          <w:bCs/>
          <w:color w:val="000000"/>
          <w:sz w:val="32"/>
          <w:szCs w:val="32"/>
        </w:rPr>
        <w:t>加强涉老资金监管</w:t>
      </w:r>
      <w:r>
        <w:rPr>
          <w:rFonts w:hint="eastAsia" w:ascii="楷体" w:hAnsi="楷体" w:eastAsia="楷体"/>
          <w:color w:val="000000"/>
          <w:sz w:val="32"/>
          <w:szCs w:val="32"/>
        </w:rPr>
        <w:t>。</w:t>
      </w:r>
      <w:r>
        <w:rPr>
          <w:rFonts w:hint="eastAsia" w:ascii="仿宋" w:hAnsi="仿宋" w:eastAsia="仿宋"/>
          <w:sz w:val="30"/>
          <w:szCs w:val="30"/>
        </w:rPr>
        <w:t>积极建立养老院补贴专款专用长效机制，落实补贴使用承诺。</w:t>
      </w:r>
      <w:r>
        <w:rPr>
          <w:rFonts w:hint="eastAsia" w:ascii="仿宋" w:hAnsi="仿宋" w:eastAsia="仿宋"/>
          <w:color w:val="000000"/>
          <w:sz w:val="32"/>
          <w:szCs w:val="32"/>
        </w:rPr>
        <w:t>重点加强养老服务中养老机构建设运营补贴资金、使用财政资金的重点建设项目、医保基金、政府购买服务资金及为老服务金融产品的监管。加大养老服务机构预收费用管理，强化以养老服务为名的非法集资风险排查力度，引导养老服务机构合法合规筹集使用各类资金。</w:t>
      </w:r>
      <w:r>
        <w:rPr>
          <w:rFonts w:hint="eastAsia" w:ascii="仿宋" w:hAnsi="仿宋" w:eastAsia="仿宋"/>
          <w:sz w:val="30"/>
          <w:szCs w:val="30"/>
        </w:rPr>
        <w:t>定期委托第三方对养老服务机构申领使用补贴资金信息的真实性、准确性进行抽查、核查。</w:t>
      </w:r>
      <w:r>
        <w:rPr>
          <w:rFonts w:hint="eastAsia" w:ascii="仿宋" w:hAnsi="仿宋" w:eastAsia="仿宋"/>
          <w:sz w:val="32"/>
          <w:szCs w:val="32"/>
        </w:rPr>
        <w:t>杜绝弄虚作假、挤占挪用等违法</w:t>
      </w:r>
      <w:r>
        <w:rPr>
          <w:rFonts w:hint="eastAsia" w:ascii="仿宋" w:hAnsi="仿宋" w:eastAsia="仿宋"/>
          <w:sz w:val="30"/>
          <w:szCs w:val="30"/>
        </w:rPr>
        <w:t>违规行为。</w:t>
      </w:r>
    </w:p>
    <w:p>
      <w:pPr>
        <w:spacing w:line="560" w:lineRule="exact"/>
        <w:ind w:firstLine="320" w:firstLineChars="100"/>
        <w:rPr>
          <w:rFonts w:hint="eastAsia" w:ascii="仿宋" w:hAnsi="仿宋" w:eastAsia="仿宋"/>
          <w:sz w:val="30"/>
          <w:szCs w:val="30"/>
        </w:rPr>
      </w:pPr>
      <w:r>
        <w:rPr>
          <w:rFonts w:hint="eastAsia" w:ascii="楷体" w:hAnsi="楷体" w:eastAsia="楷体"/>
          <w:color w:val="000000"/>
          <w:sz w:val="32"/>
          <w:szCs w:val="32"/>
        </w:rPr>
        <w:t>（五）</w:t>
      </w:r>
      <w:r>
        <w:rPr>
          <w:rFonts w:hint="eastAsia" w:ascii="楷体" w:hAnsi="楷体" w:eastAsia="楷体"/>
          <w:b/>
          <w:bCs/>
          <w:color w:val="000000"/>
          <w:sz w:val="32"/>
          <w:szCs w:val="32"/>
        </w:rPr>
        <w:t>加强运营秩序监管</w:t>
      </w:r>
      <w:r>
        <w:rPr>
          <w:rFonts w:hint="eastAsia" w:ascii="楷体" w:hAnsi="楷体" w:eastAsia="楷体"/>
          <w:color w:val="000000"/>
          <w:sz w:val="32"/>
          <w:szCs w:val="32"/>
        </w:rPr>
        <w:t>。</w:t>
      </w:r>
      <w:r>
        <w:rPr>
          <w:rFonts w:hint="eastAsia" w:ascii="仿宋" w:hAnsi="仿宋" w:eastAsia="仿宋"/>
          <w:color w:val="000000"/>
          <w:sz w:val="32"/>
          <w:szCs w:val="32"/>
        </w:rPr>
        <w:t>加强对养老服务设施用地、民办非营利性养老服务机构退出财产处置、无证无照从事养老服务、养老服务机构向老年人欺诈销售各类产品、非法集资等方面的监管。</w:t>
      </w:r>
      <w:r>
        <w:rPr>
          <w:rFonts w:hint="eastAsia" w:ascii="仿宋" w:hAnsi="仿宋" w:eastAsia="仿宋"/>
          <w:sz w:val="30"/>
          <w:szCs w:val="30"/>
        </w:rPr>
        <w:t>积极推进养老院规范化、信息化建设，完善养老院各项规章制度，</w:t>
      </w:r>
      <w:r>
        <w:rPr>
          <w:rFonts w:hint="eastAsia" w:ascii="仿宋" w:hAnsi="仿宋" w:eastAsia="仿宋"/>
          <w:color w:val="000000"/>
          <w:sz w:val="32"/>
          <w:szCs w:val="32"/>
        </w:rPr>
        <w:t>引导养老服务机构不断优化内部管理，规范服务行为，合理规避风险，妥善处置纠纷。</w:t>
      </w:r>
      <w:r>
        <w:rPr>
          <w:rFonts w:hint="eastAsia" w:ascii="仿宋" w:hAnsi="仿宋" w:eastAsia="仿宋"/>
          <w:sz w:val="30"/>
          <w:szCs w:val="30"/>
        </w:rPr>
        <w:t>不断完善养老机构重点部位视频监控，结合南开智慧养老云平台建设积极推进养老院视频监控联网，强化养老院运营秩序信息监管。</w:t>
      </w:r>
    </w:p>
    <w:p>
      <w:pPr>
        <w:ind w:firstLine="600" w:firstLineChars="200"/>
        <w:rPr>
          <w:rFonts w:hint="eastAsia" w:ascii="仿宋" w:hAnsi="仿宋" w:eastAsia="仿宋"/>
          <w:color w:val="000000"/>
          <w:sz w:val="32"/>
          <w:szCs w:val="32"/>
        </w:rPr>
      </w:pPr>
      <w:r>
        <w:rPr>
          <w:rFonts w:hint="eastAsia" w:ascii="仿宋" w:hAnsi="仿宋" w:eastAsia="仿宋"/>
          <w:sz w:val="30"/>
          <w:szCs w:val="30"/>
        </w:rPr>
        <w:t>对检查中发现的或群众举报的，未经登记擅自以社会服务机构名义开展养老服务活动的、未依法取得营业执照以市场主体名义从事养老服务经营活动的、未经登记管理机关核准登记，擅自以事业单位法人名义开展养老服务活动的非法运营的养老机构，将联合各相关单位依法处理，打击无证无照从事养老服务的行为，净化养老服务市场，优化营商环境。</w:t>
      </w:r>
    </w:p>
    <w:p>
      <w:pPr>
        <w:spacing w:line="560" w:lineRule="exact"/>
        <w:ind w:firstLine="643" w:firstLineChars="200"/>
        <w:rPr>
          <w:rFonts w:hint="eastAsia" w:ascii="仿宋" w:hAnsi="仿宋" w:eastAsia="仿宋"/>
          <w:color w:val="000000"/>
          <w:sz w:val="32"/>
          <w:szCs w:val="32"/>
        </w:rPr>
      </w:pPr>
      <w:r>
        <w:rPr>
          <w:rFonts w:hint="eastAsia" w:ascii="楷体" w:hAnsi="楷体" w:eastAsia="楷体"/>
          <w:b/>
          <w:bCs/>
          <w:color w:val="000000"/>
          <w:sz w:val="32"/>
          <w:szCs w:val="32"/>
          <w:lang w:val="en-US" w:eastAsia="zh-CN"/>
        </w:rPr>
        <w:t>(六）</w:t>
      </w:r>
      <w:r>
        <w:rPr>
          <w:rFonts w:hint="eastAsia" w:ascii="楷体" w:hAnsi="楷体" w:eastAsia="楷体"/>
          <w:b/>
          <w:bCs/>
          <w:color w:val="000000"/>
          <w:sz w:val="32"/>
          <w:szCs w:val="32"/>
        </w:rPr>
        <w:t>加强突发事件应对管理</w:t>
      </w:r>
      <w:r>
        <w:rPr>
          <w:rFonts w:hint="eastAsia" w:ascii="楷体" w:hAnsi="楷体" w:eastAsia="楷体"/>
          <w:color w:val="000000"/>
          <w:sz w:val="32"/>
          <w:szCs w:val="32"/>
        </w:rPr>
        <w:t>。</w:t>
      </w:r>
      <w:r>
        <w:rPr>
          <w:rFonts w:hint="eastAsia" w:ascii="仿宋" w:hAnsi="仿宋" w:eastAsia="仿宋"/>
          <w:sz w:val="30"/>
          <w:szCs w:val="30"/>
        </w:rPr>
        <w:t>认真贯彻《中华人民共和国突发</w:t>
      </w:r>
      <w:r>
        <w:rPr>
          <w:rFonts w:hint="eastAsia" w:ascii="仿宋" w:hAnsi="仿宋" w:eastAsia="仿宋"/>
          <w:sz w:val="32"/>
          <w:szCs w:val="32"/>
        </w:rPr>
        <w:t>事件应对法》、《中华人民共和国传染病防治法》、《突发公共卫生事件应急条例》等相关法规，不断强化养老服务机构风险防范意识和应对处置能力，</w:t>
      </w:r>
      <w:r>
        <w:rPr>
          <w:rFonts w:hint="eastAsia" w:ascii="仿宋" w:hAnsi="仿宋" w:eastAsia="仿宋"/>
          <w:color w:val="000000"/>
          <w:sz w:val="32"/>
          <w:szCs w:val="32"/>
        </w:rPr>
        <w:t>指导养老服务机构</w:t>
      </w:r>
      <w:r>
        <w:rPr>
          <w:rFonts w:hint="eastAsia" w:ascii="仿宋" w:hAnsi="仿宋" w:eastAsia="仿宋"/>
          <w:sz w:val="32"/>
          <w:szCs w:val="32"/>
        </w:rPr>
        <w:t>建立健全</w:t>
      </w:r>
      <w:r>
        <w:rPr>
          <w:rFonts w:hint="eastAsia" w:ascii="仿宋" w:hAnsi="仿宋" w:eastAsia="仿宋"/>
          <w:color w:val="000000"/>
          <w:sz w:val="32"/>
          <w:szCs w:val="32"/>
        </w:rPr>
        <w:t>自然灾害、事故灾难、公共卫生事件等突发事件应急预案，各专业部门</w:t>
      </w:r>
      <w:r>
        <w:rPr>
          <w:rFonts w:hint="eastAsia" w:ascii="仿宋" w:hAnsi="仿宋" w:eastAsia="仿宋"/>
          <w:sz w:val="32"/>
          <w:szCs w:val="32"/>
        </w:rPr>
        <w:t>定期指导开展应急演练，</w:t>
      </w:r>
      <w:r>
        <w:rPr>
          <w:rFonts w:hint="eastAsia" w:ascii="仿宋" w:hAnsi="仿宋" w:eastAsia="仿宋"/>
          <w:color w:val="000000"/>
          <w:sz w:val="32"/>
          <w:szCs w:val="32"/>
        </w:rPr>
        <w:t>引导养老服务机构增强风险防范意识和应对处置能力，尽可能减少突发事件造成的损失。</w:t>
      </w:r>
    </w:p>
    <w:p>
      <w:pPr>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二、落实监管责任</w:t>
      </w:r>
    </w:p>
    <w:p>
      <w:pPr>
        <w:spacing w:line="560" w:lineRule="exact"/>
        <w:ind w:firstLine="320" w:firstLineChars="100"/>
        <w:rPr>
          <w:rFonts w:hint="eastAsia" w:ascii="楷体" w:hAnsi="楷体" w:eastAsia="楷体"/>
          <w:b/>
          <w:bCs/>
          <w:color w:val="000000"/>
          <w:sz w:val="32"/>
          <w:szCs w:val="32"/>
        </w:rPr>
      </w:pPr>
      <w:r>
        <w:rPr>
          <w:rFonts w:hint="eastAsia" w:ascii="楷体" w:hAnsi="楷体" w:eastAsia="楷体"/>
          <w:color w:val="000000"/>
          <w:sz w:val="32"/>
          <w:szCs w:val="32"/>
        </w:rPr>
        <w:t>（七）</w:t>
      </w:r>
      <w:r>
        <w:rPr>
          <w:rFonts w:hint="eastAsia" w:ascii="楷体" w:hAnsi="楷体" w:eastAsia="楷体"/>
          <w:b/>
          <w:bCs/>
          <w:color w:val="000000"/>
          <w:sz w:val="32"/>
          <w:szCs w:val="32"/>
        </w:rPr>
        <w:t>落实政府综合监管责任</w:t>
      </w:r>
    </w:p>
    <w:p>
      <w:pPr>
        <w:spacing w:line="560" w:lineRule="exact"/>
        <w:ind w:firstLine="640" w:firstLineChars="200"/>
        <w:rPr>
          <w:rFonts w:hint="eastAsia" w:ascii="楷体" w:hAnsi="楷体" w:eastAsia="楷体"/>
          <w:color w:val="000000"/>
          <w:sz w:val="32"/>
          <w:szCs w:val="32"/>
        </w:rPr>
      </w:pPr>
      <w:r>
        <w:rPr>
          <w:rFonts w:hint="eastAsia" w:ascii="仿宋" w:hAnsi="仿宋" w:eastAsia="仿宋"/>
          <w:color w:val="000000"/>
          <w:sz w:val="32"/>
          <w:szCs w:val="32"/>
        </w:rPr>
        <w:t>一是加强部门联动协同监管。民政部门会同住房城乡建设部门加强养老服务机构建筑使用和房屋质量的安全检查，加强养老服务机构消防设计审核、消防验收、备案和抽查工作；会同消防救援机构、住房城乡建设等有关部门抓好养老服务机构消防安全整治；会同市场监管部门加强养老服务机构、老人家食堂的食品安全日常监管检查。财政部门、发展改革部门、民政部门，应当按照各自职责和有关规定，加强对养老服务机构补贴补助、政府购买养老服务、养老服务重点建设项目资金拨付情况、资金使用情况的监督管理。</w:t>
      </w:r>
    </w:p>
    <w:p>
      <w:pPr>
        <w:spacing w:line="560" w:lineRule="exact"/>
        <w:ind w:firstLine="640" w:firstLineChars="200"/>
        <w:rPr>
          <w:rFonts w:hint="eastAsia" w:eastAsia="仿宋"/>
          <w:color w:val="000000"/>
          <w:sz w:val="32"/>
          <w:szCs w:val="32"/>
        </w:rPr>
      </w:pPr>
      <w:r>
        <w:rPr>
          <w:rFonts w:hint="eastAsia" w:ascii="仿宋" w:hAnsi="仿宋" w:eastAsia="仿宋"/>
          <w:color w:val="000000"/>
          <w:sz w:val="32"/>
          <w:szCs w:val="32"/>
        </w:rPr>
        <w:t>二是加强条块结合逐级监管。各部门、各街道要形成条块结合、横向到边、纵向到底、全覆盖式网格化管理体系，按照职责和任务分工（附件</w:t>
      </w:r>
      <w:r>
        <w:rPr>
          <w:rFonts w:eastAsia="仿宋"/>
          <w:color w:val="000000"/>
          <w:sz w:val="32"/>
          <w:szCs w:val="32"/>
        </w:rPr>
        <w:t>1</w:t>
      </w:r>
      <w:r>
        <w:rPr>
          <w:rFonts w:hint="eastAsia" w:ascii="仿宋" w:hAnsi="仿宋" w:eastAsia="仿宋"/>
          <w:color w:val="000000"/>
          <w:sz w:val="32"/>
          <w:szCs w:val="32"/>
        </w:rPr>
        <w:t>、</w:t>
      </w:r>
      <w:r>
        <w:rPr>
          <w:rFonts w:eastAsia="仿宋"/>
          <w:color w:val="000000"/>
          <w:sz w:val="32"/>
          <w:szCs w:val="32"/>
        </w:rPr>
        <w:t>2</w:t>
      </w:r>
      <w:r>
        <w:rPr>
          <w:rFonts w:hint="eastAsia" w:ascii="仿宋" w:hAnsi="仿宋" w:eastAsia="仿宋"/>
          <w:color w:val="000000"/>
          <w:sz w:val="32"/>
          <w:szCs w:val="32"/>
        </w:rPr>
        <w:t>）加强对养老服务监管。各街道要履行属地管理责任。</w:t>
      </w:r>
    </w:p>
    <w:p>
      <w:pPr>
        <w:spacing w:line="560" w:lineRule="exact"/>
        <w:ind w:firstLine="640" w:firstLineChars="200"/>
        <w:rPr>
          <w:rFonts w:hint="eastAsia" w:hAnsi="仿宋" w:eastAsia="仿宋"/>
          <w:color w:val="000000"/>
          <w:sz w:val="32"/>
          <w:szCs w:val="32"/>
        </w:rPr>
      </w:pPr>
      <w:r>
        <w:rPr>
          <w:rFonts w:hint="eastAsia" w:ascii="仿宋" w:hAnsi="仿宋" w:eastAsia="仿宋"/>
          <w:color w:val="000000"/>
          <w:sz w:val="32"/>
          <w:szCs w:val="32"/>
        </w:rPr>
        <w:t>三是加强风险分级动态监管。建立养老服务机构风险分级管控机制，按照职责和任务分工（附件</w:t>
      </w:r>
      <w:r>
        <w:rPr>
          <w:rFonts w:eastAsia="仿宋"/>
          <w:color w:val="000000"/>
          <w:sz w:val="32"/>
          <w:szCs w:val="32"/>
        </w:rPr>
        <w:t>1</w:t>
      </w:r>
      <w:r>
        <w:rPr>
          <w:rFonts w:hint="eastAsia" w:ascii="仿宋" w:hAnsi="仿宋" w:eastAsia="仿宋"/>
          <w:color w:val="000000"/>
          <w:sz w:val="32"/>
          <w:szCs w:val="32"/>
        </w:rPr>
        <w:t>、</w:t>
      </w:r>
      <w:r>
        <w:rPr>
          <w:rFonts w:eastAsia="仿宋"/>
          <w:color w:val="000000"/>
          <w:sz w:val="32"/>
          <w:szCs w:val="32"/>
        </w:rPr>
        <w:t>2</w:t>
      </w:r>
      <w:r>
        <w:rPr>
          <w:rFonts w:hint="eastAsia" w:ascii="仿宋" w:hAnsi="仿宋" w:eastAsia="仿宋"/>
          <w:color w:val="000000"/>
          <w:sz w:val="32"/>
          <w:szCs w:val="32"/>
        </w:rPr>
        <w:t>）形成统一的养老服务质量、安全和费用风险监测评估网络，对投诉举报多、安全隐患大，有失信行为和严重违法违规记录的养老服务机构，增加检查频次，加大查处力度。</w:t>
      </w:r>
    </w:p>
    <w:p>
      <w:pPr>
        <w:spacing w:line="560" w:lineRule="exact"/>
        <w:ind w:firstLine="640" w:firstLineChars="200"/>
        <w:rPr>
          <w:rFonts w:hint="eastAsia" w:eastAsia="仿宋"/>
          <w:color w:val="000000"/>
          <w:sz w:val="32"/>
          <w:szCs w:val="32"/>
        </w:rPr>
      </w:pPr>
      <w:r>
        <w:rPr>
          <w:rFonts w:hint="eastAsia" w:ascii="仿宋" w:hAnsi="仿宋" w:eastAsia="仿宋"/>
          <w:color w:val="000000"/>
          <w:sz w:val="32"/>
          <w:szCs w:val="32"/>
        </w:rPr>
        <w:t>四是加强失信联合惩戒监管。民政部门在及时通过市信用信息共享平台、政府信息共享机制充分归集、整理相关信用信息的基础上，依托“金民工程”建立的联合惩戒对象名单管理系统，按照“谁监管、谁列入”的原则，开展本辖区惩戒对象名单管理工作，向社会公布惩戒对象名单，引导养老服务机构诚信守法经营。</w:t>
      </w:r>
    </w:p>
    <w:p>
      <w:pPr>
        <w:spacing w:line="560" w:lineRule="exact"/>
        <w:ind w:firstLine="643" w:firstLineChars="200"/>
        <w:rPr>
          <w:rFonts w:hint="eastAsia" w:ascii="仿宋" w:hAnsi="仿宋" w:eastAsia="仿宋"/>
          <w:b/>
          <w:bCs/>
          <w:color w:val="000000"/>
          <w:sz w:val="32"/>
          <w:szCs w:val="32"/>
        </w:rPr>
      </w:pPr>
      <w:r>
        <w:rPr>
          <w:rFonts w:hint="eastAsia" w:ascii="仿宋" w:hAnsi="仿宋" w:eastAsia="仿宋"/>
          <w:b/>
          <w:bCs/>
          <w:color w:val="000000"/>
          <w:sz w:val="32"/>
          <w:szCs w:val="32"/>
        </w:rPr>
        <w:t>（八）压实机构主体责任</w:t>
      </w:r>
    </w:p>
    <w:p>
      <w:pPr>
        <w:spacing w:line="560" w:lineRule="exact"/>
        <w:ind w:firstLine="640" w:firstLineChars="200"/>
        <w:rPr>
          <w:rFonts w:hint="eastAsia" w:hAnsi="仿宋" w:eastAsia="仿宋"/>
          <w:color w:val="000000"/>
          <w:sz w:val="32"/>
          <w:szCs w:val="32"/>
        </w:rPr>
      </w:pPr>
      <w:r>
        <w:rPr>
          <w:rFonts w:hint="eastAsia" w:ascii="仿宋" w:hAnsi="仿宋" w:eastAsia="仿宋"/>
          <w:color w:val="000000"/>
          <w:sz w:val="32"/>
          <w:szCs w:val="32"/>
        </w:rPr>
        <w:t>一是压实服务管理责任。养老服务机构要坚持党的领导、加强党的建设，依法履行登记备案承诺、履约服务、消防安全、食品安全、医疗卫生等主体责任，其主要负责人是第一责任人。建立健全员工守则，定期组织养老服务从业人员进行职业道德教育和职业技能培训，不断提高职业道德素养，掌握专业技能，定期开展安全风险评估和安全检查，及时消除安全隐患。</w:t>
      </w:r>
    </w:p>
    <w:p>
      <w:pPr>
        <w:spacing w:line="560" w:lineRule="exact"/>
        <w:ind w:firstLine="640" w:firstLineChars="200"/>
        <w:rPr>
          <w:rFonts w:hint="eastAsia" w:hAnsi="仿宋" w:eastAsia="仿宋"/>
          <w:color w:val="000000"/>
          <w:sz w:val="32"/>
          <w:szCs w:val="32"/>
        </w:rPr>
      </w:pPr>
      <w:r>
        <w:rPr>
          <w:rFonts w:hint="eastAsia" w:ascii="仿宋" w:hAnsi="仿宋" w:eastAsia="仿宋"/>
          <w:color w:val="000000"/>
          <w:sz w:val="32"/>
          <w:szCs w:val="32"/>
        </w:rPr>
        <w:t>二是压实应急处置责任。养老服务机构要依法制定自然灾害、事故灾难、公共卫生事件等突发事件应急预案，在场所内配备报警装置和必要的应急救援设备、设施，组织有关突发事件应急知识宣传普及活动和必要的应急演练，发生安全事故和突发事件的，应当依照相关要求，立即开展应急处置并报告。</w:t>
      </w:r>
    </w:p>
    <w:p>
      <w:pPr>
        <w:pStyle w:val="2"/>
        <w:spacing w:line="560" w:lineRule="exact"/>
        <w:ind w:firstLine="640" w:firstLineChars="200"/>
        <w:rPr>
          <w:rFonts w:hint="eastAsia" w:eastAsia="仿宋"/>
        </w:rPr>
      </w:pPr>
      <w:r>
        <w:rPr>
          <w:rFonts w:hint="eastAsia" w:ascii="仿宋" w:hAnsi="仿宋" w:eastAsia="仿宋"/>
          <w:color w:val="000000"/>
          <w:sz w:val="32"/>
          <w:szCs w:val="32"/>
        </w:rPr>
        <w:t>三是压实从业人员管理责任。养老服务机构要配备与其运营服务相适应的管理人员、专业技术人员和相应比例的服务人员，并具备相关资格，加强培养和培训，不断提高养老机构综合管理水平。</w:t>
      </w:r>
    </w:p>
    <w:p>
      <w:pPr>
        <w:spacing w:line="560" w:lineRule="exact"/>
        <w:ind w:firstLine="419" w:firstLineChars="131"/>
        <w:jc w:val="left"/>
        <w:rPr>
          <w:rFonts w:hint="eastAsia" w:ascii="仿宋" w:hAnsi="仿宋" w:eastAsia="仿宋"/>
          <w:sz w:val="32"/>
          <w:szCs w:val="32"/>
        </w:rPr>
      </w:pPr>
      <w:r>
        <w:rPr>
          <w:rFonts w:hint="eastAsia" w:ascii="楷体" w:hAnsi="楷体" w:eastAsia="楷体"/>
          <w:color w:val="000000"/>
          <w:sz w:val="32"/>
          <w:szCs w:val="32"/>
        </w:rPr>
        <w:t>（九）发挥行业自律和社会监督作用。</w:t>
      </w:r>
      <w:r>
        <w:rPr>
          <w:rFonts w:hint="eastAsia" w:ascii="仿宋" w:hAnsi="仿宋" w:eastAsia="仿宋"/>
          <w:color w:val="000000"/>
          <w:sz w:val="32"/>
          <w:szCs w:val="32"/>
        </w:rPr>
        <w:t>养老服务领域行业</w:t>
      </w:r>
      <w:r>
        <w:rPr>
          <w:rFonts w:hint="eastAsia" w:ascii="仿宋" w:hAnsi="仿宋" w:eastAsia="仿宋"/>
          <w:sz w:val="32"/>
          <w:szCs w:val="32"/>
        </w:rPr>
        <w:t>组织应当健全行业自律规范，积极推行行业诚信体系自律体系建设，制定实施行业服务规范和行业职业道德准则，规范从业人员职业行为，积极协调解决养老服务纠纷。民政、卫生健康、医疗保障、市场监管等部门应当按监管职责及时受理并依法处理与养老服务相关的投诉、举报；优化养老服务投诉举报受理流程，实现“民政牵头、归口负责”。坚持正面宣传和舆论监督相结合，宣传报道应实事求是、表述严谨，对捏造事实、制造谣言、造成严重社会影响的，依法追究有关人员责任。</w:t>
      </w:r>
    </w:p>
    <w:p>
      <w:pPr>
        <w:ind w:firstLine="640" w:firstLineChars="200"/>
        <w:rPr>
          <w:rFonts w:hint="eastAsia" w:ascii="仿宋" w:hAnsi="仿宋" w:eastAsia="仿宋"/>
          <w:color w:val="000000"/>
          <w:sz w:val="32"/>
          <w:szCs w:val="32"/>
        </w:rPr>
      </w:pPr>
      <w:r>
        <w:rPr>
          <w:rFonts w:hint="eastAsia" w:ascii="仿宋" w:hAnsi="仿宋" w:eastAsia="仿宋"/>
          <w:sz w:val="32"/>
          <w:szCs w:val="32"/>
        </w:rPr>
        <w:t>结合南开区智慧养老云平台相关板块及相关媒体，主动向社会公开养老机构信息，积极争取社会监督，定期开展社会化满意度测评，畅通社会监督渠道，为养老服务机构等级评定，提升机构服务水平构建自律和监督机制。</w:t>
      </w:r>
    </w:p>
    <w:p>
      <w:pPr>
        <w:spacing w:line="560" w:lineRule="exact"/>
        <w:ind w:firstLine="643" w:firstLineChars="200"/>
        <w:rPr>
          <w:rFonts w:hint="eastAsia" w:ascii="黑体" w:hAnsi="黑体" w:eastAsia="黑体"/>
          <w:b/>
          <w:bCs/>
          <w:color w:val="000000"/>
          <w:sz w:val="32"/>
          <w:szCs w:val="32"/>
        </w:rPr>
      </w:pPr>
      <w:r>
        <w:rPr>
          <w:rFonts w:hint="eastAsia" w:ascii="黑体" w:hAnsi="黑体" w:eastAsia="黑体"/>
          <w:b/>
          <w:bCs/>
          <w:color w:val="000000"/>
          <w:sz w:val="32"/>
          <w:szCs w:val="32"/>
        </w:rPr>
        <w:t>三、完善监管制度体系</w:t>
      </w:r>
    </w:p>
    <w:p>
      <w:pPr>
        <w:spacing w:line="560" w:lineRule="exact"/>
        <w:ind w:firstLine="640" w:firstLineChars="200"/>
        <w:rPr>
          <w:rFonts w:hint="eastAsia"/>
        </w:rPr>
      </w:pPr>
      <w:r>
        <w:rPr>
          <w:rFonts w:hint="eastAsia" w:ascii="楷体" w:hAnsi="楷体" w:eastAsia="楷体"/>
          <w:color w:val="000000"/>
          <w:sz w:val="32"/>
          <w:szCs w:val="32"/>
        </w:rPr>
        <w:t>（十）</w:t>
      </w:r>
      <w:r>
        <w:rPr>
          <w:rFonts w:hint="eastAsia" w:ascii="楷体" w:hAnsi="楷体" w:eastAsia="楷体"/>
          <w:b/>
          <w:bCs/>
          <w:color w:val="000000"/>
          <w:sz w:val="32"/>
          <w:szCs w:val="32"/>
        </w:rPr>
        <w:t>健全协同监管制度</w:t>
      </w:r>
      <w:r>
        <w:rPr>
          <w:rFonts w:hint="eastAsia" w:ascii="楷体" w:hAnsi="楷体" w:eastAsia="楷体"/>
          <w:color w:val="000000"/>
          <w:sz w:val="32"/>
          <w:szCs w:val="32"/>
        </w:rPr>
        <w:t>。</w:t>
      </w:r>
      <w:r>
        <w:rPr>
          <w:rFonts w:hint="eastAsia" w:ascii="仿宋" w:hAnsi="仿宋" w:eastAsia="仿宋"/>
          <w:color w:val="000000"/>
          <w:sz w:val="32"/>
          <w:szCs w:val="32"/>
        </w:rPr>
        <w:t>建立</w:t>
      </w:r>
      <w:r>
        <w:rPr>
          <w:rFonts w:hAnsi="仿宋" w:eastAsia="仿宋"/>
          <w:color w:val="000000"/>
          <w:sz w:val="32"/>
          <w:szCs w:val="32"/>
        </w:rPr>
        <w:t>“互联互通互认”机制</w:t>
      </w:r>
      <w:r>
        <w:rPr>
          <w:rFonts w:hint="eastAsia" w:ascii="仿宋" w:hAnsi="仿宋" w:eastAsia="仿宋"/>
          <w:color w:val="000000"/>
          <w:sz w:val="32"/>
          <w:szCs w:val="32"/>
        </w:rPr>
        <w:t>，健全各部门、街道协调配合监管、联合检查制度，实现违法线索互联、监管标准互通、处理结果互认。各部门、街道在联合监督检查中发现养老服务机构存在设施、医疗卫生、环境保护、消防、食品药品、工程质量、特种设备安全风险等安全隐患，各专业部门应当及时到场处理，立即督促养老服务机构采取措施消除隐患。对应当采取行政强制措施或者行政强制执行的，应当通知具备相应执法权限的部门或者申请人民法院依法处理。建立</w:t>
      </w:r>
      <w:r>
        <w:rPr>
          <w:rFonts w:hAnsi="仿宋" w:eastAsia="仿宋"/>
          <w:color w:val="000000"/>
          <w:sz w:val="32"/>
          <w:szCs w:val="32"/>
        </w:rPr>
        <w:t>“双随机、一公开”机制</w:t>
      </w:r>
      <w:r>
        <w:rPr>
          <w:rFonts w:hint="eastAsia" w:ascii="仿宋" w:hAnsi="仿宋" w:eastAsia="仿宋"/>
          <w:color w:val="000000"/>
          <w:sz w:val="32"/>
          <w:szCs w:val="32"/>
        </w:rPr>
        <w:t>，完善重点检查内容，明确抽查类别、检查对象、检查方式、检查主体和检查依据。统筹建立统一的检查对象名录库和执法检查人员名录库。民政部门应当联合相关部门每半年对养老机构服务安全和服务质量进行不少于一次的现场检查，对通过投诉举报、转办、交办发现的违法违规个案线索，要及时进行检查、处置。</w:t>
      </w:r>
    </w:p>
    <w:p>
      <w:pPr>
        <w:spacing w:line="560" w:lineRule="exact"/>
        <w:ind w:firstLine="640" w:firstLineChars="200"/>
        <w:rPr>
          <w:rFonts w:hint="eastAsia" w:eastAsia="仿宋"/>
          <w:color w:val="000000"/>
          <w:sz w:val="32"/>
          <w:szCs w:val="32"/>
        </w:rPr>
      </w:pPr>
      <w:r>
        <w:rPr>
          <w:rFonts w:hint="eastAsia" w:ascii="楷体" w:hAnsi="楷体" w:eastAsia="楷体"/>
          <w:color w:val="000000"/>
          <w:sz w:val="32"/>
          <w:szCs w:val="32"/>
        </w:rPr>
        <w:t>（十一）健全信息共享制度。</w:t>
      </w:r>
      <w:r>
        <w:rPr>
          <w:rFonts w:hint="eastAsia" w:ascii="仿宋" w:hAnsi="仿宋" w:eastAsia="仿宋"/>
          <w:color w:val="000000"/>
          <w:sz w:val="32"/>
          <w:szCs w:val="32"/>
        </w:rPr>
        <w:t>加大养老服务领域信息公开力度，督促养老服务机构通过书面告知、在机构显要位置设置公示栏等方式，主动公开其基本信息、规章制度、服务项目、收费标准等事项，畅通群众监督渠道，自觉接受社会监督。民政部门要依托“金民工程”、“南开智慧养老云平台”等信息平台及时采集养老服务机构基本信息、服务质量、运营情况、安全管理、补贴发放，以及养老护理员等从业人员职业技能等级、从业经历、职业信用等数据信息，形成养老服务机构组织信息基本数据集和养老从业人员基本数据集，实现养老服务大数据共享。卫生健康部门及时采集老年人健康管理信息，形成健康档案基本数据集。各部门要及时推送涉及老年人相关信息，形成老年人基本信息数据集。充分运用大数据等新技术手段，减少人为因素，实现公正监管。推动</w:t>
      </w:r>
      <w:r>
        <w:rPr>
          <w:rFonts w:eastAsia="仿宋"/>
          <w:color w:val="000000"/>
          <w:sz w:val="32"/>
          <w:szCs w:val="32"/>
        </w:rPr>
        <w:t>“</w:t>
      </w:r>
      <w:r>
        <w:rPr>
          <w:rFonts w:hint="eastAsia" w:ascii="仿宋" w:hAnsi="仿宋" w:eastAsia="仿宋"/>
          <w:color w:val="000000"/>
          <w:sz w:val="32"/>
          <w:szCs w:val="32"/>
        </w:rPr>
        <w:t>互联网</w:t>
      </w:r>
      <w:r>
        <w:rPr>
          <w:rFonts w:eastAsia="仿宋"/>
          <w:color w:val="000000"/>
          <w:sz w:val="32"/>
          <w:szCs w:val="32"/>
        </w:rPr>
        <w:t>+</w:t>
      </w:r>
      <w:r>
        <w:rPr>
          <w:rFonts w:hint="eastAsia" w:ascii="仿宋" w:hAnsi="仿宋" w:eastAsia="仿宋"/>
          <w:color w:val="000000"/>
          <w:sz w:val="32"/>
          <w:szCs w:val="32"/>
        </w:rPr>
        <w:t>监管</w:t>
      </w:r>
      <w:r>
        <w:rPr>
          <w:rFonts w:eastAsia="仿宋"/>
          <w:color w:val="000000"/>
          <w:sz w:val="32"/>
          <w:szCs w:val="32"/>
        </w:rPr>
        <w:t>”</w:t>
      </w:r>
      <w:r>
        <w:rPr>
          <w:rFonts w:hint="eastAsia" w:ascii="仿宋" w:hAnsi="仿宋" w:eastAsia="仿宋"/>
          <w:color w:val="000000"/>
          <w:sz w:val="32"/>
          <w:szCs w:val="32"/>
        </w:rPr>
        <w:t>系统技术对接、数据汇聚和多场景使用，实现信息一站式查询和综合监管“一张网”。</w:t>
      </w:r>
    </w:p>
    <w:p>
      <w:pPr>
        <w:spacing w:line="560" w:lineRule="exact"/>
        <w:ind w:firstLine="640" w:firstLineChars="200"/>
        <w:rPr>
          <w:rFonts w:hint="eastAsia" w:hAnsi="仿宋" w:eastAsia="仿宋"/>
          <w:color w:val="000000"/>
          <w:sz w:val="32"/>
          <w:szCs w:val="32"/>
        </w:rPr>
      </w:pPr>
      <w:r>
        <w:rPr>
          <w:rFonts w:hint="eastAsia" w:ascii="楷体" w:hAnsi="楷体" w:eastAsia="楷体"/>
          <w:color w:val="000000"/>
          <w:sz w:val="32"/>
          <w:szCs w:val="32"/>
        </w:rPr>
        <w:t>（十二）健全信用监管制度。</w:t>
      </w:r>
      <w:r>
        <w:rPr>
          <w:rFonts w:hint="eastAsia" w:ascii="仿宋" w:hAnsi="仿宋" w:eastAsia="仿宋"/>
          <w:color w:val="000000"/>
          <w:sz w:val="32"/>
          <w:szCs w:val="32"/>
        </w:rPr>
        <w:t>建立养老机构备案信用承诺制度，备案申请人应当就养老机构按照建筑、消防、食品、医疗卫生等法律法规和国家有关标准开展服务活动提交书面承诺并向社会公开，将书面承诺履约情况记入信用记录；对违反承诺的，依法依规实施惩戒。全面建立养老服务市场主体信用记录，以统一社会信用代码为标识，整合形成完整的市场主体信用记录。组织养老服务机构开展信用承诺并在信用中国（天津）网站等信用信息公示系统进行公示，实现对违法失信行为信息的披露和信息共享。鼓励第三方信用服务机构出具的信用报告用于养老服务机构管理。开展养老服务机构公共信用综合评价，相关部门要将“双随机、一公开”监管与评价结果相结合，根据养老服务机构信用等级高低采取差异化监管措施，促进养老机构信用评价结果共用。</w:t>
      </w:r>
    </w:p>
    <w:p>
      <w:pPr>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四、落实监管保障措施</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（十三）</w:t>
      </w:r>
      <w:r>
        <w:rPr>
          <w:rFonts w:hint="eastAsia" w:ascii="楷体" w:hAnsi="楷体" w:eastAsia="楷体"/>
          <w:b/>
          <w:bCs/>
          <w:sz w:val="32"/>
          <w:szCs w:val="32"/>
        </w:rPr>
        <w:t>加强组织领导</w:t>
      </w:r>
      <w:r>
        <w:rPr>
          <w:rFonts w:hint="eastAsia" w:ascii="楷体" w:hAnsi="楷体" w:eastAsia="楷体"/>
          <w:sz w:val="32"/>
          <w:szCs w:val="32"/>
        </w:rPr>
        <w:t>。</w:t>
      </w:r>
      <w:r>
        <w:rPr>
          <w:rFonts w:hint="eastAsia" w:ascii="仿宋" w:hAnsi="仿宋" w:eastAsia="仿宋"/>
          <w:sz w:val="32"/>
          <w:szCs w:val="32"/>
        </w:rPr>
        <w:t>各部门、各街道要全面加强党对养老服务工作的领导，坚持把党的领导贯穿到养老服务综合监管全过程，将养老服务综合监管摆上重要议事日程。不断完善养老服务工作联席会议制度，加强各部门工作统筹、协调、配合，建立工作台账，落实责任分工，及时研究解决工作中遇到的重大问题，抓好组织实施，确保各项措施落地见效。</w:t>
      </w:r>
    </w:p>
    <w:p>
      <w:pPr>
        <w:spacing w:line="560" w:lineRule="exact"/>
        <w:ind w:firstLine="640" w:firstLineChars="200"/>
        <w:rPr>
          <w:rFonts w:hint="eastAsia" w:eastAsia="仿宋"/>
          <w:color w:val="000000"/>
          <w:sz w:val="32"/>
          <w:szCs w:val="32"/>
        </w:rPr>
      </w:pPr>
      <w:r>
        <w:rPr>
          <w:rFonts w:hint="eastAsia" w:ascii="楷体" w:hAnsi="楷体" w:eastAsia="楷体"/>
          <w:color w:val="000000"/>
          <w:sz w:val="32"/>
          <w:szCs w:val="32"/>
        </w:rPr>
        <w:t>（十四）</w:t>
      </w:r>
      <w:r>
        <w:rPr>
          <w:rFonts w:hint="eastAsia" w:ascii="楷体" w:hAnsi="楷体" w:eastAsia="楷体"/>
          <w:b/>
          <w:bCs/>
          <w:color w:val="000000"/>
          <w:sz w:val="32"/>
          <w:szCs w:val="32"/>
        </w:rPr>
        <w:t>加强督促指导</w:t>
      </w:r>
      <w:r>
        <w:rPr>
          <w:rFonts w:hint="eastAsia" w:ascii="楷体" w:hAnsi="楷体" w:eastAsia="楷体"/>
          <w:color w:val="000000"/>
          <w:sz w:val="32"/>
          <w:szCs w:val="32"/>
        </w:rPr>
        <w:t>。</w:t>
      </w:r>
      <w:r>
        <w:rPr>
          <w:rFonts w:hint="eastAsia" w:ascii="仿宋" w:hAnsi="仿宋" w:eastAsia="仿宋"/>
          <w:color w:val="000000"/>
          <w:sz w:val="32"/>
          <w:szCs w:val="32"/>
        </w:rPr>
        <w:t>各部门、各街道要进一步压实责任，将综合监管责任和压力传导到最基层，依托市、区、街道、社区四级养老工作管理服务网络，充实养老服务工作力量，全面推行行政执法三项制度，提高现代科技手段在执法办案中的应用水平，切实形成上下联动、密切协作、齐抓共管的工作合力。</w:t>
      </w:r>
    </w:p>
    <w:p>
      <w:pPr>
        <w:spacing w:line="560" w:lineRule="exact"/>
        <w:ind w:firstLine="640" w:firstLineChars="200"/>
        <w:rPr>
          <w:rFonts w:hint="eastAsia" w:ascii="仿宋" w:hAnsi="仿宋" w:eastAsia="仿宋"/>
          <w:color w:val="000000"/>
          <w:sz w:val="32"/>
          <w:szCs w:val="32"/>
        </w:rPr>
      </w:pPr>
      <w:r>
        <w:rPr>
          <w:rFonts w:hint="eastAsia" w:ascii="楷体" w:hAnsi="楷体" w:eastAsia="楷体"/>
          <w:color w:val="000000"/>
          <w:sz w:val="32"/>
          <w:szCs w:val="32"/>
        </w:rPr>
        <w:t>（十五）</w:t>
      </w:r>
      <w:r>
        <w:rPr>
          <w:rFonts w:hint="eastAsia" w:ascii="楷体" w:hAnsi="楷体" w:eastAsia="楷体"/>
          <w:b/>
          <w:bCs/>
          <w:color w:val="000000"/>
          <w:sz w:val="32"/>
          <w:szCs w:val="32"/>
        </w:rPr>
        <w:t>加强宣传引导</w:t>
      </w:r>
      <w:r>
        <w:rPr>
          <w:rFonts w:hint="eastAsia" w:ascii="楷体" w:hAnsi="楷体" w:eastAsia="楷体"/>
          <w:color w:val="000000"/>
          <w:sz w:val="32"/>
          <w:szCs w:val="32"/>
        </w:rPr>
        <w:t>。</w:t>
      </w:r>
      <w:r>
        <w:rPr>
          <w:rFonts w:hint="eastAsia" w:ascii="仿宋" w:hAnsi="仿宋" w:eastAsia="仿宋"/>
          <w:color w:val="000000"/>
          <w:sz w:val="32"/>
          <w:szCs w:val="32"/>
        </w:rPr>
        <w:t>各部门、各街道要按照“谁执法，谁普法”普法责任制要求，通过多种途径、多种形式积极开展养老服务法治宣传教育，宣传监管职责、措施、工作进展情况和成效，鼓励和引导全社会参与，依法推动养老服务综合监管工作与保障老年人合法权益相结合，营造敬老、爱老、助老、关心、支持养老服务综合监管的良好社会氛围，促进南开区养老服务高质量发展。</w:t>
      </w:r>
    </w:p>
    <w:p>
      <w:pPr>
        <w:spacing w:line="560" w:lineRule="exact"/>
        <w:ind w:firstLine="420" w:firstLineChars="200"/>
        <w:rPr>
          <w:rFonts w:hint="eastAsia" w:eastAsia="仿宋"/>
          <w:color w:val="000000"/>
          <w:sz w:val="32"/>
          <w:szCs w:val="32"/>
        </w:rPr>
      </w:pPr>
      <w:r>
        <w:rPr>
          <w:rFonts w:hint="eastAsia"/>
        </w:rPr>
        <w:t xml:space="preserve">  </w:t>
      </w:r>
      <w:r>
        <w:rPr>
          <w:rFonts w:hint="eastAsia" w:ascii="仿宋" w:hAnsi="仿宋" w:eastAsia="仿宋"/>
          <w:color w:val="000000"/>
          <w:sz w:val="32"/>
          <w:szCs w:val="32"/>
        </w:rPr>
        <w:t>附件：</w:t>
      </w:r>
      <w:r>
        <w:rPr>
          <w:rFonts w:eastAsia="仿宋"/>
          <w:color w:val="000000"/>
          <w:sz w:val="32"/>
          <w:szCs w:val="32"/>
        </w:rPr>
        <w:t>1</w:t>
      </w:r>
      <w:r>
        <w:rPr>
          <w:rFonts w:hint="eastAsia" w:ascii="仿宋" w:hAnsi="仿宋" w:eastAsia="仿宋"/>
          <w:color w:val="000000"/>
          <w:sz w:val="32"/>
          <w:szCs w:val="32"/>
        </w:rPr>
        <w:t>．养老服务综合监管相关部门职责分工</w:t>
      </w:r>
    </w:p>
    <w:p>
      <w:pPr>
        <w:spacing w:line="560" w:lineRule="exact"/>
        <w:ind w:firstLine="640" w:firstLineChars="200"/>
        <w:rPr>
          <w:rFonts w:hint="eastAsia" w:eastAsia="仿宋"/>
          <w:color w:val="000000"/>
          <w:sz w:val="32"/>
          <w:szCs w:val="32"/>
        </w:rPr>
      </w:pPr>
      <w:r>
        <w:rPr>
          <w:rFonts w:hint="eastAsia" w:ascii="仿宋" w:hAnsi="仿宋" w:eastAsia="仿宋"/>
          <w:color w:val="000000"/>
          <w:sz w:val="32"/>
          <w:szCs w:val="32"/>
        </w:rPr>
        <w:t xml:space="preserve">      </w:t>
      </w:r>
      <w:r>
        <w:rPr>
          <w:rFonts w:eastAsia="仿宋"/>
          <w:color w:val="000000"/>
          <w:sz w:val="32"/>
          <w:szCs w:val="32"/>
        </w:rPr>
        <w:t>2</w:t>
      </w:r>
      <w:r>
        <w:rPr>
          <w:rFonts w:hint="eastAsia" w:ascii="仿宋" w:hAnsi="仿宋" w:eastAsia="仿宋"/>
          <w:color w:val="000000"/>
          <w:sz w:val="32"/>
          <w:szCs w:val="32"/>
        </w:rPr>
        <w:t>．养老服务综合监管任务清单</w:t>
      </w:r>
    </w:p>
    <w:p>
      <w:pPr>
        <w:spacing w:line="560" w:lineRule="exact"/>
        <w:rPr>
          <w:rFonts w:hint="eastAsia" w:ascii="黑体" w:hAnsi="黑体" w:eastAsia="黑体"/>
          <w:color w:val="000000"/>
          <w:sz w:val="32"/>
          <w:szCs w:val="32"/>
        </w:rPr>
      </w:pPr>
      <w:r>
        <w:rPr>
          <w:rFonts w:hint="eastAsia" w:ascii="黑体" w:hAnsi="黑体" w:eastAsia="黑体"/>
          <w:color w:val="000000"/>
          <w:sz w:val="32"/>
          <w:szCs w:val="32"/>
        </w:rPr>
        <w:t xml:space="preserve"> </w:t>
      </w:r>
    </w:p>
    <w:p>
      <w:pPr>
        <w:rPr>
          <w:rFonts w:hint="eastAsia"/>
        </w:rPr>
      </w:pPr>
      <w: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5B06"/>
    <w:rsid w:val="00225724"/>
    <w:rsid w:val="00905B06"/>
    <w:rsid w:val="00940F44"/>
    <w:rsid w:val="0EB11AA2"/>
    <w:rsid w:val="609F74FB"/>
    <w:rsid w:val="69D27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unhideWhenUsed/>
    <w:qFormat/>
    <w:uiPriority w:val="99"/>
    <w:pPr>
      <w:snapToGrid w:val="0"/>
      <w:jc w:val="left"/>
    </w:pPr>
    <w:rPr>
      <w:sz w:val="18"/>
      <w:szCs w:val="18"/>
    </w:rPr>
  </w:style>
  <w:style w:type="paragraph" w:customStyle="1" w:styleId="5">
    <w:name w:val="题目"/>
    <w:basedOn w:val="1"/>
    <w:next w:val="1"/>
    <w:qFormat/>
    <w:uiPriority w:val="0"/>
    <w:pPr>
      <w:spacing w:line="560" w:lineRule="exact"/>
      <w:jc w:val="center"/>
    </w:pPr>
    <w:rPr>
      <w:rFonts w:ascii="Calibri" w:hAnsi="Calibri" w:eastAsia="方正小标宋简体" w:cs="Calibri"/>
      <w:sz w:val="44"/>
      <w:szCs w:val="44"/>
    </w:rPr>
  </w:style>
  <w:style w:type="character" w:customStyle="1" w:styleId="6">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664</Words>
  <Characters>3789</Characters>
  <Lines>31</Lines>
  <Paragraphs>8</Paragraphs>
  <TotalTime>255</TotalTime>
  <ScaleCrop>false</ScaleCrop>
  <LinksUpToDate>false</LinksUpToDate>
  <CharactersWithSpaces>4445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2021-08-30T08:21:00Z</dcterms:created>
  <dc:creator>Administrator</dc:creator>
  <cp:lastModifiedBy>Administrator</cp:lastModifiedBy>
  <cp:lastPrinted>2021-09-06T06:49:01Z</cp:lastPrinted>
  <dcterms:modified xsi:type="dcterms:W3CDTF">2021-09-06T06:49:36Z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59D7CF27A40C4DFC98B8883EA6C26A99</vt:lpwstr>
  </property>
</Properties>
</file>