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中国人民政治协商会议天津市南开区委员会</w:t>
      </w:r>
      <w:r>
        <w:rPr>
          <w:rFonts w:hint="eastAsia" w:ascii="仿宋_GB2312" w:hAnsi="仿宋_GB2312" w:eastAsia="仿宋_GB2312" w:cs="仿宋_GB2312"/>
          <w:w w:val="95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w w:val="95"/>
          <w:sz w:val="44"/>
          <w:szCs w:val="44"/>
          <w:lang w:val="en-US" w:eastAsia="zh-CN"/>
        </w:rPr>
        <w:t>3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年一般公共预算“三公”经费安排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2.51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人员增加及</w:t>
      </w:r>
      <w:bookmarkStart w:id="0" w:name="_GoBack"/>
      <w:bookmarkEnd w:id="0"/>
      <w:r>
        <w:rPr>
          <w:rFonts w:hint="eastAsia" w:eastAsia="仿宋_GB2312"/>
          <w:sz w:val="30"/>
          <w:szCs w:val="30"/>
          <w:u w:val="none"/>
          <w:lang w:val="en-US" w:eastAsia="zh-CN"/>
        </w:rPr>
        <w:t>压缩车辆运行维护费标准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。具体情况：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一、202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年因公出国（境）费预算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年预算相比增加（减少）（减少）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万元，主要原因是本部门一般公共预算未安排此项经费。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二、202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年公务用车购置及运行费预算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万元，其中公务用车运行费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0.33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压缩车辆运行维护费标准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；公务用车购置费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万元，主要原因是本部门一般公共预算未安排此项经费。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三、202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年公务接待费预算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0.51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年预算相比增加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人员增加导致经费增加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MjM0OWZlZTkxYjVhNGMwY2Y4ZjY5ODUwZTE5MGEifQ=="/>
  </w:docVars>
  <w:rsids>
    <w:rsidRoot w:val="4B237BAD"/>
    <w:rsid w:val="07653F1D"/>
    <w:rsid w:val="4B2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356</Characters>
  <Lines>0</Lines>
  <Paragraphs>0</Paragraphs>
  <TotalTime>0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2023-02-02T08:44:00Z</dcterms:created>
  <dc:creator>见贤思“祺”焉</dc:creator>
  <cp:lastModifiedBy>见贤思“祺”焉</cp:lastModifiedBy>
  <dcterms:modified xsi:type="dcterms:W3CDTF">2023-02-02T08:58:29Z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C0596E70135A4391BA16F7F5C1CC770D</vt:lpwstr>
  </property>
</Properties>
</file>